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336740" w14:textId="30CE87FC" w:rsidR="00190681" w:rsidRPr="009E1EA6" w:rsidRDefault="005B2CE9" w:rsidP="00333B77">
      <w:pPr>
        <w:pStyle w:val="ManuscriptTitle"/>
        <w:jc w:val="both"/>
      </w:pPr>
      <w:bookmarkStart w:id="0" w:name="_GoBack"/>
      <w:bookmarkEnd w:id="0"/>
      <w:r w:rsidRPr="009E1EA6">
        <w:t>Seismic risk of sliding ground-mounted rigid equipment</w:t>
      </w:r>
    </w:p>
    <w:p w14:paraId="6D0CCA2E" w14:textId="77777777" w:rsidR="00316A68" w:rsidRPr="009E1EA6" w:rsidRDefault="00B74A7C" w:rsidP="00333B77">
      <w:pPr>
        <w:pStyle w:val="Authors"/>
      </w:pPr>
      <w:r w:rsidRPr="009E1EA6">
        <w:t>Miguel A Jaimes,</w:t>
      </w:r>
      <w:r w:rsidRPr="009E1EA6">
        <w:rPr>
          <w:rStyle w:val="Refdenotaalpie"/>
        </w:rPr>
        <w:footnoteReference w:customMarkFollows="1" w:id="1"/>
        <w:t>a)</w:t>
      </w:r>
      <w:r w:rsidRPr="009E1EA6">
        <w:t xml:space="preserve"> and Gabriel Candia</w:t>
      </w:r>
      <w:r w:rsidRPr="009E1EA6">
        <w:rPr>
          <w:rStyle w:val="Refdenotaalpie"/>
        </w:rPr>
        <w:footnoteReference w:customMarkFollows="1" w:id="2"/>
        <w:t>b)</w:t>
      </w:r>
    </w:p>
    <w:p w14:paraId="1EB52EF0" w14:textId="77777777" w:rsidR="00225BAB" w:rsidRPr="009E1EA6" w:rsidRDefault="00225BAB" w:rsidP="00333B77">
      <w:pPr>
        <w:pStyle w:val="AbstractText"/>
        <w:tabs>
          <w:tab w:val="right" w:pos="9000"/>
        </w:tabs>
      </w:pPr>
    </w:p>
    <w:p w14:paraId="27D67A24" w14:textId="77777777" w:rsidR="00F3527F" w:rsidRPr="009E1EA6" w:rsidRDefault="00B74A7C" w:rsidP="00333B77">
      <w:pPr>
        <w:pStyle w:val="AbstractText"/>
        <w:tabs>
          <w:tab w:val="right" w:pos="9000"/>
        </w:tabs>
        <w:jc w:val="center"/>
        <w:rPr>
          <w:b/>
        </w:rPr>
      </w:pPr>
      <w:r w:rsidRPr="009E1EA6">
        <w:rPr>
          <w:b/>
        </w:rPr>
        <w:t>ABSTRACT</w:t>
      </w:r>
    </w:p>
    <w:p w14:paraId="6A187F75" w14:textId="5C561FEA" w:rsidR="00F1141B" w:rsidRPr="009E1EA6" w:rsidRDefault="00531151" w:rsidP="00333B77">
      <w:pPr>
        <w:pStyle w:val="AbstractText"/>
        <w:tabs>
          <w:tab w:val="right" w:pos="9000"/>
        </w:tabs>
        <w:spacing w:line="240" w:lineRule="auto"/>
        <w:ind w:left="544" w:right="544" w:firstLine="357"/>
      </w:pPr>
      <w:r w:rsidRPr="009E1EA6">
        <w:t xml:space="preserve">This study discusses a general formulation for risk assessment of ground-mounted rigid sliding equipment and contents during earthquakes. The </w:t>
      </w:r>
      <w:r w:rsidR="00583719" w:rsidRPr="009E1EA6">
        <w:t xml:space="preserve">displacement and acceleration </w:t>
      </w:r>
      <w:r w:rsidRPr="009E1EA6">
        <w:t>response</w:t>
      </w:r>
      <w:r w:rsidR="00583719" w:rsidRPr="009E1EA6">
        <w:t xml:space="preserve"> of blocks</w:t>
      </w:r>
      <w:r w:rsidRPr="009E1EA6">
        <w:t xml:space="preserve"> </w:t>
      </w:r>
      <w:r w:rsidR="00583719" w:rsidRPr="009E1EA6">
        <w:t xml:space="preserve">during earthquakes </w:t>
      </w:r>
      <w:r w:rsidRPr="009E1EA6">
        <w:t xml:space="preserve">and risk were examined for four types of support conditions: (1) equipment simply supported on </w:t>
      </w:r>
      <w:r w:rsidR="00951248" w:rsidRPr="009E1EA6">
        <w:t xml:space="preserve">a </w:t>
      </w:r>
      <w:r w:rsidRPr="009E1EA6">
        <w:t xml:space="preserve">foundation; (2) equipment restrained to a fixed base; (3) equipment supported on a linear viscoelastic isolation system; and (4) equipment supported on a single concave spherical sliding (SCSS) isolation system. Because empirical fragility functions for sliding-dominated equipment remain insufficient, the present study relies on numerical analysis and a solid physical background to compute risk. These results should aid designers in the selection of appropriate support conditions or mitigation measures for rigid equipment and contents in </w:t>
      </w:r>
      <w:r w:rsidR="00951248" w:rsidRPr="009E1EA6">
        <w:t>seismic-</w:t>
      </w:r>
      <w:r w:rsidRPr="009E1EA6">
        <w:t>prone regions.</w:t>
      </w:r>
    </w:p>
    <w:p w14:paraId="48DE972D" w14:textId="248FC3C2" w:rsidR="00302947" w:rsidRPr="009E1EA6" w:rsidRDefault="00DC436D" w:rsidP="00333B77">
      <w:pPr>
        <w:pStyle w:val="AbstractText"/>
        <w:tabs>
          <w:tab w:val="right" w:pos="9000"/>
        </w:tabs>
        <w:spacing w:line="240" w:lineRule="auto"/>
        <w:ind w:left="544" w:right="544" w:firstLine="357"/>
      </w:pPr>
      <w:r w:rsidRPr="009E1EA6">
        <w:t xml:space="preserve">As an example, the seismic response of rigid equipment is illustrated using ground motions from the recent (2017) Mexico earthquakes, which damaged several </w:t>
      </w:r>
      <w:r w:rsidR="00951248" w:rsidRPr="009E1EA6">
        <w:t xml:space="preserve">pieces of </w:t>
      </w:r>
      <w:r w:rsidRPr="009E1EA6">
        <w:t xml:space="preserve">equipment in the largest oil refinery in Mexico. </w:t>
      </w:r>
      <w:r w:rsidR="00B74A7C" w:rsidRPr="009E1EA6">
        <w:t>Furthermore</w:t>
      </w:r>
      <w:r w:rsidRPr="009E1EA6">
        <w:t xml:space="preserve">, the effects of site-to-source distance for sites located on ﬁrm soil are studied in detail, as the frequency content of these ground motions differ signiﬁcantly and play a key role in the reliability of sliding blocks. </w:t>
      </w:r>
      <w:r w:rsidR="00B74A7C" w:rsidRPr="009E1EA6">
        <w:t>The results</w:t>
      </w:r>
      <w:r w:rsidRPr="009E1EA6">
        <w:t xml:space="preserve"> </w:t>
      </w:r>
      <w:r w:rsidR="00B9241F" w:rsidRPr="009E1EA6">
        <w:t xml:space="preserve">of the seismic risk assessment </w:t>
      </w:r>
      <w:r w:rsidR="00DC10DB" w:rsidRPr="009E1EA6">
        <w:t xml:space="preserve">show that </w:t>
      </w:r>
      <w:r w:rsidR="00951248" w:rsidRPr="009E1EA6">
        <w:t>low-</w:t>
      </w:r>
      <w:r w:rsidR="00DC10DB" w:rsidRPr="009E1EA6">
        <w:t xml:space="preserve">frequency ground motions (i.e., far-field site) </w:t>
      </w:r>
      <w:r w:rsidR="00B74A7C" w:rsidRPr="009E1EA6">
        <w:t>generally yield</w:t>
      </w:r>
      <w:r w:rsidR="00B9241F" w:rsidRPr="009E1EA6">
        <w:t xml:space="preserve"> lower </w:t>
      </w:r>
      <w:r w:rsidR="00F1141B" w:rsidRPr="009E1EA6">
        <w:t xml:space="preserve">maximum and residual equipment displacements compared to </w:t>
      </w:r>
      <w:r w:rsidR="00951248" w:rsidRPr="009E1EA6">
        <w:t>those from high-</w:t>
      </w:r>
      <w:r w:rsidR="00F1141B" w:rsidRPr="009E1EA6">
        <w:t xml:space="preserve">frequency ground motions (i.e., near-source site). </w:t>
      </w:r>
      <w:r w:rsidR="009B6725" w:rsidRPr="009E1EA6">
        <w:t>T</w:t>
      </w:r>
      <w:r w:rsidR="00F1141B" w:rsidRPr="009E1EA6">
        <w:t xml:space="preserve">his investigation also concludes that the reliability of freestanding and </w:t>
      </w:r>
      <w:r w:rsidR="00951248" w:rsidRPr="009E1EA6">
        <w:t>base-</w:t>
      </w:r>
      <w:r w:rsidR="00F1141B" w:rsidRPr="009E1EA6">
        <w:t>isolated equipment in terms of maximum absolute block accelerations is higher than that of anchored equipment.</w:t>
      </w:r>
    </w:p>
    <w:p w14:paraId="1E5A73DD" w14:textId="77777777" w:rsidR="00302947" w:rsidRPr="009E1EA6" w:rsidRDefault="00302947" w:rsidP="00333B77">
      <w:pPr>
        <w:pStyle w:val="AbstractText"/>
        <w:tabs>
          <w:tab w:val="right" w:pos="9000"/>
        </w:tabs>
        <w:spacing w:line="240" w:lineRule="auto"/>
        <w:ind w:left="544" w:right="544" w:firstLine="357"/>
      </w:pPr>
    </w:p>
    <w:p w14:paraId="0F1BA8F3" w14:textId="77777777" w:rsidR="00F3527F" w:rsidRPr="009E1EA6" w:rsidRDefault="00B74A7C" w:rsidP="00D921CF">
      <w:pPr>
        <w:rPr>
          <w:caps/>
        </w:rPr>
      </w:pPr>
      <w:r w:rsidRPr="009E1EA6">
        <w:rPr>
          <w:b/>
          <w:caps/>
        </w:rPr>
        <w:t xml:space="preserve">Keywords </w:t>
      </w:r>
      <w:r w:rsidR="00DC10DB" w:rsidRPr="009E1EA6">
        <w:t>sliding blocks; seismic isolation; spherical sliding bearings; seismic risk; maximum block acceleration; maximum block displacement</w:t>
      </w:r>
    </w:p>
    <w:p w14:paraId="332D2694" w14:textId="77777777" w:rsidR="0072774F" w:rsidRPr="009E1EA6" w:rsidRDefault="00B74A7C" w:rsidP="00333B77">
      <w:pPr>
        <w:spacing w:line="360" w:lineRule="auto"/>
        <w:jc w:val="left"/>
        <w:rPr>
          <w:b/>
          <w:caps/>
        </w:rPr>
      </w:pPr>
      <w:r w:rsidRPr="009E1EA6">
        <w:br w:type="page"/>
      </w:r>
    </w:p>
    <w:p w14:paraId="662DCD5C" w14:textId="77777777" w:rsidR="00190681" w:rsidRPr="009E1EA6" w:rsidRDefault="00B74A7C" w:rsidP="00333B77">
      <w:pPr>
        <w:pStyle w:val="Ttulo1"/>
        <w:numPr>
          <w:ilvl w:val="0"/>
          <w:numId w:val="15"/>
        </w:numPr>
        <w:jc w:val="left"/>
      </w:pPr>
      <w:r w:rsidRPr="009E1EA6">
        <w:lastRenderedPageBreak/>
        <w:t>Introduction</w:t>
      </w:r>
    </w:p>
    <w:p w14:paraId="062C3B36" w14:textId="4F267B4E" w:rsidR="00312C91" w:rsidRPr="009E1EA6" w:rsidRDefault="000911AD" w:rsidP="00333B77">
      <w:pPr>
        <w:pStyle w:val="Textoindependiente"/>
      </w:pPr>
      <w:r w:rsidRPr="009E1EA6">
        <w:t>Freestanding equipment at critical facilities are highly vulnerable to rocking, overturning and residual lateral displacement during earthquakes (e.g., Soong et al. 2000; Lopez Garcia and Soong 2003</w:t>
      </w:r>
      <w:r w:rsidR="00E50BE0" w:rsidRPr="009E1EA6">
        <w:rPr>
          <w:vertAlign w:val="superscript"/>
        </w:rPr>
        <w:t>a,b</w:t>
      </w:r>
      <w:r w:rsidR="008407EC" w:rsidRPr="009E1EA6">
        <w:t xml:space="preserve">; Alhan and Gavin 2005; Hutchinson and Chaudhuri 2006; Jaimes et al. 2013; Lin et al. 2015; Jaimes and Candia 2018). To improve the </w:t>
      </w:r>
      <w:r w:rsidR="00951248" w:rsidRPr="009E1EA6">
        <w:t xml:space="preserve">response of the </w:t>
      </w:r>
      <w:r w:rsidR="008407EC" w:rsidRPr="009E1EA6">
        <w:t xml:space="preserve">equipment, mitigation measures such as restrainers or </w:t>
      </w:r>
      <w:r w:rsidR="00951248" w:rsidRPr="009E1EA6">
        <w:t>base-</w:t>
      </w:r>
      <w:r w:rsidR="008407EC" w:rsidRPr="009E1EA6">
        <w:t>isolated slabs have been developed, but even these solutions may result in excessive damage due to large ground accelerations (Lopez Garcia and Soong, 2003</w:t>
      </w:r>
      <w:r w:rsidR="008407EC" w:rsidRPr="009E1EA6">
        <w:rPr>
          <w:vertAlign w:val="superscript"/>
        </w:rPr>
        <w:t>b</w:t>
      </w:r>
      <w:r w:rsidR="00A2368C" w:rsidRPr="009E1EA6">
        <w:t xml:space="preserve">). In non-slender blocks, one way to prevent rocking is </w:t>
      </w:r>
      <w:r w:rsidR="00B74A7C" w:rsidRPr="009E1EA6">
        <w:t>to allow</w:t>
      </w:r>
      <w:r w:rsidR="00A2368C" w:rsidRPr="009E1EA6">
        <w:t xml:space="preserve"> the block </w:t>
      </w:r>
      <w:r w:rsidR="00951248" w:rsidRPr="009E1EA6">
        <w:t xml:space="preserve">to </w:t>
      </w:r>
      <w:r w:rsidR="00A2368C" w:rsidRPr="009E1EA6">
        <w:t>slide freely. However, it is necessary to quantify and limit the amount of slip to avoid the impacts against adjacent objects or building components, as well as large accelerations</w:t>
      </w:r>
      <w:r w:rsidR="00951248" w:rsidRPr="009E1EA6">
        <w:t>,</w:t>
      </w:r>
      <w:r w:rsidR="00A2368C" w:rsidRPr="009E1EA6">
        <w:t xml:space="preserve"> to minimize the internal damage of sensitive equipment.</w:t>
      </w:r>
    </w:p>
    <w:p w14:paraId="69E83299" w14:textId="12BA8242" w:rsidR="008407EC" w:rsidRPr="009E1EA6" w:rsidRDefault="000578AE" w:rsidP="00333B77">
      <w:pPr>
        <w:pStyle w:val="Textoindependiente"/>
      </w:pPr>
      <w:r w:rsidRPr="009E1EA6">
        <w:t>On September 7</w:t>
      </w:r>
      <w:r w:rsidR="00B74A7C" w:rsidRPr="009E1EA6">
        <w:t>,</w:t>
      </w:r>
      <w:r w:rsidRPr="009E1EA6">
        <w:t xml:space="preserve"> 2017, a Mw 8.2 intermediate-depth normal earthquake struck the Gulf of Tehuantepec in Chiapas, Oaxaca (Mexico), being the largest earthquake in the region since the 1932 Mw 8.2 Jalisco earthquake. The 2017 Oaxaca earthquake severely damaged houses, heritage buildings, bridges, and power stations located near the epicenter. No structural damage was reported at the state-owned Salina Cruz Refinery, the largest </w:t>
      </w:r>
      <w:r w:rsidR="00295FD7" w:rsidRPr="009E1EA6">
        <w:t>oil</w:t>
      </w:r>
      <w:r w:rsidR="00240B7F" w:rsidRPr="009E1EA6">
        <w:t xml:space="preserve"> refinery in Mexico with an installed capacity of 330,000 barrels per day. The earthquake, however, induced large lateral displacements on the electricity generators (Figure 1) that power the plant (PEMEX 2017). </w:t>
      </w:r>
      <w:r w:rsidR="00951248" w:rsidRPr="009E1EA6">
        <w:t xml:space="preserve">These </w:t>
      </w:r>
      <w:r w:rsidR="00240B7F" w:rsidRPr="009E1EA6">
        <w:t>generator</w:t>
      </w:r>
      <w:r w:rsidR="00951248" w:rsidRPr="009E1EA6">
        <w:t>s</w:t>
      </w:r>
      <w:r w:rsidR="00240B7F" w:rsidRPr="009E1EA6">
        <w:t xml:space="preserve"> affected an adjacent steam turbine and auxiliary equipment, causing severe damage to its internal components. As a result, the plant was shut down as a precaution</w:t>
      </w:r>
      <w:r w:rsidR="00B74A7C" w:rsidRPr="009E1EA6">
        <w:t>,</w:t>
      </w:r>
      <w:r w:rsidR="00240B7F" w:rsidRPr="009E1EA6">
        <w:t xml:space="preserve"> and operations resumed 2.5 months later with the aid of two leased diesel generators; unfortunately, a leased generator was damaged during the transportation and installation. Further details are presented</w:t>
      </w:r>
      <w:r w:rsidR="00B74A7C" w:rsidRPr="009E1EA6">
        <w:t xml:space="preserve"> in</w:t>
      </w:r>
      <w:r w:rsidR="00240B7F" w:rsidRPr="009E1EA6">
        <w:t xml:space="preserve"> Section 3.</w:t>
      </w:r>
    </w:p>
    <w:p w14:paraId="0BEA0954" w14:textId="45A05EF2" w:rsidR="00107B39" w:rsidRPr="009E1EA6" w:rsidRDefault="00B74A7C" w:rsidP="00107B39">
      <w:pPr>
        <w:pStyle w:val="Textoindependiente"/>
      </w:pPr>
      <w:r w:rsidRPr="009E1EA6">
        <w:t>The sliding response of freestanding rigid blocks to a base excitation is founded on the principles of rigid body dynamics, for which a vast body of literature exists (e.g., Newmark 1965; Lopez Garcia and Soong 2003</w:t>
      </w:r>
      <w:r w:rsidRPr="009E1EA6">
        <w:rPr>
          <w:vertAlign w:val="superscript"/>
        </w:rPr>
        <w:t>a,b</w:t>
      </w:r>
      <w:r w:rsidRPr="009E1EA6">
        <w:t xml:space="preserve">). After studying the seismic behavior of earth dams and embankments, Newmark 1965 developed a simplified method to estimate residual displacements of a rigid soil block sliding on a rough surface. In this method, residual displacements are computed as the double integral of the acceleration in excess of the yield acceleration, i.e., the acceleration level required to initiate slip </w:t>
      </w:r>
      <w:r w:rsidR="003E2784" w:rsidRPr="009E1EA6">
        <w:t xml:space="preserve">in </w:t>
      </w:r>
      <w:r w:rsidRPr="009E1EA6">
        <w:t>the system. This pioneering work became a standard for evaluating earth slopes and embankments.</w:t>
      </w:r>
    </w:p>
    <w:p w14:paraId="2C7484A7" w14:textId="77777777" w:rsidR="00107B39" w:rsidRPr="009E1EA6" w:rsidRDefault="00107B39" w:rsidP="00333B77">
      <w:pPr>
        <w:pStyle w:val="Textoindependiente"/>
      </w:pPr>
    </w:p>
    <w:p w14:paraId="0D11C9CC" w14:textId="472A29FC" w:rsidR="00EA1245" w:rsidRPr="009E1EA6" w:rsidRDefault="00B74A7C" w:rsidP="00333B77">
      <w:pPr>
        <w:pStyle w:val="FigureCaption"/>
        <w:spacing w:line="360" w:lineRule="auto"/>
        <w:jc w:val="center"/>
        <w:rPr>
          <w:b/>
        </w:rPr>
      </w:pPr>
      <w:r w:rsidRPr="009E1EA6">
        <w:rPr>
          <w:b/>
        </w:rPr>
        <w:lastRenderedPageBreak/>
        <w:t xml:space="preserve">   </w:t>
      </w:r>
      <w:r w:rsidR="007C3722" w:rsidRPr="009E1EA6">
        <w:rPr>
          <w:noProof/>
          <w:lang w:val="es-CL" w:eastAsia="es-CL"/>
        </w:rPr>
        <w:drawing>
          <wp:inline distT="0" distB="0" distL="0" distR="0" wp14:anchorId="05A13A3B" wp14:editId="15438C21">
            <wp:extent cx="5444992" cy="2221768"/>
            <wp:effectExtent l="0" t="0" r="3810" b="7620"/>
            <wp:docPr id="52386436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333447" name="Picture 2"/>
                    <pic:cNvPicPr>
                      <a:picLocks noChangeAspect="1" noChangeArrowheads="1"/>
                    </pic:cNvPicPr>
                  </pic:nvPicPr>
                  <pic:blipFill>
                    <a:blip r:embed="rId8">
                      <a:extLst>
                        <a:ext uri="{28A0092B-C50C-407E-A947-70E740481C1C}">
                          <a14:useLocalDpi xmlns:a14="http://schemas.microsoft.com/office/drawing/2010/main" val="0"/>
                        </a:ext>
                      </a:extLst>
                    </a:blip>
                    <a:srcRect l="1360"/>
                    <a:stretch>
                      <a:fillRect/>
                    </a:stretch>
                  </pic:blipFill>
                  <pic:spPr bwMode="auto">
                    <a:xfrm>
                      <a:off x="0" y="0"/>
                      <a:ext cx="5450015" cy="2223817"/>
                    </a:xfrm>
                    <a:prstGeom prst="rect">
                      <a:avLst/>
                    </a:prstGeom>
                    <a:noFill/>
                    <a:ln>
                      <a:noFill/>
                    </a:ln>
                    <a:extLst>
                      <a:ext uri="{53640926-AAD7-44D8-BBD7-CCE9431645EC}">
                        <a14:shadowObscured xmlns:a14="http://schemas.microsoft.com/office/drawing/2010/main"/>
                      </a:ext>
                    </a:extLst>
                  </pic:spPr>
                </pic:pic>
              </a:graphicData>
            </a:graphic>
          </wp:inline>
        </w:drawing>
      </w:r>
    </w:p>
    <w:p w14:paraId="7E774363" w14:textId="6388BB69" w:rsidR="00B74C8A" w:rsidRPr="009E1EA6" w:rsidRDefault="00B74A7C" w:rsidP="00804C29">
      <w:pPr>
        <w:pStyle w:val="FigureCaption"/>
        <w:spacing w:line="360" w:lineRule="auto"/>
      </w:pPr>
      <w:r w:rsidRPr="009E1EA6">
        <w:rPr>
          <w:b/>
        </w:rPr>
        <w:t>Figure 1.</w:t>
      </w:r>
      <w:r w:rsidR="000566DA" w:rsidRPr="009E1EA6">
        <w:t xml:space="preserve"> Damage by excessive lateral displacement of an electricity generator at the Salina Cruz Refinery during the 2017 Mw</w:t>
      </w:r>
      <w:r w:rsidR="003E2784" w:rsidRPr="009E1EA6">
        <w:t xml:space="preserve"> </w:t>
      </w:r>
      <w:r w:rsidR="000566DA" w:rsidRPr="009E1EA6">
        <w:t xml:space="preserve">8.2 Oaxaca, Mexico earthquake. a) Electricity generator TG-2 (turbine, generator and auxiliary equipment), and b) </w:t>
      </w:r>
      <w:r w:rsidR="003E2784" w:rsidRPr="009E1EA6">
        <w:t xml:space="preserve">damage </w:t>
      </w:r>
      <w:r w:rsidR="000566DA" w:rsidRPr="009E1EA6">
        <w:t xml:space="preserve">of floor slab due to collision between </w:t>
      </w:r>
      <w:r w:rsidR="003E2784" w:rsidRPr="009E1EA6">
        <w:t xml:space="preserve">the </w:t>
      </w:r>
      <w:r w:rsidR="000566DA" w:rsidRPr="009E1EA6">
        <w:t>floor slabs.</w:t>
      </w:r>
    </w:p>
    <w:p w14:paraId="40613A94" w14:textId="21C1B394" w:rsidR="00BE7910" w:rsidRPr="009E1EA6" w:rsidRDefault="00AB6475" w:rsidP="00333B77">
      <w:pPr>
        <w:pStyle w:val="Textoindependiente"/>
      </w:pPr>
      <w:r w:rsidRPr="009E1EA6">
        <w:t xml:space="preserve">Aslan et al. </w:t>
      </w:r>
      <w:r w:rsidR="00B74A7C" w:rsidRPr="009E1EA6">
        <w:t>(</w:t>
      </w:r>
      <w:r w:rsidRPr="009E1EA6">
        <w:t>1975</w:t>
      </w:r>
      <w:r w:rsidR="00B74A7C" w:rsidRPr="009E1EA6">
        <w:t>)</w:t>
      </w:r>
      <w:r w:rsidRPr="009E1EA6">
        <w:t xml:space="preserve"> conducted shaking table tests to study the sliding response of rigid concrete blocks under horizontal and vertical excitations and developed analytical predictions of the block response within a 10% error. Jones and Shenton </w:t>
      </w:r>
      <w:r w:rsidR="003E2784" w:rsidRPr="009E1EA6">
        <w:t>(</w:t>
      </w:r>
      <w:r w:rsidRPr="009E1EA6">
        <w:t>1990</w:t>
      </w:r>
      <w:r w:rsidR="003E2784" w:rsidRPr="009E1EA6">
        <w:t>)</w:t>
      </w:r>
      <w:r w:rsidRPr="009E1EA6">
        <w:t xml:space="preserve"> used numerical analysis to study the sliding-rocking response of rigid blocks to earthquake ground motions for a range of contact parameters. Shenton and Jones </w:t>
      </w:r>
      <w:r w:rsidR="003E2784" w:rsidRPr="009E1EA6">
        <w:t>(</w:t>
      </w:r>
      <w:r w:rsidRPr="009E1EA6">
        <w:t>1991</w:t>
      </w:r>
      <w:r w:rsidR="002B2E19" w:rsidRPr="009E1EA6">
        <w:rPr>
          <w:vertAlign w:val="superscript"/>
        </w:rPr>
        <w:t>a,b</w:t>
      </w:r>
      <w:r w:rsidR="003E2784" w:rsidRPr="009E1EA6">
        <w:t xml:space="preserve">) </w:t>
      </w:r>
      <w:r w:rsidR="004175EE" w:rsidRPr="009E1EA6">
        <w:t xml:space="preserve">described the governing differential equations of motion for freestanding rigid bodies, and Agbabian et al. </w:t>
      </w:r>
      <w:r w:rsidR="003E2784" w:rsidRPr="009E1EA6">
        <w:t>(</w:t>
      </w:r>
      <w:r w:rsidR="004175EE" w:rsidRPr="009E1EA6">
        <w:t>1991</w:t>
      </w:r>
      <w:r w:rsidR="003E2784" w:rsidRPr="009E1EA6">
        <w:t>)</w:t>
      </w:r>
      <w:r w:rsidR="004175EE" w:rsidRPr="009E1EA6">
        <w:t xml:space="preserve"> discussed analytical and experimental techniques for evaluating earthquake rocking, overturning, and sliding susceptibility of museum objects. Several authors (e.g., Shenton 1996; Pich 1995; Shao and Tung 1999; Taniguchi 2002; Aydin 2006) have derived the equations of motion and the initiation criteria of the different response modes of freestanding rigid blocks, including sliding, rocking, uplift, and sliding-rocking modes. Shao and Tung </w:t>
      </w:r>
      <w:r w:rsidR="003E2784" w:rsidRPr="009E1EA6">
        <w:t>(</w:t>
      </w:r>
      <w:r w:rsidR="004175EE" w:rsidRPr="009E1EA6">
        <w:t>1999</w:t>
      </w:r>
      <w:r w:rsidR="003E2784" w:rsidRPr="009E1EA6">
        <w:t>)</w:t>
      </w:r>
      <w:r w:rsidR="004175EE" w:rsidRPr="009E1EA6">
        <w:t xml:space="preserve"> also estimated the sliding distance and the probability of overturning for nonsymmetrical rigid bodies considering a suite of 75 real earthquake </w:t>
      </w:r>
      <w:r w:rsidR="00B74A7C" w:rsidRPr="009E1EA6">
        <w:t>recordings</w:t>
      </w:r>
      <w:r w:rsidR="004175EE" w:rsidRPr="009E1EA6">
        <w:t xml:space="preserve">. More recently, Choi and Tung </w:t>
      </w:r>
      <w:r w:rsidR="003E2784" w:rsidRPr="009E1EA6">
        <w:t>(</w:t>
      </w:r>
      <w:r w:rsidR="004175EE" w:rsidRPr="009E1EA6">
        <w:t>2002</w:t>
      </w:r>
      <w:r w:rsidR="003E2784" w:rsidRPr="009E1EA6">
        <w:t>)</w:t>
      </w:r>
      <w:r w:rsidR="004175EE" w:rsidRPr="009E1EA6">
        <w:t xml:space="preserve"> showed that Newmark’s model could effectively reproduce the earthquake-induced displacement of rigid blocks standing at ground level or at the different floors of a building if appropriate adjustment factors are used.</w:t>
      </w:r>
    </w:p>
    <w:p w14:paraId="6D11254B" w14:textId="5F37FC00" w:rsidR="004175EE" w:rsidRPr="009E1EA6" w:rsidRDefault="00A274D0" w:rsidP="00333B77">
      <w:pPr>
        <w:pStyle w:val="Textoindependiente"/>
      </w:pPr>
      <w:r w:rsidRPr="009E1EA6">
        <w:t xml:space="preserve">Lopez Garcia and Soong </w:t>
      </w:r>
      <w:r w:rsidR="003E2784" w:rsidRPr="009E1EA6">
        <w:t>(</w:t>
      </w:r>
      <w:r w:rsidRPr="009E1EA6">
        <w:t>2003</w:t>
      </w:r>
      <w:r w:rsidR="00BD68AC" w:rsidRPr="009E1EA6">
        <w:rPr>
          <w:vertAlign w:val="superscript"/>
        </w:rPr>
        <w:t>a</w:t>
      </w:r>
      <w:r w:rsidR="003E2784" w:rsidRPr="009E1EA6">
        <w:t xml:space="preserve">) </w:t>
      </w:r>
      <w:r w:rsidR="00E22F74" w:rsidRPr="009E1EA6">
        <w:t xml:space="preserve">studied the seismic fragility of unrestrained block-type equipment considering two </w:t>
      </w:r>
      <w:r w:rsidR="00B74A7C" w:rsidRPr="009E1EA6">
        <w:t>failure</w:t>
      </w:r>
      <w:r w:rsidR="00E22F74" w:rsidRPr="009E1EA6">
        <w:t xml:space="preserve"> modes: excessive relative displacement and excessive absolute acceleration. Hutchinson and Chaudhuri </w:t>
      </w:r>
      <w:r w:rsidR="003E2784" w:rsidRPr="009E1EA6">
        <w:t>(</w:t>
      </w:r>
      <w:r w:rsidR="00E22F74" w:rsidRPr="009E1EA6">
        <w:t>2006</w:t>
      </w:r>
      <w:r w:rsidR="003E2784" w:rsidRPr="009E1EA6">
        <w:t>)</w:t>
      </w:r>
      <w:r w:rsidR="00E22F74" w:rsidRPr="009E1EA6">
        <w:t xml:space="preserve"> developed analytical fragility </w:t>
      </w:r>
      <w:r w:rsidR="00E22F74" w:rsidRPr="009E1EA6">
        <w:lastRenderedPageBreak/>
        <w:t xml:space="preserve">functions for unrestrained scientific equipment subjected to ground motions, and Konstantinidis and Nikfar </w:t>
      </w:r>
      <w:r w:rsidR="003E2784" w:rsidRPr="009E1EA6">
        <w:t>(</w:t>
      </w:r>
      <w:r w:rsidR="00E22F74" w:rsidRPr="009E1EA6">
        <w:t>2015</w:t>
      </w:r>
      <w:r w:rsidR="003E2784" w:rsidRPr="009E1EA6">
        <w:t>)</w:t>
      </w:r>
      <w:r w:rsidR="00E22F74" w:rsidRPr="009E1EA6">
        <w:t xml:space="preserve"> conducted experiments to study the sliding response of freestanding and anchored laboratory equipment in base-isolated buildings. More recently, Lin et al. </w:t>
      </w:r>
      <w:r w:rsidR="00B74A7C" w:rsidRPr="009E1EA6">
        <w:t>(</w:t>
      </w:r>
      <w:r w:rsidR="00E22F74" w:rsidRPr="009E1EA6">
        <w:t>2015</w:t>
      </w:r>
      <w:r w:rsidR="00B74A7C" w:rsidRPr="009E1EA6">
        <w:t>)</w:t>
      </w:r>
      <w:r w:rsidR="00E22F74" w:rsidRPr="009E1EA6">
        <w:t xml:space="preserve"> studied the sliding of contents in simple linear-elastic structures subjected to base accelerations.</w:t>
      </w:r>
    </w:p>
    <w:p w14:paraId="45D08CCE" w14:textId="77777777" w:rsidR="00312C91" w:rsidRPr="009E1EA6" w:rsidRDefault="008232F7" w:rsidP="00333B77">
      <w:pPr>
        <w:pStyle w:val="Textoindependiente"/>
      </w:pPr>
      <w:r w:rsidRPr="009E1EA6">
        <w:t>Seismic mitigation measures against block sliding (e.g., base isolation or restrainers) have been studied numerically and experimentally. When properly designed, the base isolation of rigid blocks can effectively reduce sliding and the accelerations transmitted to the block (e.g., Alhan and Gavin 2005). However, conventional passive isolation systems may suffer from low-frequency resonance, especially when subjected to long-period pulses such as the ground motions from near-fault earthquakes (Makris and Chang 2000). This effect leads to large shaking amplification of the isolation floor, compromising the isolated object (Makris and Chang 2000, Alhan and Gavin 2005, Contento and Di Egidio 2014).</w:t>
      </w:r>
    </w:p>
    <w:p w14:paraId="6CB69DAA" w14:textId="32ECB020" w:rsidR="000578AE" w:rsidRPr="009E1EA6" w:rsidRDefault="00312C91" w:rsidP="00333B77">
      <w:pPr>
        <w:pStyle w:val="Textoindependiente"/>
      </w:pPr>
      <w:r w:rsidRPr="009E1EA6">
        <w:t xml:space="preserve">Lopez Garcia and Soong </w:t>
      </w:r>
      <w:r w:rsidR="003E2784" w:rsidRPr="009E1EA6">
        <w:t>(</w:t>
      </w:r>
      <w:r w:rsidRPr="009E1EA6">
        <w:t>2003</w:t>
      </w:r>
      <w:r w:rsidR="002B2E19" w:rsidRPr="009E1EA6">
        <w:rPr>
          <w:vertAlign w:val="superscript"/>
        </w:rPr>
        <w:t>b</w:t>
      </w:r>
      <w:r w:rsidR="003E2784" w:rsidRPr="009E1EA6">
        <w:t>)</w:t>
      </w:r>
      <w:r w:rsidR="009B6725" w:rsidRPr="009E1EA6">
        <w:t xml:space="preserve"> </w:t>
      </w:r>
      <w:r w:rsidRPr="009E1EA6">
        <w:t>studied restrained blocks under earthquake loading; the authors showed that restrainers (e.g., cables</w:t>
      </w:r>
      <w:r w:rsidR="003E2784" w:rsidRPr="009E1EA6">
        <w:t xml:space="preserve"> and </w:t>
      </w:r>
      <w:r w:rsidRPr="009E1EA6">
        <w:t>anchors) reduce the block’s sliding response at the expense of increased accelerations, which can be harmful to precision equipment. Configuration details of base-isolated and restrained equipment are discussed in the next section.</w:t>
      </w:r>
    </w:p>
    <w:p w14:paraId="34CB7300" w14:textId="4E9EC652" w:rsidR="00A002FF" w:rsidRPr="009E1EA6" w:rsidRDefault="007160D7" w:rsidP="00333B77">
      <w:pPr>
        <w:pStyle w:val="Textoindependiente"/>
      </w:pPr>
      <w:r w:rsidRPr="009E1EA6">
        <w:t xml:space="preserve">The purpose of the present study is to evaluate the seismic risk of sliding rigid blocks, such as power generators, based on numerical solutions of the governing differential equations and the site-specific seismic hazard. Four types of support conditions are considered in the analysis: (1) equipment freestanding on the foundation; (2) equipment restrained to a fixed base; (3) equipment supported on a linear viscoelastic isolation system; and (4) equipment supported on a single concave spherical sliding (SCSS) isolation system. As an example, this study uses Mexican seismicity and Mexican electrical equipment to illustrate the effect of near-source and far-ﬁeld ground motions on </w:t>
      </w:r>
      <w:r w:rsidR="00251FAE" w:rsidRPr="009E1EA6">
        <w:t>the seismic risk</w:t>
      </w:r>
      <w:r w:rsidRPr="009E1EA6">
        <w:t xml:space="preserve">. Design recommendations are provided for the type of sliding mitigation measure appropriate for these different seismic environments. Finally, this study provides reference values of the seismic risk for typical sliding equipment subject to ground motions with different frequency content (i.e., </w:t>
      </w:r>
      <w:r w:rsidR="003E2784" w:rsidRPr="009E1EA6">
        <w:t>near-</w:t>
      </w:r>
      <w:r w:rsidRPr="009E1EA6">
        <w:t>source versus far-ﬁeld ground motions). Additionally, this study uses records from the 2017 Mw 8.2 Oaxaca earthquake (Mexico)</w:t>
      </w:r>
      <w:r w:rsidR="003E2784" w:rsidRPr="009E1EA6">
        <w:t>,</w:t>
      </w:r>
      <w:r w:rsidRPr="009E1EA6">
        <w:t xml:space="preserve"> which damaged several equipment located near the rupture area.</w:t>
      </w:r>
    </w:p>
    <w:p w14:paraId="7C07A4BB" w14:textId="77777777" w:rsidR="00A73785" w:rsidRPr="009E1EA6" w:rsidRDefault="00B74A7C" w:rsidP="00333B77">
      <w:pPr>
        <w:pStyle w:val="Ttulo1"/>
        <w:numPr>
          <w:ilvl w:val="0"/>
          <w:numId w:val="15"/>
        </w:numPr>
        <w:jc w:val="both"/>
      </w:pPr>
      <w:r w:rsidRPr="009E1EA6">
        <w:lastRenderedPageBreak/>
        <w:t>METHODOLOGY</w:t>
      </w:r>
    </w:p>
    <w:p w14:paraId="4C47A30D" w14:textId="5D66C71B" w:rsidR="00A73785" w:rsidRPr="009E1EA6" w:rsidRDefault="00B74A7C" w:rsidP="00A66B85">
      <w:pPr>
        <w:pStyle w:val="TextIndent"/>
        <w:ind w:firstLine="425"/>
        <w:rPr>
          <w:b w:val="0"/>
        </w:rPr>
      </w:pPr>
      <w:r w:rsidRPr="009E1EA6">
        <w:rPr>
          <w:b w:val="0"/>
        </w:rPr>
        <w:t xml:space="preserve">The seismic risk of sliding rigid blocks is described in three steps: (1) evaluation of the seismic response; (2) development of sliding and acceleration </w:t>
      </w:r>
      <w:r w:rsidR="00D335B7" w:rsidRPr="009E1EA6">
        <w:rPr>
          <w:b w:val="0"/>
        </w:rPr>
        <w:t>fragility functions</w:t>
      </w:r>
      <w:r w:rsidRPr="009E1EA6">
        <w:rPr>
          <w:b w:val="0"/>
        </w:rPr>
        <w:t>; and (3) convolution of seismic hazard and fragility functions. These steps are explained next.</w:t>
      </w:r>
    </w:p>
    <w:p w14:paraId="73471325" w14:textId="77777777" w:rsidR="00A73785" w:rsidRPr="009E1EA6" w:rsidRDefault="00A73785" w:rsidP="00A66B85">
      <w:pPr>
        <w:pStyle w:val="TextIndent"/>
      </w:pPr>
    </w:p>
    <w:p w14:paraId="08B66217" w14:textId="3DD3A18D" w:rsidR="00A73785" w:rsidRPr="009E1EA6" w:rsidRDefault="00B74A7C" w:rsidP="00A66B85">
      <w:pPr>
        <w:pStyle w:val="TextIndent"/>
      </w:pPr>
      <w:r w:rsidRPr="009E1EA6">
        <w:t>2.1 SEISMIC RESPONSE</w:t>
      </w:r>
    </w:p>
    <w:p w14:paraId="57DDB258" w14:textId="7530005A" w:rsidR="00D929F5" w:rsidRPr="009E1EA6" w:rsidRDefault="00B55B05" w:rsidP="00A66B85">
      <w:pPr>
        <w:pStyle w:val="TextIndent"/>
        <w:ind w:firstLine="425"/>
        <w:rPr>
          <w:b w:val="0"/>
        </w:rPr>
      </w:pPr>
      <w:r w:rsidRPr="009E1EA6">
        <w:rPr>
          <w:b w:val="0"/>
        </w:rPr>
        <w:t xml:space="preserve">Four equipment configurations are considered in this study: (1) equipment simply supported on </w:t>
      </w:r>
      <w:r w:rsidR="00BB0497" w:rsidRPr="009E1EA6">
        <w:rPr>
          <w:b w:val="0"/>
        </w:rPr>
        <w:t xml:space="preserve">a </w:t>
      </w:r>
      <w:r w:rsidRPr="009E1EA6">
        <w:rPr>
          <w:b w:val="0"/>
        </w:rPr>
        <w:t xml:space="preserve">foundation; (2) equipment restrained to a fixed base; (3) equipment supported on a linear viscoelastic isolation system; and (4) equipment supported on a single concave spherical sliding (SCSS) isolation system. In all cases, the base excitation acts along the horizontal axis. In addition, the dimensions of the equipment are such that rocking and uplifting motions cannot occur. Thus, the position of the block relative to the foundation is described with a single degree of freedom </w:t>
      </w:r>
      <m:oMath>
        <m:r>
          <m:rPr>
            <m:sty m:val="bi"/>
          </m:rPr>
          <w:rPr>
            <w:rFonts w:ascii="Cambria Math" w:hAnsi="Cambria Math"/>
          </w:rPr>
          <m:t>x</m:t>
        </m:r>
      </m:oMath>
      <w:r w:rsidR="00A73785" w:rsidRPr="009E1EA6">
        <w:rPr>
          <w:b w:val="0"/>
        </w:rPr>
        <w:t>, as shown in Figure 2. The governing equations of motion for each configuration are presented herein.</w:t>
      </w:r>
    </w:p>
    <w:p w14:paraId="6F0FB754" w14:textId="4AF130F2" w:rsidR="00EA48DD" w:rsidRPr="009E1EA6" w:rsidRDefault="006634E6" w:rsidP="00EA48DD">
      <w:pPr>
        <w:pStyle w:val="TextIndent"/>
        <w:rPr>
          <w:lang w:val="es-CL"/>
        </w:rPr>
      </w:pPr>
      <w:r w:rsidRPr="009E1EA6">
        <w:rPr>
          <w:noProof/>
          <w:lang w:val="es-CL" w:eastAsia="es-CL"/>
        </w:rPr>
        <w:drawing>
          <wp:inline distT="0" distB="0" distL="0" distR="0" wp14:anchorId="18BACF90" wp14:editId="3BAACD91">
            <wp:extent cx="5637933" cy="2596551"/>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7688" t="14476" r="10177" b="18245"/>
                    <a:stretch/>
                  </pic:blipFill>
                  <pic:spPr bwMode="auto">
                    <a:xfrm>
                      <a:off x="0" y="0"/>
                      <a:ext cx="5654198" cy="2604042"/>
                    </a:xfrm>
                    <a:prstGeom prst="rect">
                      <a:avLst/>
                    </a:prstGeom>
                    <a:ln>
                      <a:noFill/>
                    </a:ln>
                    <a:extLst>
                      <a:ext uri="{53640926-AAD7-44D8-BBD7-CCE9431645EC}">
                        <a14:shadowObscured xmlns:a14="http://schemas.microsoft.com/office/drawing/2010/main"/>
                      </a:ext>
                    </a:extLst>
                  </pic:spPr>
                </pic:pic>
              </a:graphicData>
            </a:graphic>
          </wp:inline>
        </w:drawing>
      </w:r>
    </w:p>
    <w:p w14:paraId="48F8F7CB" w14:textId="77777777" w:rsidR="00A73785" w:rsidRPr="009E1EA6" w:rsidRDefault="00B74A7C" w:rsidP="00333B77">
      <w:pPr>
        <w:pStyle w:val="FigureCaption"/>
        <w:spacing w:line="360" w:lineRule="auto"/>
      </w:pPr>
      <w:r w:rsidRPr="009E1EA6">
        <w:rPr>
          <w:b/>
        </w:rPr>
        <w:t>Figure 2.</w:t>
      </w:r>
      <w:r w:rsidRPr="009E1EA6">
        <w:rPr>
          <w:rFonts w:ascii="Arial" w:hAnsi="Arial"/>
          <w:b/>
          <w:i/>
          <w:sz w:val="18"/>
        </w:rPr>
        <w:t xml:space="preserve"> </w:t>
      </w:r>
      <w:r w:rsidR="00B9241F" w:rsidRPr="009E1EA6">
        <w:t>Schematic view of rigid electrical equipment in sliding motion: a) equipment simply supported on a fixed base; (b) equipment restrained to a fixed base; c) equipment supported on a seismic base isolator on linear viscoelastic bearings; and d) equipment supported on a SCSS isolator.</w:t>
      </w:r>
    </w:p>
    <w:p w14:paraId="1246FE57" w14:textId="77777777" w:rsidR="00A73785" w:rsidRPr="009E1EA6" w:rsidRDefault="00545187" w:rsidP="00333B77">
      <w:pPr>
        <w:pStyle w:val="Ttulo2"/>
      </w:pPr>
      <w:r w:rsidRPr="009E1EA6">
        <w:rPr>
          <w:caps w:val="0"/>
        </w:rPr>
        <w:t>2.1.1 Equipment simply supported on a fixed base</w:t>
      </w:r>
    </w:p>
    <w:p w14:paraId="4898100B" w14:textId="41ECE775" w:rsidR="00A73785" w:rsidRPr="009E1EA6" w:rsidRDefault="007600AD" w:rsidP="00333B77">
      <w:pPr>
        <w:pStyle w:val="Textoindependiente"/>
      </w:pPr>
      <w:r w:rsidRPr="009E1EA6">
        <w:t xml:space="preserve">The relative position of a simply supported block due to ground acceleration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rPr>
              <m:t>g</m:t>
            </m:r>
          </m:sub>
        </m:sSub>
      </m:oMath>
      <w:r w:rsidR="009F3063" w:rsidRPr="009E1EA6">
        <w:t xml:space="preserve"> (Shenton and Jones 1991</w:t>
      </w:r>
      <w:r w:rsidR="00435E79" w:rsidRPr="009E1EA6">
        <w:rPr>
          <w:vertAlign w:val="superscript"/>
        </w:rPr>
        <w:t>a</w:t>
      </w:r>
      <w:r w:rsidR="009F3063" w:rsidRPr="009E1EA6">
        <w:t>; Shenton 1996; Lopez Garcia and Soong 2003</w:t>
      </w:r>
      <w:r w:rsidR="009F3063" w:rsidRPr="009E1EA6">
        <w:rPr>
          <w:vertAlign w:val="superscript"/>
        </w:rPr>
        <w:t>a</w:t>
      </w:r>
      <w:r w:rsidR="00A9148B" w:rsidRPr="009E1EA6">
        <w:t>) is described as the second</w:t>
      </w:r>
      <w:r w:rsidR="00B74A7C" w:rsidRPr="009E1EA6">
        <w:t>-</w:t>
      </w:r>
      <w:r w:rsidR="00A9148B" w:rsidRPr="009E1EA6">
        <w:t>order differential equation</w:t>
      </w:r>
    </w:p>
    <w:tbl>
      <w:tblPr>
        <w:tblStyle w:val="Tablaconcuadrcula"/>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739"/>
      </w:tblGrid>
      <w:tr w:rsidR="009E1EA6" w:rsidRPr="009E1EA6" w14:paraId="446EE617" w14:textId="77777777" w:rsidTr="003F51FC">
        <w:tc>
          <w:tcPr>
            <w:tcW w:w="8328" w:type="dxa"/>
            <w:vAlign w:val="center"/>
          </w:tcPr>
          <w:p w14:paraId="0CAC57EE" w14:textId="77777777" w:rsidR="00A07420" w:rsidRPr="009E1EA6" w:rsidRDefault="00B74A7C" w:rsidP="00333B77">
            <w:pPr>
              <w:pStyle w:val="Textoindependiente"/>
              <w:spacing w:before="120"/>
              <w:ind w:firstLine="0"/>
              <w:jc w:val="left"/>
              <w:rPr>
                <w:lang w:val="en-US"/>
              </w:rPr>
            </w:pPr>
            <m:oMathPara>
              <m:oMathParaPr>
                <m:jc m:val="center"/>
              </m:oMathParaPr>
              <m:oMath>
                <m:r>
                  <w:rPr>
                    <w:rFonts w:ascii="Cambria Math" w:hAnsi="Cambria Math"/>
                    <w:lang w:val="en-US"/>
                  </w:rPr>
                  <w:lastRenderedPageBreak/>
                  <m:t>m</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sgn</m:t>
                </m:r>
                <m:d>
                  <m:dPr>
                    <m:ctrlPr>
                      <w:rPr>
                        <w:rFonts w:ascii="Cambria Math" w:hAnsi="Cambria Math"/>
                        <w:i/>
                        <w:lang w:val="en-US"/>
                      </w:rPr>
                    </m:ctrlPr>
                  </m:dPr>
                  <m:e>
                    <m:acc>
                      <m:accPr>
                        <m:chr m:val="̇"/>
                        <m:ctrlPr>
                          <w:rPr>
                            <w:rFonts w:ascii="Cambria Math" w:hAnsi="Cambria Math"/>
                            <w:i/>
                            <w:lang w:val="en-US"/>
                          </w:rPr>
                        </m:ctrlPr>
                      </m:accPr>
                      <m:e>
                        <m:r>
                          <w:rPr>
                            <w:rFonts w:ascii="Cambria Math" w:hAnsi="Cambria Math"/>
                            <w:lang w:val="en-US"/>
                          </w:rPr>
                          <m:t>x</m:t>
                        </m:r>
                      </m:e>
                    </m:acc>
                  </m:e>
                </m:d>
                <m:r>
                  <w:rPr>
                    <w:rFonts w:ascii="Cambria Math" w:hAnsi="Cambria Math"/>
                    <w:lang w:val="en-US"/>
                  </w:rPr>
                  <m:t>mg=-</m:t>
                </m:r>
                <m:sSub>
                  <m:sSubPr>
                    <m:ctrlPr>
                      <w:rPr>
                        <w:rFonts w:ascii="Cambria Math" w:hAnsi="Cambria Math"/>
                        <w:i/>
                        <w:lang w:val="en-US"/>
                      </w:rPr>
                    </m:ctrlPr>
                  </m:sSubPr>
                  <m:e>
                    <m:r>
                      <w:rPr>
                        <w:rFonts w:ascii="Cambria Math" w:hAnsi="Cambria Math"/>
                        <w:lang w:val="en-US"/>
                      </w:rPr>
                      <m:t>m</m:t>
                    </m:r>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oMath>
            </m:oMathPara>
          </w:p>
        </w:tc>
        <w:tc>
          <w:tcPr>
            <w:tcW w:w="739" w:type="dxa"/>
            <w:vAlign w:val="center"/>
          </w:tcPr>
          <w:p w14:paraId="4AB60872" w14:textId="77777777" w:rsidR="00A07420" w:rsidRPr="009E1EA6" w:rsidRDefault="00B74A7C" w:rsidP="00254D15">
            <w:pPr>
              <w:pStyle w:val="Textoindependiente"/>
              <w:spacing w:before="120"/>
              <w:ind w:firstLine="0"/>
              <w:rPr>
                <w:lang w:val="en-US"/>
              </w:rPr>
            </w:pPr>
            <w:r w:rsidRPr="009E1EA6">
              <w:rPr>
                <w:lang w:val="en-US"/>
              </w:rPr>
              <w:t>(1)</w:t>
            </w:r>
          </w:p>
        </w:tc>
      </w:tr>
    </w:tbl>
    <w:p w14:paraId="6D7DD0AD" w14:textId="1ED9A388" w:rsidR="00A66B85" w:rsidRPr="009E1EA6" w:rsidRDefault="00B74A7C" w:rsidP="00A66B85">
      <w:pPr>
        <w:pStyle w:val="Textoindependiente"/>
        <w:spacing w:before="120"/>
        <w:ind w:firstLine="0"/>
        <w:rPr>
          <w:szCs w:val="24"/>
        </w:rPr>
      </w:pPr>
      <w:r w:rsidRPr="009E1EA6">
        <w:t xml:space="preserve">where </w:t>
      </w:r>
      <m:oMath>
        <m:acc>
          <m:accPr>
            <m:chr m:val="̈"/>
            <m:ctrlPr>
              <w:rPr>
                <w:rFonts w:ascii="Cambria Math" w:hAnsi="Cambria Math"/>
                <w:i/>
              </w:rPr>
            </m:ctrlPr>
          </m:accPr>
          <m:e>
            <m:r>
              <w:rPr>
                <w:rFonts w:ascii="Cambria Math" w:hAnsi="Cambria Math"/>
              </w:rPr>
              <m:t>x</m:t>
            </m:r>
          </m:e>
        </m:acc>
      </m:oMath>
      <w:r w:rsidRPr="009E1EA6">
        <w:t xml:space="preserve"> is the block acceleration relative to the ground, </w:t>
      </w:r>
      <m:oMath>
        <m:acc>
          <m:accPr>
            <m:chr m:val="̇"/>
            <m:ctrlPr>
              <w:rPr>
                <w:rFonts w:ascii="Cambria Math" w:hAnsi="Cambria Math"/>
                <w:i/>
              </w:rPr>
            </m:ctrlPr>
          </m:accPr>
          <m:e>
            <m:r>
              <w:rPr>
                <w:rFonts w:ascii="Cambria Math" w:hAnsi="Cambria Math"/>
              </w:rPr>
              <m:t>x</m:t>
            </m:r>
          </m:e>
        </m:acc>
      </m:oMath>
      <w:r w:rsidRPr="009E1EA6">
        <w:t xml:space="preserve"> is the relative block velocity, the term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sgn</m:t>
        </m:r>
        <m:d>
          <m:dPr>
            <m:ctrlPr>
              <w:rPr>
                <w:rFonts w:ascii="Cambria Math" w:hAnsi="Cambria Math"/>
                <w:i/>
              </w:rPr>
            </m:ctrlPr>
          </m:dPr>
          <m:e>
            <m:acc>
              <m:accPr>
                <m:chr m:val="̇"/>
                <m:ctrlPr>
                  <w:rPr>
                    <w:rFonts w:ascii="Cambria Math" w:hAnsi="Cambria Math"/>
                    <w:i/>
                  </w:rPr>
                </m:ctrlPr>
              </m:accPr>
              <m:e>
                <m:r>
                  <w:rPr>
                    <w:rFonts w:ascii="Cambria Math" w:hAnsi="Cambria Math"/>
                  </w:rPr>
                  <m:t>x</m:t>
                </m:r>
              </m:e>
            </m:acc>
          </m:e>
        </m:d>
        <m:r>
          <w:rPr>
            <w:rFonts w:ascii="Cambria Math" w:hAnsi="Cambria Math"/>
          </w:rPr>
          <m:t>mg</m:t>
        </m:r>
      </m:oMath>
      <w:r w:rsidRPr="009E1EA6">
        <w:rPr>
          <w:szCs w:val="24"/>
        </w:rPr>
        <w:t xml:space="preserve"> is the friction force developed at the interface, </w:t>
      </w:r>
      <m:oMath>
        <m:sSub>
          <m:sSubPr>
            <m:ctrlPr>
              <w:rPr>
                <w:rFonts w:ascii="Cambria Math" w:hAnsi="Cambria Math"/>
                <w:i/>
                <w:lang w:eastAsia="es-MX"/>
              </w:rPr>
            </m:ctrlPr>
          </m:sSubPr>
          <m:e>
            <m:r>
              <w:rPr>
                <w:rFonts w:ascii="Cambria Math" w:hAnsi="Cambria Math"/>
              </w:rPr>
              <m:t>μ</m:t>
            </m:r>
          </m:e>
          <m:sub>
            <m:r>
              <w:rPr>
                <w:rFonts w:ascii="Cambria Math" w:hAnsi="Cambria Math"/>
              </w:rPr>
              <m:t>k</m:t>
            </m:r>
          </m:sub>
        </m:sSub>
      </m:oMath>
      <w:r w:rsidRPr="009E1EA6">
        <w:rPr>
          <w:szCs w:val="24"/>
        </w:rPr>
        <w:t xml:space="preserve"> is the coefficient of kinetic friction, and </w:t>
      </w:r>
      <m:oMath>
        <m:r>
          <w:rPr>
            <w:rFonts w:ascii="Cambria Math" w:hAnsi="Cambria Math"/>
          </w:rPr>
          <m:t>g</m:t>
        </m:r>
      </m:oMath>
      <w:r w:rsidRPr="009E1EA6">
        <w:rPr>
          <w:rFonts w:ascii="Cambria Math" w:hAnsi="Cambria Math"/>
        </w:rPr>
        <w:t xml:space="preserve"> is</w:t>
      </w:r>
      <w:r w:rsidRPr="009E1EA6">
        <w:rPr>
          <w:lang w:eastAsia="es-MX"/>
        </w:rPr>
        <w:t xml:space="preserve"> the gravity acceleration.</w:t>
      </w:r>
      <w:r w:rsidRPr="009E1EA6">
        <w:rPr>
          <w:szCs w:val="24"/>
        </w:rPr>
        <w:t xml:space="preserve"> Dividing both sides of Equation (1) by the block mass </w:t>
      </w:r>
      <m:oMath>
        <m:r>
          <w:rPr>
            <w:rFonts w:ascii="Cambria Math" w:hAnsi="Cambria Math"/>
            <w:szCs w:val="24"/>
          </w:rPr>
          <m:t>m</m:t>
        </m:r>
      </m:oMath>
      <w:r w:rsidRPr="009E1EA6">
        <w:rPr>
          <w:szCs w:val="24"/>
        </w:rPr>
        <w:t>, the equation of motion reduces to</w:t>
      </w:r>
    </w:p>
    <w:tbl>
      <w:tblPr>
        <w:tblStyle w:val="Tablaconcuadrcula"/>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739"/>
      </w:tblGrid>
      <w:tr w:rsidR="009E1EA6" w:rsidRPr="009E1EA6" w14:paraId="5876A4B2" w14:textId="77777777" w:rsidTr="003F51FC">
        <w:tc>
          <w:tcPr>
            <w:tcW w:w="8328" w:type="dxa"/>
            <w:vAlign w:val="center"/>
          </w:tcPr>
          <w:p w14:paraId="0EBB7243" w14:textId="77777777" w:rsidR="00A66B85" w:rsidRPr="009E1EA6" w:rsidRDefault="006E3CB7" w:rsidP="007D42D2">
            <w:pPr>
              <w:pStyle w:val="Textoindependiente"/>
              <w:spacing w:before="120"/>
              <w:ind w:firstLine="0"/>
              <w:jc w:val="left"/>
              <w:rPr>
                <w:lang w:val="en-US"/>
              </w:rPr>
            </w:pPr>
            <m:oMathPara>
              <m:oMathParaPr>
                <m:jc m:val="center"/>
              </m:oMathParaPr>
              <m:oMath>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sgn</m:t>
                </m:r>
                <m:d>
                  <m:dPr>
                    <m:ctrlPr>
                      <w:rPr>
                        <w:rFonts w:ascii="Cambria Math" w:hAnsi="Cambria Math"/>
                        <w:i/>
                        <w:lang w:val="en-US"/>
                      </w:rPr>
                    </m:ctrlPr>
                  </m:dPr>
                  <m:e>
                    <m:acc>
                      <m:accPr>
                        <m:chr m:val="̇"/>
                        <m:ctrlPr>
                          <w:rPr>
                            <w:rFonts w:ascii="Cambria Math" w:hAnsi="Cambria Math"/>
                            <w:i/>
                            <w:lang w:val="en-US"/>
                          </w:rPr>
                        </m:ctrlPr>
                      </m:accPr>
                      <m:e>
                        <m:r>
                          <w:rPr>
                            <w:rFonts w:ascii="Cambria Math" w:hAnsi="Cambria Math"/>
                            <w:lang w:val="en-US"/>
                          </w:rPr>
                          <m:t>x</m:t>
                        </m:r>
                      </m:e>
                    </m:acc>
                  </m:e>
                </m:d>
                <m:r>
                  <w:rPr>
                    <w:rFonts w:ascii="Cambria Math" w:hAnsi="Cambria Math"/>
                    <w:lang w:val="en-US"/>
                  </w:rPr>
                  <m:t>g-</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oMath>
            </m:oMathPara>
          </w:p>
        </w:tc>
        <w:tc>
          <w:tcPr>
            <w:tcW w:w="739" w:type="dxa"/>
            <w:vAlign w:val="center"/>
          </w:tcPr>
          <w:p w14:paraId="481B4018" w14:textId="77777777" w:rsidR="00A66B85" w:rsidRPr="009E1EA6" w:rsidRDefault="00B74A7C" w:rsidP="00254D15">
            <w:pPr>
              <w:pStyle w:val="Textoindependiente"/>
              <w:spacing w:before="120"/>
              <w:ind w:firstLine="0"/>
              <w:rPr>
                <w:lang w:val="en-US"/>
              </w:rPr>
            </w:pPr>
            <w:r w:rsidRPr="009E1EA6">
              <w:rPr>
                <w:lang w:val="en-US"/>
              </w:rPr>
              <w:t>(2)</w:t>
            </w:r>
          </w:p>
        </w:tc>
      </w:tr>
    </w:tbl>
    <w:p w14:paraId="5A99218C" w14:textId="40997C53" w:rsidR="003F51FC" w:rsidRPr="009E1EA6" w:rsidRDefault="00B74A7C" w:rsidP="003F51FC">
      <w:pPr>
        <w:pStyle w:val="Textoindependiente"/>
        <w:ind w:firstLine="0"/>
      </w:pPr>
      <w:r w:rsidRPr="009E1EA6">
        <w:rPr>
          <w:szCs w:val="24"/>
        </w:rPr>
        <w:t>Note that the friction force always act</w:t>
      </w:r>
      <w:r w:rsidR="00295FD7" w:rsidRPr="009E1EA6">
        <w:rPr>
          <w:szCs w:val="24"/>
        </w:rPr>
        <w:t>s</w:t>
      </w:r>
      <w:r w:rsidRPr="009E1EA6">
        <w:rPr>
          <w:szCs w:val="24"/>
        </w:rPr>
        <w:t xml:space="preserve"> in the direction opposite to the velocity, and when the inertia forces are not sufficient to mobilize the friction, no slip occurs, in which case the equation of motion is </w:t>
      </w:r>
      <m:oMath>
        <m:acc>
          <m:accPr>
            <m:chr m:val="̇"/>
            <m:ctrlPr>
              <w:rPr>
                <w:rFonts w:ascii="Cambria Math" w:hAnsi="Cambria Math"/>
                <w:i/>
                <w:szCs w:val="24"/>
              </w:rPr>
            </m:ctrlPr>
          </m:accPr>
          <m:e>
            <m:r>
              <w:rPr>
                <w:rFonts w:ascii="Cambria Math" w:hAnsi="Cambria Math"/>
                <w:szCs w:val="24"/>
              </w:rPr>
              <m:t>x</m:t>
            </m:r>
          </m:e>
        </m:acc>
        <m:r>
          <w:rPr>
            <w:rFonts w:ascii="Cambria Math" w:hAnsi="Cambria Math"/>
          </w:rPr>
          <m:t>=0</m:t>
        </m:r>
      </m:oMath>
      <w:r w:rsidR="00832A9A" w:rsidRPr="009E1EA6">
        <w:t>.</w:t>
      </w:r>
    </w:p>
    <w:p w14:paraId="3FA8CC61" w14:textId="77777777" w:rsidR="009B7576" w:rsidRPr="009E1EA6" w:rsidRDefault="00B74A7C" w:rsidP="009B7576">
      <w:pPr>
        <w:pStyle w:val="Ttulo2"/>
      </w:pPr>
      <w:r w:rsidRPr="009E1EA6">
        <w:rPr>
          <w:caps w:val="0"/>
        </w:rPr>
        <w:t>2.1.2 Equipment simply supported on a linear viscoelastic isolation system</w:t>
      </w:r>
    </w:p>
    <w:p w14:paraId="49B57AE2" w14:textId="77777777" w:rsidR="009B7576" w:rsidRPr="009E1EA6" w:rsidRDefault="00B74A7C" w:rsidP="009B7576">
      <w:pPr>
        <w:pStyle w:val="Textoindependiente"/>
        <w:rPr>
          <w:szCs w:val="24"/>
        </w:rPr>
      </w:pPr>
      <w:r w:rsidRPr="009E1EA6">
        <w:t xml:space="preserve">The equation of motion for a block simply supported on a linear viscoelastic isolation system can be derived from Equation (1) by substituting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rPr>
              <m:t>g</m:t>
            </m:r>
          </m:sub>
        </m:sSub>
      </m:oMath>
      <w:r w:rsidRPr="009E1EA6">
        <w:rPr>
          <w:lang w:eastAsia="es-MX"/>
        </w:rPr>
        <w:t xml:space="preserve"> </w:t>
      </w:r>
      <w:r w:rsidRPr="009E1EA6">
        <w:t xml:space="preserve">with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rPr>
              <m:t>g</m:t>
            </m:r>
          </m:sub>
        </m:sSub>
        <m:r>
          <w:rPr>
            <w:rFonts w:ascii="Cambria Math" w:hAnsi="Cambria Math"/>
            <w:lang w:eastAsia="es-MX"/>
          </w:rPr>
          <m:t>+</m:t>
        </m:r>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lang w:eastAsia="es-MX"/>
              </w:rPr>
              <m:t>b</m:t>
            </m:r>
          </m:sub>
        </m:sSub>
      </m:oMath>
      <w:r w:rsidRPr="009E1EA6">
        <w:rPr>
          <w:lang w:eastAsia="es-MX"/>
        </w:rPr>
        <w:t xml:space="preserve">, where </w:t>
      </w:r>
      <m:oMath>
        <m:sSub>
          <m:sSubPr>
            <m:ctrlPr>
              <w:rPr>
                <w:rFonts w:ascii="Cambria Math" w:hAnsi="Cambria Math"/>
                <w:i/>
                <w:lang w:eastAsia="es-MX"/>
              </w:rPr>
            </m:ctrlPr>
          </m:sSubPr>
          <m:e>
            <m:r>
              <w:rPr>
                <w:rFonts w:ascii="Cambria Math" w:hAnsi="Cambria Math"/>
                <w:lang w:eastAsia="es-MX"/>
              </w:rPr>
              <m:t>x</m:t>
            </m:r>
          </m:e>
          <m:sub>
            <m:r>
              <w:rPr>
                <w:rFonts w:ascii="Cambria Math" w:hAnsi="Cambria Math"/>
                <w:lang w:eastAsia="es-MX"/>
              </w:rPr>
              <m:t>b</m:t>
            </m:r>
          </m:sub>
        </m:sSub>
      </m:oMath>
      <w:r w:rsidRPr="009E1EA6">
        <w:rPr>
          <w:szCs w:val="24"/>
        </w:rPr>
        <w:t xml:space="preserve"> is the position of the isolated base relative to the ground. Then, Equation (1) becomes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06CACBA4" w14:textId="77777777" w:rsidTr="00DC4036">
        <w:tc>
          <w:tcPr>
            <w:tcW w:w="8328" w:type="dxa"/>
            <w:vAlign w:val="center"/>
          </w:tcPr>
          <w:p w14:paraId="5237FB2E" w14:textId="77777777" w:rsidR="009B7576" w:rsidRPr="009E1EA6" w:rsidRDefault="00B74A7C" w:rsidP="00DC4036">
            <w:pPr>
              <w:pStyle w:val="Textoindependiente"/>
              <w:spacing w:before="120"/>
              <w:ind w:firstLine="0"/>
              <w:jc w:val="left"/>
              <w:rPr>
                <w:lang w:val="en-US"/>
              </w:rPr>
            </w:pPr>
            <m:oMathPara>
              <m:oMathParaPr>
                <m:jc m:val="center"/>
              </m:oMathParaPr>
              <m:oMath>
                <m:r>
                  <w:rPr>
                    <w:rFonts w:ascii="Cambria Math" w:hAnsi="Cambria Math"/>
                    <w:lang w:val="en-US"/>
                  </w:rPr>
                  <m:t>m</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∙sgn</m:t>
                </m:r>
                <m:d>
                  <m:dPr>
                    <m:ctrlPr>
                      <w:rPr>
                        <w:rFonts w:ascii="Cambria Math" w:hAnsi="Cambria Math"/>
                        <w:i/>
                        <w:lang w:val="en-US"/>
                      </w:rPr>
                    </m:ctrlPr>
                  </m:dPr>
                  <m:e>
                    <m:acc>
                      <m:accPr>
                        <m:chr m:val="̇"/>
                        <m:ctrlPr>
                          <w:rPr>
                            <w:rFonts w:ascii="Cambria Math" w:hAnsi="Cambria Math"/>
                            <w:i/>
                            <w:lang w:val="en-US"/>
                          </w:rPr>
                        </m:ctrlPr>
                      </m:accPr>
                      <m:e>
                        <m:r>
                          <w:rPr>
                            <w:rFonts w:ascii="Cambria Math" w:hAnsi="Cambria Math"/>
                            <w:lang w:val="en-US"/>
                          </w:rPr>
                          <m:t>x</m:t>
                        </m:r>
                      </m:e>
                    </m:acc>
                  </m:e>
                </m:d>
                <m:r>
                  <w:rPr>
                    <w:rFonts w:ascii="Cambria Math" w:hAnsi="Cambria Math"/>
                    <w:lang w:val="en-US"/>
                  </w:rPr>
                  <m:t>mg=-m</m:t>
                </m:r>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e>
                </m:d>
              </m:oMath>
            </m:oMathPara>
          </w:p>
        </w:tc>
        <w:tc>
          <w:tcPr>
            <w:tcW w:w="903" w:type="dxa"/>
            <w:vAlign w:val="center"/>
          </w:tcPr>
          <w:p w14:paraId="48ABEDB3" w14:textId="77777777" w:rsidR="009B7576" w:rsidRPr="009E1EA6" w:rsidRDefault="00B74A7C" w:rsidP="009B7576">
            <w:pPr>
              <w:pStyle w:val="Textoindependiente"/>
              <w:spacing w:before="120"/>
              <w:ind w:firstLine="0"/>
              <w:rPr>
                <w:lang w:val="en-US"/>
              </w:rPr>
            </w:pPr>
            <w:r w:rsidRPr="009E1EA6">
              <w:rPr>
                <w:lang w:val="en-US"/>
              </w:rPr>
              <w:t>(3)</w:t>
            </w:r>
          </w:p>
        </w:tc>
      </w:tr>
    </w:tbl>
    <w:p w14:paraId="2CF2FD5D" w14:textId="047ACF7D" w:rsidR="009B7576" w:rsidRPr="009E1EA6" w:rsidRDefault="00B74A7C" w:rsidP="009B7576">
      <w:pPr>
        <w:pStyle w:val="Textoindependiente"/>
      </w:pPr>
      <w:r w:rsidRPr="009E1EA6">
        <w:rPr>
          <w:lang w:eastAsia="es-MX"/>
        </w:rPr>
        <w:t xml:space="preserve"> </w:t>
      </w:r>
      <w:r w:rsidRPr="009E1EA6">
        <w:t>Moreover, the horizontal force equilibrium of the isolated base gives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3A9CF25B" w14:textId="77777777" w:rsidTr="00DC4036">
        <w:tc>
          <w:tcPr>
            <w:tcW w:w="8328" w:type="dxa"/>
            <w:vAlign w:val="center"/>
          </w:tcPr>
          <w:p w14:paraId="00EEA7C4" w14:textId="77777777" w:rsidR="009B7576" w:rsidRPr="009E1EA6" w:rsidRDefault="00B74A7C" w:rsidP="00DC4036">
            <w:pPr>
              <w:pStyle w:val="Textoindependiente"/>
              <w:spacing w:before="120"/>
              <w:ind w:firstLine="0"/>
              <w:jc w:val="left"/>
              <w:rPr>
                <w:lang w:val="en-US"/>
              </w:rPr>
            </w:pPr>
            <m:oMathPara>
              <m:oMathParaPr>
                <m:jc m:val="center"/>
              </m:oMathParaP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b</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b</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b</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b</m:t>
                    </m:r>
                  </m:sub>
                </m:sSub>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e>
                </m:d>
                <m:r>
                  <w:rPr>
                    <w:rFonts w:ascii="Cambria Math" w:hAnsi="Cambria Math"/>
                    <w:lang w:val="en-US"/>
                  </w:rPr>
                  <m:t>+m</m:t>
                </m:r>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e>
                </m:d>
              </m:oMath>
            </m:oMathPara>
          </w:p>
        </w:tc>
        <w:tc>
          <w:tcPr>
            <w:tcW w:w="903" w:type="dxa"/>
            <w:vAlign w:val="center"/>
          </w:tcPr>
          <w:p w14:paraId="5EA6A88C" w14:textId="77777777" w:rsidR="009B7576" w:rsidRPr="009E1EA6" w:rsidRDefault="00B74A7C" w:rsidP="00437EBC">
            <w:pPr>
              <w:pStyle w:val="Textoindependiente"/>
              <w:spacing w:before="120"/>
              <w:ind w:firstLine="0"/>
              <w:rPr>
                <w:lang w:val="en-US"/>
              </w:rPr>
            </w:pPr>
            <w:r w:rsidRPr="009E1EA6">
              <w:rPr>
                <w:lang w:val="en-US"/>
              </w:rPr>
              <w:t>(4)</w:t>
            </w:r>
          </w:p>
        </w:tc>
      </w:tr>
    </w:tbl>
    <w:p w14:paraId="320A56CA" w14:textId="3A6A5DAE" w:rsidR="009B7576" w:rsidRPr="009E1EA6" w:rsidRDefault="00BB0497" w:rsidP="009B6725">
      <w:pPr>
        <w:pStyle w:val="Textoindependiente"/>
        <w:ind w:firstLine="0"/>
        <w:rPr>
          <w:lang w:eastAsia="es-MX"/>
        </w:rPr>
      </w:pPr>
      <w:r w:rsidRPr="009E1EA6">
        <w:rPr>
          <w:szCs w:val="24"/>
        </w:rPr>
        <w:t>where</w:t>
      </w:r>
      <w:r w:rsidR="00B74A7C" w:rsidRPr="009E1EA6">
        <w:rPr>
          <w:szCs w:val="24"/>
        </w:rPr>
        <w:t xml:space="preserve"> </w:t>
      </w:r>
      <m:oMath>
        <m:sSub>
          <m:sSubPr>
            <m:ctrlPr>
              <w:rPr>
                <w:rFonts w:ascii="Cambria Math" w:hAnsi="Cambria Math"/>
                <w:i/>
                <w:lang w:eastAsia="es-MX"/>
              </w:rPr>
            </m:ctrlPr>
          </m:sSubPr>
          <m:e>
            <m:r>
              <w:rPr>
                <w:rFonts w:ascii="Cambria Math" w:hAnsi="Cambria Math"/>
              </w:rPr>
              <m:t>m</m:t>
            </m:r>
          </m:e>
          <m:sub>
            <m:r>
              <w:rPr>
                <w:rFonts w:ascii="Cambria Math" w:hAnsi="Cambria Math"/>
              </w:rPr>
              <m:t>b</m:t>
            </m:r>
          </m:sub>
        </m:sSub>
      </m:oMath>
      <w:r w:rsidR="00B74A7C" w:rsidRPr="009E1EA6">
        <w:rPr>
          <w:szCs w:val="24"/>
        </w:rPr>
        <w:t xml:space="preserve"> is the </w:t>
      </w:r>
      <w:r w:rsidR="00295FD7" w:rsidRPr="009E1EA6">
        <w:rPr>
          <w:szCs w:val="24"/>
        </w:rPr>
        <w:t>mass of</w:t>
      </w:r>
      <w:r w:rsidR="00B74A7C" w:rsidRPr="009E1EA6">
        <w:rPr>
          <w:szCs w:val="24"/>
        </w:rPr>
        <w:t xml:space="preserve"> the</w:t>
      </w:r>
      <w:r w:rsidR="00295FD7" w:rsidRPr="009E1EA6">
        <w:rPr>
          <w:szCs w:val="24"/>
        </w:rPr>
        <w:t xml:space="preserve"> </w:t>
      </w:r>
      <w:r w:rsidR="00B74A7C" w:rsidRPr="009E1EA6">
        <w:rPr>
          <w:szCs w:val="24"/>
        </w:rPr>
        <w:t>isolat</w:t>
      </w:r>
      <w:r w:rsidR="00295FD7" w:rsidRPr="009E1EA6">
        <w:rPr>
          <w:szCs w:val="24"/>
        </w:rPr>
        <w:t>ed base</w:t>
      </w:r>
      <w:r w:rsidR="00B74A7C" w:rsidRPr="009E1EA6">
        <w:rPr>
          <w:szCs w:val="24"/>
        </w:rPr>
        <w:t>,</w:t>
      </w:r>
      <w:r w:rsidRPr="009E1EA6">
        <w:rPr>
          <w:szCs w:val="24"/>
        </w:rPr>
        <w:t xml:space="preserve"> and</w:t>
      </w:r>
      <w:r w:rsidR="00B74A7C" w:rsidRPr="009E1EA6">
        <w:rPr>
          <w:szCs w:val="24"/>
        </w:rPr>
        <w:t xml:space="preserve"> </w:t>
      </w:r>
      <m:oMath>
        <m:sSub>
          <m:sSubPr>
            <m:ctrlPr>
              <w:rPr>
                <w:rFonts w:ascii="Cambria Math" w:hAnsi="Cambria Math"/>
                <w:i/>
                <w:lang w:eastAsia="es-MX"/>
              </w:rPr>
            </m:ctrlPr>
          </m:sSubPr>
          <m:e>
            <m:r>
              <w:rPr>
                <w:rFonts w:ascii="Cambria Math" w:hAnsi="Cambria Math"/>
              </w:rPr>
              <m:t>k</m:t>
            </m:r>
          </m:e>
          <m:sub>
            <m:r>
              <w:rPr>
                <w:rFonts w:ascii="Cambria Math" w:hAnsi="Cambria Math"/>
              </w:rPr>
              <m:t>b</m:t>
            </m:r>
          </m:sub>
        </m:sSub>
      </m:oMath>
      <w:r w:rsidR="00B74A7C" w:rsidRPr="009E1EA6">
        <w:rPr>
          <w:lang w:eastAsia="es-MX"/>
        </w:rPr>
        <w:t xml:space="preserve"> and </w:t>
      </w:r>
      <m:oMath>
        <m:sSub>
          <m:sSubPr>
            <m:ctrlPr>
              <w:rPr>
                <w:rFonts w:ascii="Cambria Math" w:hAnsi="Cambria Math"/>
                <w:i/>
                <w:lang w:eastAsia="es-MX"/>
              </w:rPr>
            </m:ctrlPr>
          </m:sSubPr>
          <m:e>
            <m:r>
              <w:rPr>
                <w:rFonts w:ascii="Cambria Math" w:hAnsi="Cambria Math"/>
              </w:rPr>
              <m:t>c</m:t>
            </m:r>
          </m:e>
          <m:sub>
            <m:r>
              <w:rPr>
                <w:rFonts w:ascii="Cambria Math" w:hAnsi="Cambria Math"/>
              </w:rPr>
              <m:t>b</m:t>
            </m:r>
          </m:sub>
        </m:sSub>
      </m:oMath>
      <w:r w:rsidR="00B74A7C" w:rsidRPr="009E1EA6">
        <w:rPr>
          <w:lang w:eastAsia="es-MX"/>
        </w:rPr>
        <w:t xml:space="preserve"> are the stiffness and damping of the isolation system, respectively. In Equations (3) and (4), the acceleration terms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lang w:eastAsia="es-MX"/>
              </w:rPr>
              <m:t>b</m:t>
            </m:r>
          </m:sub>
        </m:sSub>
      </m:oMath>
      <w:r w:rsidR="00B74A7C" w:rsidRPr="009E1EA6">
        <w:rPr>
          <w:lang w:eastAsia="es-MX"/>
        </w:rPr>
        <w:t xml:space="preserve"> and </w:t>
      </w:r>
      <m:oMath>
        <m:acc>
          <m:accPr>
            <m:chr m:val="̈"/>
            <m:ctrlPr>
              <w:rPr>
                <w:rFonts w:ascii="Cambria Math" w:hAnsi="Cambria Math"/>
                <w:i/>
                <w:lang w:eastAsia="es-MX"/>
              </w:rPr>
            </m:ctrlPr>
          </m:accPr>
          <m:e>
            <m:r>
              <w:rPr>
                <w:rFonts w:ascii="Cambria Math" w:hAnsi="Cambria Math"/>
              </w:rPr>
              <m:t>x</m:t>
            </m:r>
          </m:e>
        </m:acc>
      </m:oMath>
      <w:r w:rsidR="00B74A7C" w:rsidRPr="009E1EA6">
        <w:rPr>
          <w:lang w:eastAsia="es-MX"/>
        </w:rPr>
        <w:t xml:space="preserve"> can be written explicitly as a function of the state variables </w:t>
      </w:r>
      <m:oMath>
        <m:sSub>
          <m:sSubPr>
            <m:ctrlPr>
              <w:rPr>
                <w:rFonts w:ascii="Cambria Math" w:hAnsi="Cambria Math"/>
                <w:i/>
              </w:rPr>
            </m:ctrlPr>
          </m:sSubPr>
          <m:e>
            <m:r>
              <w:rPr>
                <w:rFonts w:ascii="Cambria Math" w:hAnsi="Cambria Math"/>
              </w:rPr>
              <m:t>x</m:t>
            </m:r>
          </m:e>
          <m:sub>
            <m:r>
              <w:rPr>
                <w:rFonts w:ascii="Cambria Math" w:hAnsi="Cambria Math"/>
              </w:rPr>
              <m:t>b</m:t>
            </m:r>
          </m:sub>
        </m:sSub>
      </m:oMath>
      <w:r w:rsidR="00B74A7C" w:rsidRPr="009E1EA6">
        <w:rPr>
          <w:lang w:eastAsia="es-MX"/>
        </w:rPr>
        <w:t xml:space="preserve">,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lang w:eastAsia="es-MX"/>
              </w:rPr>
              <m:t>b</m:t>
            </m:r>
          </m:sub>
        </m:sSub>
      </m:oMath>
      <w:r w:rsidR="00B74A7C" w:rsidRPr="009E1EA6">
        <w:rPr>
          <w:lang w:eastAsia="es-MX"/>
        </w:rPr>
        <w:t xml:space="preserve">, </w:t>
      </w:r>
      <m:oMath>
        <m:r>
          <w:rPr>
            <w:rFonts w:ascii="Cambria Math" w:hAnsi="Cambria Math"/>
            <w:lang w:eastAsia="es-MX"/>
          </w:rPr>
          <m:t>x</m:t>
        </m:r>
      </m:oMath>
      <w:r w:rsidR="00B74A7C" w:rsidRPr="009E1EA6">
        <w:rPr>
          <w:lang w:eastAsia="es-MX"/>
        </w:rPr>
        <w:t xml:space="preserve">, and </w:t>
      </w:r>
      <m:oMath>
        <m:acc>
          <m:accPr>
            <m:chr m:val="̇"/>
            <m:ctrlPr>
              <w:rPr>
                <w:rFonts w:ascii="Cambria Math" w:hAnsi="Cambria Math"/>
                <w:i/>
                <w:lang w:eastAsia="es-MX"/>
              </w:rPr>
            </m:ctrlPr>
          </m:accPr>
          <m:e>
            <m:r>
              <w:rPr>
                <w:rFonts w:ascii="Cambria Math" w:hAnsi="Cambria Math"/>
              </w:rPr>
              <m:t>x</m:t>
            </m:r>
          </m:e>
        </m:acc>
      </m:oMath>
      <w:r w:rsidR="00B74A7C" w:rsidRPr="009E1EA6">
        <w:rPr>
          <w:lang w:eastAsia="es-MX"/>
        </w:rPr>
        <w:t xml:space="preserve">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433F927F" w14:textId="77777777" w:rsidTr="00DC4036">
        <w:tc>
          <w:tcPr>
            <w:tcW w:w="8328" w:type="dxa"/>
            <w:vAlign w:val="center"/>
          </w:tcPr>
          <w:p w14:paraId="51B05308" w14:textId="77777777" w:rsidR="009B7576" w:rsidRPr="009E1EA6" w:rsidRDefault="006E3CB7" w:rsidP="00DC4036">
            <w:pPr>
              <w:pStyle w:val="Textoindependiente"/>
              <w:spacing w:before="120"/>
              <w:ind w:firstLine="0"/>
              <w:jc w:val="left"/>
              <w:rPr>
                <w:lang w:val="en-US"/>
              </w:rPr>
            </w:pPr>
            <m:oMathPara>
              <m:oMathParaPr>
                <m:jc m:val="center"/>
              </m:oMathParaPr>
              <m:oMath>
                <m:sSub>
                  <m:sSubPr>
                    <m:ctrlPr>
                      <w:rPr>
                        <w:rFonts w:ascii="Cambria Math" w:hAnsi="Cambria Math" w:cs="Arial"/>
                        <w:i/>
                        <w:szCs w:val="24"/>
                        <w:lang w:val="en-US"/>
                      </w:rPr>
                    </m:ctrlPr>
                  </m:sSubPr>
                  <m:e>
                    <m:acc>
                      <m:accPr>
                        <m:chr m:val="̈"/>
                        <m:ctrlPr>
                          <w:rPr>
                            <w:rFonts w:ascii="Cambria Math" w:hAnsi="Cambria Math" w:cs="Arial"/>
                            <w:i/>
                            <w:szCs w:val="24"/>
                            <w:lang w:val="en-US"/>
                          </w:rPr>
                        </m:ctrlPr>
                      </m:accPr>
                      <m:e>
                        <m:r>
                          <w:rPr>
                            <w:rFonts w:ascii="Cambria Math" w:hAnsi="Cambria Math" w:cs="Arial"/>
                            <w:szCs w:val="24"/>
                            <w:lang w:val="en-US"/>
                          </w:rPr>
                          <m:t>x</m:t>
                        </m:r>
                      </m:e>
                    </m:acc>
                  </m:e>
                  <m:sub>
                    <m:r>
                      <w:rPr>
                        <w:rFonts w:ascii="Cambria Math" w:hAnsi="Cambria Math" w:cs="Arial"/>
                        <w:szCs w:val="24"/>
                        <w:lang w:val="en-US"/>
                      </w:rPr>
                      <m:t>b</m:t>
                    </m:r>
                  </m:sub>
                </m:sSub>
                <m:r>
                  <w:rPr>
                    <w:rFonts w:ascii="Cambria Math" w:hAnsi="Cambria Math" w:cs="Arial"/>
                    <w:szCs w:val="24"/>
                    <w:lang w:val="en-US"/>
                  </w:rPr>
                  <m:t>=-γ</m:t>
                </m:r>
                <m:acc>
                  <m:accPr>
                    <m:chr m:val="̈"/>
                    <m:ctrlPr>
                      <w:rPr>
                        <w:rFonts w:ascii="Cambria Math" w:hAnsi="Cambria Math" w:cs="Arial"/>
                        <w:i/>
                        <w:szCs w:val="24"/>
                        <w:lang w:val="en-US"/>
                      </w:rPr>
                    </m:ctrlPr>
                  </m:accPr>
                  <m:e>
                    <m:r>
                      <w:rPr>
                        <w:rFonts w:ascii="Cambria Math" w:hAnsi="Cambria Math" w:cs="Arial"/>
                        <w:szCs w:val="24"/>
                        <w:lang w:val="en-US"/>
                      </w:rPr>
                      <m:t>x</m:t>
                    </m:r>
                  </m:e>
                </m:acc>
                <m:r>
                  <w:rPr>
                    <w:rFonts w:ascii="Cambria Math" w:hAnsi="Cambria Math" w:cs="Arial"/>
                    <w:szCs w:val="24"/>
                    <w:lang w:val="en-US"/>
                  </w:rPr>
                  <m:t>-2</m:t>
                </m:r>
                <m:sSub>
                  <m:sSubPr>
                    <m:ctrlPr>
                      <w:rPr>
                        <w:rFonts w:ascii="Cambria Math" w:hAnsi="Cambria Math"/>
                        <w:i/>
                        <w:lang w:val="en-US"/>
                      </w:rPr>
                    </m:ctrlPr>
                  </m:sSubPr>
                  <m:e>
                    <m:r>
                      <w:rPr>
                        <w:rFonts w:ascii="Cambria Math" w:hAnsi="Cambria Math"/>
                        <w:szCs w:val="24"/>
                        <w:lang w:val="en-US"/>
                      </w:rPr>
                      <m:t>ξ</m:t>
                    </m:r>
                  </m:e>
                  <m:sub>
                    <m:r>
                      <w:rPr>
                        <w:rFonts w:ascii="Cambria Math" w:hAnsi="Cambria Math"/>
                        <w:lang w:val="en-US"/>
                      </w:rPr>
                      <m:t>b</m:t>
                    </m:r>
                  </m:sub>
                </m:sSub>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b</m:t>
                    </m:r>
                  </m:sub>
                </m:sSub>
                <m:sSub>
                  <m:sSubPr>
                    <m:ctrlPr>
                      <w:rPr>
                        <w:rFonts w:ascii="Cambria Math" w:hAnsi="Cambria Math" w:cs="Arial"/>
                        <w:i/>
                        <w:szCs w:val="24"/>
                        <w:lang w:val="en-US"/>
                      </w:rPr>
                    </m:ctrlPr>
                  </m:sSubPr>
                  <m:e>
                    <m:acc>
                      <m:accPr>
                        <m:chr m:val="̇"/>
                        <m:ctrlPr>
                          <w:rPr>
                            <w:rFonts w:ascii="Cambria Math" w:hAnsi="Cambria Math" w:cs="Arial"/>
                            <w:i/>
                            <w:szCs w:val="24"/>
                            <w:lang w:val="en-US"/>
                          </w:rPr>
                        </m:ctrlPr>
                      </m:accPr>
                      <m:e>
                        <m:r>
                          <w:rPr>
                            <w:rFonts w:ascii="Cambria Math" w:hAnsi="Cambria Math" w:cs="Arial"/>
                            <w:szCs w:val="24"/>
                            <w:lang w:val="en-US"/>
                          </w:rPr>
                          <m:t>x</m:t>
                        </m:r>
                      </m:e>
                    </m:acc>
                  </m:e>
                  <m:sub>
                    <m:r>
                      <w:rPr>
                        <w:rFonts w:ascii="Cambria Math" w:hAnsi="Cambria Math" w:cs="Arial"/>
                        <w:szCs w:val="24"/>
                        <w:lang w:val="en-US"/>
                      </w:rPr>
                      <m:t>b</m:t>
                    </m:r>
                  </m:sub>
                </m:sSub>
                <m:r>
                  <w:rPr>
                    <w:rFonts w:ascii="Cambria Math" w:hAnsi="Cambria Math" w:cs="Arial"/>
                    <w:szCs w:val="24"/>
                    <w:lang w:val="en-US"/>
                  </w:rPr>
                  <m:t>-</m:t>
                </m:r>
                <m:sSubSup>
                  <m:sSubSupPr>
                    <m:ctrlPr>
                      <w:rPr>
                        <w:rFonts w:ascii="Cambria Math" w:hAnsi="Cambria Math"/>
                        <w:i/>
                        <w:lang w:val="en-US"/>
                      </w:rPr>
                    </m:ctrlPr>
                  </m:sSubSupPr>
                  <m:e>
                    <m:r>
                      <w:rPr>
                        <w:rFonts w:ascii="Cambria Math" w:hAnsi="Cambria Math"/>
                        <w:lang w:val="en-US"/>
                      </w:rPr>
                      <m:t>ω</m:t>
                    </m:r>
                  </m:e>
                  <m:sub>
                    <m:r>
                      <w:rPr>
                        <w:rFonts w:ascii="Cambria Math" w:hAnsi="Cambria Math"/>
                        <w:lang w:val="en-US"/>
                      </w:rPr>
                      <m:t>b</m:t>
                    </m:r>
                  </m:sub>
                  <m:sup>
                    <m:r>
                      <w:rPr>
                        <w:rFonts w:ascii="Cambria Math" w:hAnsi="Cambria Math"/>
                        <w:lang w:val="en-US"/>
                      </w:rPr>
                      <m:t>2</m:t>
                    </m:r>
                  </m:sup>
                </m:sSubSup>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b</m:t>
                    </m:r>
                  </m:sub>
                </m:sSub>
                <m:r>
                  <w:rPr>
                    <w:rFonts w:ascii="Cambria Math" w:hAnsi="Cambria Math" w:cs="Arial"/>
                    <w:szCs w:val="24"/>
                    <w:lang w:val="en-US"/>
                  </w:rPr>
                  <m:t>-</m:t>
                </m:r>
                <m:sSub>
                  <m:sSubPr>
                    <m:ctrlPr>
                      <w:rPr>
                        <w:rFonts w:ascii="Cambria Math" w:hAnsi="Cambria Math" w:cs="Arial"/>
                        <w:i/>
                        <w:szCs w:val="24"/>
                        <w:lang w:val="en-US"/>
                      </w:rPr>
                    </m:ctrlPr>
                  </m:sSubPr>
                  <m:e>
                    <m:acc>
                      <m:accPr>
                        <m:chr m:val="̈"/>
                        <m:ctrlPr>
                          <w:rPr>
                            <w:rFonts w:ascii="Cambria Math" w:hAnsi="Cambria Math" w:cs="Arial"/>
                            <w:i/>
                            <w:szCs w:val="24"/>
                            <w:lang w:val="en-US"/>
                          </w:rPr>
                        </m:ctrlPr>
                      </m:accPr>
                      <m:e>
                        <m:r>
                          <w:rPr>
                            <w:rFonts w:ascii="Cambria Math" w:hAnsi="Cambria Math" w:cs="Arial"/>
                            <w:szCs w:val="24"/>
                            <w:lang w:val="en-US"/>
                          </w:rPr>
                          <m:t>x</m:t>
                        </m:r>
                      </m:e>
                    </m:acc>
                  </m:e>
                  <m:sub>
                    <m:r>
                      <w:rPr>
                        <w:rFonts w:ascii="Cambria Math" w:hAnsi="Cambria Math" w:cs="Arial"/>
                        <w:szCs w:val="24"/>
                        <w:lang w:val="en-US"/>
                      </w:rPr>
                      <m:t>g</m:t>
                    </m:r>
                  </m:sub>
                </m:sSub>
              </m:oMath>
            </m:oMathPara>
          </w:p>
        </w:tc>
        <w:tc>
          <w:tcPr>
            <w:tcW w:w="903" w:type="dxa"/>
            <w:vAlign w:val="center"/>
          </w:tcPr>
          <w:p w14:paraId="746E36F7" w14:textId="77777777" w:rsidR="009B7576" w:rsidRPr="009E1EA6" w:rsidRDefault="00B74A7C" w:rsidP="009B7576">
            <w:pPr>
              <w:pStyle w:val="Textoindependiente"/>
              <w:spacing w:before="120"/>
              <w:ind w:firstLine="0"/>
              <w:rPr>
                <w:lang w:val="en-US"/>
              </w:rPr>
            </w:pPr>
            <w:r w:rsidRPr="009E1EA6">
              <w:rPr>
                <w:lang w:val="en-US"/>
              </w:rPr>
              <w:t>(5.1)</w:t>
            </w:r>
          </w:p>
        </w:tc>
      </w:tr>
      <w:tr w:rsidR="009E1EA6" w:rsidRPr="009E1EA6" w14:paraId="4FC8FD63" w14:textId="77777777" w:rsidTr="00DC4036">
        <w:tc>
          <w:tcPr>
            <w:tcW w:w="8328" w:type="dxa"/>
            <w:vAlign w:val="center"/>
          </w:tcPr>
          <w:p w14:paraId="78E3FA35" w14:textId="77777777" w:rsidR="009B7576" w:rsidRPr="009E1EA6" w:rsidRDefault="006E3CB7" w:rsidP="00DC4036">
            <w:pPr>
              <w:pStyle w:val="Textoindependiente"/>
              <w:spacing w:before="120"/>
              <w:ind w:firstLine="0"/>
              <w:jc w:val="left"/>
              <w:rPr>
                <w:lang w:val="en-US"/>
              </w:rPr>
            </w:pPr>
            <m:oMathPara>
              <m:oMathParaPr>
                <m:jc m:val="center"/>
              </m:oMathParaPr>
              <m:oMath>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∙sgn</m:t>
                </m:r>
                <m:d>
                  <m:dPr>
                    <m:ctrlPr>
                      <w:rPr>
                        <w:rFonts w:ascii="Cambria Math" w:hAnsi="Cambria Math"/>
                        <w:i/>
                        <w:lang w:val="en-US"/>
                      </w:rPr>
                    </m:ctrlPr>
                  </m:dPr>
                  <m:e>
                    <m:acc>
                      <m:accPr>
                        <m:chr m:val="̇"/>
                        <m:ctrlPr>
                          <w:rPr>
                            <w:rFonts w:ascii="Cambria Math" w:hAnsi="Cambria Math"/>
                            <w:i/>
                            <w:lang w:val="en-US"/>
                          </w:rPr>
                        </m:ctrlPr>
                      </m:accPr>
                      <m:e>
                        <m:r>
                          <w:rPr>
                            <w:rFonts w:ascii="Cambria Math" w:hAnsi="Cambria Math"/>
                            <w:lang w:val="en-US"/>
                          </w:rPr>
                          <m:t>x</m:t>
                        </m:r>
                      </m:e>
                    </m:acc>
                  </m:e>
                </m:d>
                <m:r>
                  <w:rPr>
                    <w:rFonts w:ascii="Cambria Math" w:hAnsi="Cambria Math"/>
                    <w:lang w:val="en-US"/>
                  </w:rPr>
                  <m:t>g</m:t>
                </m:r>
              </m:oMath>
            </m:oMathPara>
          </w:p>
        </w:tc>
        <w:tc>
          <w:tcPr>
            <w:tcW w:w="903" w:type="dxa"/>
            <w:vAlign w:val="center"/>
          </w:tcPr>
          <w:p w14:paraId="5D02CEEB" w14:textId="77777777" w:rsidR="009B7576" w:rsidRPr="009E1EA6" w:rsidRDefault="00B74A7C" w:rsidP="009B7576">
            <w:pPr>
              <w:pStyle w:val="Textoindependiente"/>
              <w:spacing w:before="120"/>
              <w:ind w:firstLine="0"/>
              <w:rPr>
                <w:lang w:val="en-US"/>
              </w:rPr>
            </w:pPr>
            <w:r w:rsidRPr="009E1EA6">
              <w:rPr>
                <w:lang w:val="en-US"/>
              </w:rPr>
              <w:t>(5.2)</w:t>
            </w:r>
          </w:p>
        </w:tc>
      </w:tr>
    </w:tbl>
    <w:p w14:paraId="6CADAE02" w14:textId="77777777" w:rsidR="009B7576" w:rsidRPr="009E1EA6" w:rsidRDefault="00B74A7C" w:rsidP="009B7576">
      <w:pPr>
        <w:pStyle w:val="Textoindependiente"/>
        <w:spacing w:before="120"/>
        <w:ind w:firstLine="0"/>
        <w:rPr>
          <w:lang w:eastAsia="es-MX"/>
        </w:rPr>
      </w:pPr>
      <w:r w:rsidRPr="009E1EA6">
        <w:rPr>
          <w:szCs w:val="24"/>
        </w:rPr>
        <w:t xml:space="preserve">where </w:t>
      </w:r>
      <m:oMath>
        <m:r>
          <w:rPr>
            <w:rFonts w:ascii="Cambria Math" w:hAnsi="Cambria Math"/>
            <w:szCs w:val="24"/>
          </w:rPr>
          <m:t>γ</m:t>
        </m:r>
        <m:r>
          <w:rPr>
            <w:rFonts w:ascii="Cambria Math" w:hAnsi="Cambria Math"/>
            <w:lang w:eastAsia="es-MX"/>
          </w:rPr>
          <m:t>=</m:t>
        </m:r>
        <m:f>
          <m:fPr>
            <m:type m:val="lin"/>
            <m:ctrlPr>
              <w:rPr>
                <w:rFonts w:ascii="Cambria Math" w:hAnsi="Cambria Math"/>
                <w:i/>
                <w:lang w:eastAsia="es-MX"/>
              </w:rPr>
            </m:ctrlPr>
          </m:fPr>
          <m:num>
            <m:r>
              <w:rPr>
                <w:rFonts w:ascii="Cambria Math" w:hAnsi="Cambria Math"/>
                <w:lang w:eastAsia="es-MX"/>
              </w:rPr>
              <m:t>m</m:t>
            </m:r>
          </m:num>
          <m:den>
            <m:d>
              <m:dPr>
                <m:ctrlPr>
                  <w:rPr>
                    <w:rFonts w:ascii="Cambria Math" w:hAnsi="Cambria Math"/>
                    <w:i/>
                    <w:lang w:eastAsia="es-MX"/>
                  </w:rPr>
                </m:ctrlPr>
              </m:dPr>
              <m:e>
                <m:sSub>
                  <m:sSubPr>
                    <m:ctrlPr>
                      <w:rPr>
                        <w:rFonts w:ascii="Cambria Math" w:hAnsi="Cambria Math"/>
                        <w:i/>
                        <w:lang w:eastAsia="es-MX"/>
                      </w:rPr>
                    </m:ctrlPr>
                  </m:sSubPr>
                  <m:e>
                    <m:r>
                      <w:rPr>
                        <w:rFonts w:ascii="Cambria Math" w:hAnsi="Cambria Math"/>
                      </w:rPr>
                      <m:t>m</m:t>
                    </m:r>
                  </m:e>
                  <m:sub>
                    <m:r>
                      <w:rPr>
                        <w:rFonts w:ascii="Cambria Math" w:hAnsi="Cambria Math"/>
                      </w:rPr>
                      <m:t>b</m:t>
                    </m:r>
                  </m:sub>
                </m:sSub>
                <m:r>
                  <w:rPr>
                    <w:rFonts w:ascii="Cambria Math" w:hAnsi="Cambria Math"/>
                    <w:lang w:eastAsia="es-MX"/>
                  </w:rPr>
                  <m:t>+m</m:t>
                </m:r>
              </m:e>
            </m:d>
          </m:den>
        </m:f>
      </m:oMath>
      <w:r w:rsidRPr="009E1EA6">
        <w:rPr>
          <w:lang w:eastAsia="es-MX"/>
        </w:rPr>
        <w:t xml:space="preserve">, </w:t>
      </w:r>
      <m:oMath>
        <m:sSub>
          <m:sSubPr>
            <m:ctrlPr>
              <w:rPr>
                <w:rFonts w:ascii="Cambria Math" w:hAnsi="Cambria Math"/>
                <w:i/>
                <w:lang w:eastAsia="es-MX"/>
              </w:rPr>
            </m:ctrlPr>
          </m:sSubPr>
          <m:e>
            <m:r>
              <w:rPr>
                <w:rFonts w:ascii="Cambria Math" w:hAnsi="Cambria Math"/>
              </w:rPr>
              <m:t>ω</m:t>
            </m:r>
          </m:e>
          <m:sub>
            <m:r>
              <w:rPr>
                <w:rFonts w:ascii="Cambria Math" w:hAnsi="Cambria Math"/>
              </w:rPr>
              <m:t>b</m:t>
            </m:r>
          </m:sub>
        </m:sSub>
        <m:r>
          <w:rPr>
            <w:rFonts w:ascii="Cambria Math" w:hAnsi="Cambria Math"/>
            <w:lang w:eastAsia="es-MX"/>
          </w:rPr>
          <m:t>=</m:t>
        </m:r>
        <m:rad>
          <m:radPr>
            <m:degHide m:val="1"/>
            <m:ctrlPr>
              <w:rPr>
                <w:rFonts w:ascii="Cambria Math" w:hAnsi="Cambria Math"/>
                <w:i/>
                <w:lang w:eastAsia="es-MX"/>
              </w:rPr>
            </m:ctrlPr>
          </m:radPr>
          <m:deg/>
          <m:e>
            <m:f>
              <m:fPr>
                <m:type m:val="lin"/>
                <m:ctrlPr>
                  <w:rPr>
                    <w:rFonts w:ascii="Cambria Math" w:hAnsi="Cambria Math"/>
                    <w:i/>
                    <w:lang w:eastAsia="es-MX"/>
                  </w:rPr>
                </m:ctrlPr>
              </m:fPr>
              <m:num>
                <m:sSub>
                  <m:sSubPr>
                    <m:ctrlPr>
                      <w:rPr>
                        <w:rFonts w:ascii="Cambria Math" w:hAnsi="Cambria Math"/>
                        <w:i/>
                        <w:lang w:eastAsia="es-MX"/>
                      </w:rPr>
                    </m:ctrlPr>
                  </m:sSubPr>
                  <m:e>
                    <m:r>
                      <w:rPr>
                        <w:rFonts w:ascii="Cambria Math" w:hAnsi="Cambria Math"/>
                      </w:rPr>
                      <m:t>k</m:t>
                    </m:r>
                  </m:e>
                  <m:sub>
                    <m:r>
                      <w:rPr>
                        <w:rFonts w:ascii="Cambria Math" w:hAnsi="Cambria Math"/>
                      </w:rPr>
                      <m:t>b</m:t>
                    </m:r>
                  </m:sub>
                </m:sSub>
              </m:num>
              <m:den>
                <m:d>
                  <m:dPr>
                    <m:ctrlPr>
                      <w:rPr>
                        <w:rFonts w:ascii="Cambria Math" w:hAnsi="Cambria Math"/>
                        <w:i/>
                        <w:lang w:eastAsia="es-MX"/>
                      </w:rPr>
                    </m:ctrlPr>
                  </m:dPr>
                  <m:e>
                    <m:sSub>
                      <m:sSubPr>
                        <m:ctrlPr>
                          <w:rPr>
                            <w:rFonts w:ascii="Cambria Math" w:hAnsi="Cambria Math"/>
                            <w:i/>
                            <w:lang w:eastAsia="es-MX"/>
                          </w:rPr>
                        </m:ctrlPr>
                      </m:sSubPr>
                      <m:e>
                        <m:r>
                          <w:rPr>
                            <w:rFonts w:ascii="Cambria Math" w:hAnsi="Cambria Math"/>
                          </w:rPr>
                          <m:t>m</m:t>
                        </m:r>
                      </m:e>
                      <m:sub>
                        <m:r>
                          <w:rPr>
                            <w:rFonts w:ascii="Cambria Math" w:hAnsi="Cambria Math"/>
                          </w:rPr>
                          <m:t>b</m:t>
                        </m:r>
                      </m:sub>
                    </m:sSub>
                    <m:r>
                      <w:rPr>
                        <w:rFonts w:ascii="Cambria Math" w:hAnsi="Cambria Math"/>
                        <w:lang w:eastAsia="es-MX"/>
                      </w:rPr>
                      <m:t>+m</m:t>
                    </m:r>
                  </m:e>
                </m:d>
              </m:den>
            </m:f>
          </m:e>
        </m:rad>
      </m:oMath>
      <w:r w:rsidRPr="009E1EA6">
        <w:rPr>
          <w:lang w:eastAsia="es-MX"/>
        </w:rPr>
        <w:t xml:space="preserve"> and </w:t>
      </w:r>
      <m:oMath>
        <m:sSub>
          <m:sSubPr>
            <m:ctrlPr>
              <w:rPr>
                <w:rFonts w:ascii="Cambria Math" w:hAnsi="Cambria Math"/>
                <w:i/>
                <w:lang w:eastAsia="es-MX"/>
              </w:rPr>
            </m:ctrlPr>
          </m:sSubPr>
          <m:e>
            <m:r>
              <w:rPr>
                <w:rFonts w:ascii="Cambria Math" w:hAnsi="Cambria Math"/>
                <w:szCs w:val="24"/>
              </w:rPr>
              <m:t>ξ</m:t>
            </m:r>
          </m:e>
          <m:sub>
            <m:r>
              <w:rPr>
                <w:rFonts w:ascii="Cambria Math" w:hAnsi="Cambria Math"/>
              </w:rPr>
              <m:t>b</m:t>
            </m:r>
          </m:sub>
        </m:sSub>
        <m:r>
          <w:rPr>
            <w:rFonts w:ascii="Cambria Math" w:hAnsi="Cambria Math"/>
            <w:lang w:eastAsia="es-MX"/>
          </w:rPr>
          <m:t>=</m:t>
        </m:r>
        <m:f>
          <m:fPr>
            <m:type m:val="lin"/>
            <m:ctrlPr>
              <w:rPr>
                <w:rFonts w:ascii="Cambria Math" w:hAnsi="Cambria Math"/>
                <w:i/>
                <w:lang w:eastAsia="es-MX"/>
              </w:rPr>
            </m:ctrlPr>
          </m:fPr>
          <m:num>
            <m:sSub>
              <m:sSubPr>
                <m:ctrlPr>
                  <w:rPr>
                    <w:rFonts w:ascii="Cambria Math" w:hAnsi="Cambria Math"/>
                    <w:i/>
                    <w:lang w:eastAsia="es-MX"/>
                  </w:rPr>
                </m:ctrlPr>
              </m:sSubPr>
              <m:e>
                <m:r>
                  <w:rPr>
                    <w:rFonts w:ascii="Cambria Math" w:hAnsi="Cambria Math"/>
                  </w:rPr>
                  <m:t>c</m:t>
                </m:r>
              </m:e>
              <m:sub>
                <m:r>
                  <w:rPr>
                    <w:rFonts w:ascii="Cambria Math" w:hAnsi="Cambria Math"/>
                  </w:rPr>
                  <m:t>b</m:t>
                </m:r>
              </m:sub>
            </m:sSub>
          </m:num>
          <m:den>
            <m:d>
              <m:dPr>
                <m:begChr m:val="["/>
                <m:endChr m:val="]"/>
                <m:ctrlPr>
                  <w:rPr>
                    <w:rFonts w:ascii="Cambria Math" w:hAnsi="Cambria Math"/>
                    <w:i/>
                    <w:lang w:eastAsia="es-MX"/>
                  </w:rPr>
                </m:ctrlPr>
              </m:dPr>
              <m:e>
                <m:r>
                  <w:rPr>
                    <w:rFonts w:ascii="Cambria Math" w:hAnsi="Cambria Math"/>
                    <w:lang w:eastAsia="es-MX"/>
                  </w:rPr>
                  <m:t>2</m:t>
                </m:r>
                <m:sSub>
                  <m:sSubPr>
                    <m:ctrlPr>
                      <w:rPr>
                        <w:rFonts w:ascii="Cambria Math" w:hAnsi="Cambria Math"/>
                        <w:i/>
                        <w:lang w:eastAsia="es-MX"/>
                      </w:rPr>
                    </m:ctrlPr>
                  </m:sSubPr>
                  <m:e>
                    <m:r>
                      <w:rPr>
                        <w:rFonts w:ascii="Cambria Math" w:hAnsi="Cambria Math"/>
                      </w:rPr>
                      <m:t>ω</m:t>
                    </m:r>
                  </m:e>
                  <m:sub>
                    <m:r>
                      <w:rPr>
                        <w:rFonts w:ascii="Cambria Math" w:hAnsi="Cambria Math"/>
                      </w:rPr>
                      <m:t>b</m:t>
                    </m:r>
                  </m:sub>
                </m:sSub>
                <m:d>
                  <m:dPr>
                    <m:ctrlPr>
                      <w:rPr>
                        <w:rFonts w:ascii="Cambria Math" w:hAnsi="Cambria Math"/>
                        <w:i/>
                        <w:lang w:eastAsia="es-MX"/>
                      </w:rPr>
                    </m:ctrlPr>
                  </m:dPr>
                  <m:e>
                    <m:sSub>
                      <m:sSubPr>
                        <m:ctrlPr>
                          <w:rPr>
                            <w:rFonts w:ascii="Cambria Math" w:hAnsi="Cambria Math"/>
                            <w:i/>
                            <w:lang w:eastAsia="es-MX"/>
                          </w:rPr>
                        </m:ctrlPr>
                      </m:sSubPr>
                      <m:e>
                        <m:r>
                          <w:rPr>
                            <w:rFonts w:ascii="Cambria Math" w:hAnsi="Cambria Math"/>
                          </w:rPr>
                          <m:t>m</m:t>
                        </m:r>
                      </m:e>
                      <m:sub>
                        <m:r>
                          <w:rPr>
                            <w:rFonts w:ascii="Cambria Math" w:hAnsi="Cambria Math"/>
                          </w:rPr>
                          <m:t>b</m:t>
                        </m:r>
                      </m:sub>
                    </m:sSub>
                    <m:r>
                      <w:rPr>
                        <w:rFonts w:ascii="Cambria Math" w:hAnsi="Cambria Math"/>
                        <w:lang w:eastAsia="es-MX"/>
                      </w:rPr>
                      <m:t>+m</m:t>
                    </m:r>
                  </m:e>
                </m:d>
              </m:e>
            </m:d>
          </m:den>
        </m:f>
      </m:oMath>
      <w:r w:rsidRPr="009E1EA6">
        <w:rPr>
          <w:lang w:eastAsia="es-MX"/>
        </w:rPr>
        <w:t>.</w:t>
      </w:r>
    </w:p>
    <w:p w14:paraId="5DF963E8" w14:textId="77777777" w:rsidR="009B7576" w:rsidRPr="009E1EA6" w:rsidRDefault="00B74A7C" w:rsidP="009B7576">
      <w:pPr>
        <w:pStyle w:val="Ttulo2"/>
      </w:pPr>
      <w:r w:rsidRPr="009E1EA6">
        <w:rPr>
          <w:caps w:val="0"/>
        </w:rPr>
        <w:t>2.1.3 Equipment supported on a bilinear isolation system</w:t>
      </w:r>
    </w:p>
    <w:p w14:paraId="437AABC0" w14:textId="26964D68" w:rsidR="009B7576" w:rsidRPr="009E1EA6" w:rsidRDefault="00B74A7C" w:rsidP="009B7576">
      <w:pPr>
        <w:pStyle w:val="Textoindependiente"/>
      </w:pPr>
      <w:r w:rsidRPr="009E1EA6">
        <w:t>Analogous to Equation (4), the equation of motion for a block sliding on a bilinear isolated base of strength</w:t>
      </w:r>
      <m:oMath>
        <m:r>
          <w:rPr>
            <w:rFonts w:ascii="Cambria Math" w:hAnsi="Cambria Math"/>
          </w:rPr>
          <m:t xml:space="preserve"> Q</m:t>
        </m:r>
      </m:oMath>
      <w:r w:rsidRPr="009E1EA6">
        <w:t xml:space="preserve"> and yield displacement </w:t>
      </w:r>
      <m:oMath>
        <m:sSub>
          <m:sSubPr>
            <m:ctrlPr>
              <w:rPr>
                <w:rFonts w:ascii="Cambria Math" w:hAnsi="Cambria Math"/>
                <w:i/>
                <w:szCs w:val="24"/>
              </w:rPr>
            </m:ctrlPr>
          </m:sSubPr>
          <m:e>
            <m:r>
              <w:rPr>
                <w:rFonts w:ascii="Cambria Math" w:hAnsi="Cambria Math"/>
                <w:szCs w:val="24"/>
              </w:rPr>
              <m:t>u</m:t>
            </m:r>
          </m:e>
          <m:sub>
            <m:r>
              <w:rPr>
                <w:rFonts w:ascii="Cambria Math" w:hAnsi="Cambria Math"/>
                <w:szCs w:val="24"/>
              </w:rPr>
              <m:t>y</m:t>
            </m:r>
          </m:sub>
        </m:sSub>
      </m:oMath>
      <w:r w:rsidRPr="009E1EA6">
        <w:rPr>
          <w:szCs w:val="24"/>
        </w:rPr>
        <w:t xml:space="preserve"> can be written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2CA5FA71" w14:textId="77777777" w:rsidTr="00DC4036">
        <w:tc>
          <w:tcPr>
            <w:tcW w:w="8328" w:type="dxa"/>
            <w:vAlign w:val="center"/>
          </w:tcPr>
          <w:p w14:paraId="541BB0E0" w14:textId="77777777" w:rsidR="009B7576" w:rsidRPr="009E1EA6" w:rsidRDefault="00B74A7C" w:rsidP="00DC4036">
            <w:pPr>
              <w:pStyle w:val="Textoindependiente"/>
              <w:spacing w:before="120"/>
              <w:ind w:firstLine="0"/>
              <w:jc w:val="left"/>
              <w:rPr>
                <w:lang w:val="en-US"/>
              </w:rPr>
            </w:pPr>
            <m:oMathPara>
              <m:oMathParaPr>
                <m:jc m:val="center"/>
              </m:oMathParaPr>
              <m:oMath>
                <m:r>
                  <w:rPr>
                    <w:rFonts w:ascii="Cambria Math" w:hAnsi="Cambria Math"/>
                    <w:lang w:val="en-US"/>
                  </w:rPr>
                  <w:lastRenderedPageBreak/>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b</m:t>
                    </m:r>
                  </m:sub>
                </m:sSub>
                <m:r>
                  <w:rPr>
                    <w:rFonts w:ascii="Cambria Math" w:hAnsi="Cambria Math"/>
                    <w:lang w:val="en-US"/>
                  </w:rPr>
                  <m:t>x-Q∙z=</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b</m:t>
                    </m:r>
                  </m:sub>
                </m:sSub>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e>
                </m:d>
                <m:r>
                  <w:rPr>
                    <w:rFonts w:ascii="Cambria Math" w:hAnsi="Cambria Math"/>
                    <w:lang w:val="en-US"/>
                  </w:rPr>
                  <m:t>+m</m:t>
                </m:r>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e>
                </m:d>
              </m:oMath>
            </m:oMathPara>
          </w:p>
        </w:tc>
        <w:tc>
          <w:tcPr>
            <w:tcW w:w="903" w:type="dxa"/>
            <w:vAlign w:val="center"/>
          </w:tcPr>
          <w:p w14:paraId="455D7032" w14:textId="77777777" w:rsidR="009B7576" w:rsidRPr="009E1EA6" w:rsidRDefault="00B74A7C" w:rsidP="009B7576">
            <w:pPr>
              <w:pStyle w:val="Textoindependiente"/>
              <w:spacing w:before="120"/>
              <w:ind w:firstLine="0"/>
              <w:rPr>
                <w:lang w:val="en-US"/>
              </w:rPr>
            </w:pPr>
            <w:r w:rsidRPr="009E1EA6">
              <w:rPr>
                <w:lang w:val="en-US"/>
              </w:rPr>
              <w:t>(6)</w:t>
            </w:r>
          </w:p>
        </w:tc>
      </w:tr>
    </w:tbl>
    <w:p w14:paraId="76859771" w14:textId="3BC6F2E3" w:rsidR="009B7576" w:rsidRPr="009E1EA6" w:rsidRDefault="00B74A7C" w:rsidP="009B7576">
      <w:pPr>
        <w:pStyle w:val="Textoindependiente"/>
        <w:spacing w:before="120"/>
        <w:ind w:firstLine="0"/>
        <w:rPr>
          <w:lang w:eastAsia="es-MX"/>
        </w:rPr>
      </w:pPr>
      <w:r w:rsidRPr="009E1EA6">
        <w:rPr>
          <w:szCs w:val="24"/>
        </w:rPr>
        <w:t xml:space="preserve">where </w:t>
      </w:r>
      <m:oMath>
        <m:sSub>
          <m:sSubPr>
            <m:ctrlPr>
              <w:rPr>
                <w:rFonts w:ascii="Cambria Math" w:hAnsi="Cambria Math"/>
                <w:i/>
                <w:lang w:eastAsia="es-MX"/>
              </w:rPr>
            </m:ctrlPr>
          </m:sSubPr>
          <m:e>
            <m:r>
              <w:rPr>
                <w:rFonts w:ascii="Cambria Math" w:hAnsi="Cambria Math"/>
              </w:rPr>
              <m:t>k</m:t>
            </m:r>
          </m:e>
          <m:sub>
            <m:r>
              <w:rPr>
                <w:rFonts w:ascii="Cambria Math" w:hAnsi="Cambria Math"/>
              </w:rPr>
              <m:t>b</m:t>
            </m:r>
          </m:sub>
        </m:sSub>
      </m:oMath>
      <w:r w:rsidRPr="009E1EA6">
        <w:rPr>
          <w:szCs w:val="24"/>
        </w:rPr>
        <w:t xml:space="preserve"> represents the second slope of the bilinear idealization, </w:t>
      </w:r>
      <m:oMath>
        <m:sSub>
          <m:sSubPr>
            <m:ctrlPr>
              <w:rPr>
                <w:rFonts w:ascii="Cambria Math" w:hAnsi="Cambria Math"/>
                <w:i/>
                <w:lang w:eastAsia="es-MX"/>
              </w:rPr>
            </m:ctrlPr>
          </m:sSubPr>
          <m:e>
            <m:r>
              <w:rPr>
                <w:rFonts w:ascii="Cambria Math" w:hAnsi="Cambria Math"/>
              </w:rPr>
              <m:t>m</m:t>
            </m:r>
          </m:e>
          <m:sub>
            <m:r>
              <w:rPr>
                <w:rFonts w:ascii="Cambria Math" w:hAnsi="Cambria Math"/>
              </w:rPr>
              <m:t>b</m:t>
            </m:r>
          </m:sub>
        </m:sSub>
      </m:oMath>
      <w:r w:rsidRPr="009E1EA6">
        <w:rPr>
          <w:lang w:eastAsia="es-MX"/>
        </w:rPr>
        <w:t xml:space="preserve"> </w:t>
      </w:r>
      <w:r w:rsidR="00BB0497" w:rsidRPr="009E1EA6">
        <w:rPr>
          <w:lang w:eastAsia="es-MX"/>
        </w:rPr>
        <w:t xml:space="preserve">is </w:t>
      </w:r>
      <w:r w:rsidRPr="009E1EA6">
        <w:rPr>
          <w:lang w:eastAsia="es-MX"/>
        </w:rPr>
        <w:t xml:space="preserve">the mass of the isolated base, </w:t>
      </w:r>
      <w:r w:rsidRPr="009E1EA6">
        <w:rPr>
          <w:szCs w:val="24"/>
        </w:rPr>
        <w:t xml:space="preserve">and </w:t>
      </w:r>
      <m:oMath>
        <m:r>
          <w:rPr>
            <w:rFonts w:ascii="Cambria Math" w:hAnsi="Cambria Math"/>
          </w:rPr>
          <m:t>z</m:t>
        </m:r>
      </m:oMath>
      <w:r w:rsidRPr="009E1EA6">
        <w:rPr>
          <w:szCs w:val="24"/>
        </w:rPr>
        <w:t xml:space="preserve"> </w:t>
      </w:r>
      <w:r w:rsidR="00BB0497" w:rsidRPr="009E1EA6">
        <w:rPr>
          <w:szCs w:val="24"/>
        </w:rPr>
        <w:t xml:space="preserve">is </w:t>
      </w:r>
      <w:r w:rsidRPr="009E1EA6">
        <w:rPr>
          <w:szCs w:val="24"/>
        </w:rPr>
        <w:t>a dimensionless Bouc-Wen parameter (Equation 7) to characterize the forces in the isolator.</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4A00F8CD" w14:textId="77777777" w:rsidTr="00DC4036">
        <w:tc>
          <w:tcPr>
            <w:tcW w:w="8328" w:type="dxa"/>
            <w:vAlign w:val="center"/>
          </w:tcPr>
          <w:p w14:paraId="7E0FB472" w14:textId="77777777" w:rsidR="009B7576" w:rsidRPr="009E1EA6" w:rsidRDefault="006E3CB7" w:rsidP="00DC4036">
            <w:pPr>
              <w:pStyle w:val="Textoindependiente"/>
              <w:spacing w:before="120"/>
              <w:ind w:firstLine="0"/>
              <w:jc w:val="left"/>
              <w:rPr>
                <w:szCs w:val="24"/>
                <w:lang w:val="en-US"/>
              </w:rPr>
            </w:pPr>
            <m:oMathPara>
              <m:oMathParaPr>
                <m:jc m:val="center"/>
              </m:oMathParaPr>
              <m:oMath>
                <m:acc>
                  <m:accPr>
                    <m:chr m:val="̇"/>
                    <m:ctrlPr>
                      <w:rPr>
                        <w:rFonts w:ascii="Cambria Math" w:hAnsi="Cambria Math"/>
                        <w:i/>
                        <w:szCs w:val="24"/>
                        <w:lang w:val="en-US"/>
                      </w:rPr>
                    </m:ctrlPr>
                  </m:accPr>
                  <m:e>
                    <m:r>
                      <w:rPr>
                        <w:rFonts w:ascii="Cambria Math" w:hAnsi="Cambria Math"/>
                        <w:szCs w:val="24"/>
                        <w:lang w:val="en-US"/>
                      </w:rPr>
                      <m:t>z</m:t>
                    </m:r>
                  </m:e>
                </m:acc>
                <m:d>
                  <m:dPr>
                    <m:ctrlPr>
                      <w:rPr>
                        <w:rFonts w:ascii="Cambria Math" w:hAnsi="Cambria Math"/>
                        <w:i/>
                        <w:szCs w:val="24"/>
                        <w:lang w:val="en-US"/>
                      </w:rPr>
                    </m:ctrlPr>
                  </m:dPr>
                  <m:e>
                    <m:r>
                      <w:rPr>
                        <w:rFonts w:ascii="Cambria Math" w:hAnsi="Cambria Math"/>
                        <w:szCs w:val="24"/>
                        <w:lang w:val="en-US"/>
                      </w:rPr>
                      <m:t>t</m:t>
                    </m:r>
                  </m:e>
                </m:d>
                <m:r>
                  <w:rPr>
                    <w:rFonts w:ascii="Cambria Math" w:hAnsi="Cambria Math"/>
                    <w:szCs w:val="24"/>
                    <w:lang w:val="en-US"/>
                  </w:rPr>
                  <m:t>=</m:t>
                </m:r>
                <m:f>
                  <m:fPr>
                    <m:ctrlPr>
                      <w:rPr>
                        <w:rFonts w:ascii="Cambria Math" w:hAnsi="Cambria Math"/>
                        <w:i/>
                        <w:szCs w:val="24"/>
                        <w:lang w:val="en-US"/>
                      </w:rPr>
                    </m:ctrlPr>
                  </m:fPr>
                  <m:num>
                    <m:r>
                      <w:rPr>
                        <w:rFonts w:ascii="Cambria Math" w:hAnsi="Cambria Math"/>
                        <w:szCs w:val="24"/>
                        <w:lang w:val="en-US"/>
                      </w:rPr>
                      <m:t>1</m:t>
                    </m:r>
                  </m:num>
                  <m:den>
                    <m:sSub>
                      <m:sSubPr>
                        <m:ctrlPr>
                          <w:rPr>
                            <w:rFonts w:ascii="Cambria Math" w:hAnsi="Cambria Math"/>
                            <w:i/>
                            <w:szCs w:val="24"/>
                            <w:lang w:val="en-US"/>
                          </w:rPr>
                        </m:ctrlPr>
                      </m:sSubPr>
                      <m:e>
                        <m:r>
                          <w:rPr>
                            <w:rFonts w:ascii="Cambria Math" w:hAnsi="Cambria Math"/>
                            <w:szCs w:val="24"/>
                            <w:lang w:val="en-US"/>
                          </w:rPr>
                          <m:t>u</m:t>
                        </m:r>
                      </m:e>
                      <m:sub>
                        <m:r>
                          <w:rPr>
                            <w:rFonts w:ascii="Cambria Math" w:hAnsi="Cambria Math"/>
                            <w:szCs w:val="24"/>
                            <w:lang w:val="en-US"/>
                          </w:rPr>
                          <m:t>y</m:t>
                        </m:r>
                      </m:sub>
                    </m:sSub>
                  </m:den>
                </m:f>
                <m:d>
                  <m:dPr>
                    <m:ctrlPr>
                      <w:rPr>
                        <w:rFonts w:ascii="Cambria Math" w:hAnsi="Cambria Math"/>
                        <w:i/>
                        <w:szCs w:val="24"/>
                        <w:lang w:val="en-US"/>
                      </w:rPr>
                    </m:ctrlPr>
                  </m:dPr>
                  <m:e>
                    <m:sSub>
                      <m:sSubPr>
                        <m:ctrlPr>
                          <w:rPr>
                            <w:rFonts w:ascii="Cambria Math" w:hAnsi="Cambria Math"/>
                            <w:i/>
                            <w:szCs w:val="24"/>
                            <w:lang w:val="en-US"/>
                          </w:rPr>
                        </m:ctrlPr>
                      </m:sSubPr>
                      <m:e>
                        <m:acc>
                          <m:accPr>
                            <m:chr m:val="̇"/>
                            <m:ctrlPr>
                              <w:rPr>
                                <w:rFonts w:ascii="Cambria Math" w:hAnsi="Cambria Math"/>
                                <w:i/>
                                <w:szCs w:val="24"/>
                                <w:lang w:val="en-US"/>
                              </w:rPr>
                            </m:ctrlPr>
                          </m:accPr>
                          <m:e>
                            <m:r>
                              <w:rPr>
                                <w:rFonts w:ascii="Cambria Math" w:hAnsi="Cambria Math"/>
                                <w:szCs w:val="24"/>
                                <w:lang w:val="en-US"/>
                              </w:rPr>
                              <m:t>x</m:t>
                            </m:r>
                          </m:e>
                        </m:acc>
                      </m:e>
                      <m:sub>
                        <m:r>
                          <w:rPr>
                            <w:rFonts w:ascii="Cambria Math" w:hAnsi="Cambria Math"/>
                            <w:szCs w:val="24"/>
                            <w:lang w:val="en-US"/>
                          </w:rPr>
                          <m:t>b</m:t>
                        </m:r>
                      </m:sub>
                    </m:sSub>
                    <m:r>
                      <w:rPr>
                        <w:rFonts w:ascii="Cambria Math" w:hAnsi="Cambria Math"/>
                        <w:szCs w:val="24"/>
                        <w:lang w:val="en-US"/>
                      </w:rPr>
                      <m:t>-ζ</m:t>
                    </m:r>
                    <m:d>
                      <m:dPr>
                        <m:begChr m:val="|"/>
                        <m:endChr m:val="|"/>
                        <m:ctrlPr>
                          <w:rPr>
                            <w:rFonts w:ascii="Cambria Math" w:hAnsi="Cambria Math"/>
                            <w:i/>
                            <w:szCs w:val="24"/>
                            <w:lang w:val="en-US"/>
                          </w:rPr>
                        </m:ctrlPr>
                      </m:dPr>
                      <m:e>
                        <m:sSub>
                          <m:sSubPr>
                            <m:ctrlPr>
                              <w:rPr>
                                <w:rFonts w:ascii="Cambria Math" w:hAnsi="Cambria Math"/>
                                <w:i/>
                                <w:szCs w:val="24"/>
                                <w:lang w:val="en-US"/>
                              </w:rPr>
                            </m:ctrlPr>
                          </m:sSubPr>
                          <m:e>
                            <m:acc>
                              <m:accPr>
                                <m:chr m:val="̇"/>
                                <m:ctrlPr>
                                  <w:rPr>
                                    <w:rFonts w:ascii="Cambria Math" w:hAnsi="Cambria Math"/>
                                    <w:i/>
                                    <w:szCs w:val="24"/>
                                    <w:lang w:val="en-US"/>
                                  </w:rPr>
                                </m:ctrlPr>
                              </m:accPr>
                              <m:e>
                                <m:r>
                                  <w:rPr>
                                    <w:rFonts w:ascii="Cambria Math" w:hAnsi="Cambria Math"/>
                                    <w:szCs w:val="24"/>
                                    <w:lang w:val="en-US"/>
                                  </w:rPr>
                                  <m:t>x</m:t>
                                </m:r>
                              </m:e>
                            </m:acc>
                          </m:e>
                          <m:sub>
                            <m:r>
                              <w:rPr>
                                <w:rFonts w:ascii="Cambria Math" w:hAnsi="Cambria Math"/>
                                <w:szCs w:val="24"/>
                                <w:lang w:val="en-US"/>
                              </w:rPr>
                              <m:t>b</m:t>
                            </m:r>
                          </m:sub>
                        </m:sSub>
                      </m:e>
                    </m:d>
                    <m:r>
                      <w:rPr>
                        <w:rFonts w:ascii="Cambria Math" w:hAnsi="Cambria Math"/>
                        <w:szCs w:val="24"/>
                        <w:lang w:val="en-US"/>
                      </w:rPr>
                      <m:t>⋅z⋅</m:t>
                    </m:r>
                    <m:sSup>
                      <m:sSupPr>
                        <m:ctrlPr>
                          <w:rPr>
                            <w:rFonts w:ascii="Cambria Math" w:hAnsi="Cambria Math"/>
                            <w:i/>
                            <w:szCs w:val="24"/>
                            <w:lang w:val="en-US"/>
                          </w:rPr>
                        </m:ctrlPr>
                      </m:sSupPr>
                      <m:e>
                        <m:d>
                          <m:dPr>
                            <m:begChr m:val="|"/>
                            <m:endChr m:val="|"/>
                            <m:ctrlPr>
                              <w:rPr>
                                <w:rFonts w:ascii="Cambria Math" w:hAnsi="Cambria Math"/>
                                <w:i/>
                                <w:szCs w:val="24"/>
                                <w:lang w:val="en-US"/>
                              </w:rPr>
                            </m:ctrlPr>
                          </m:dPr>
                          <m:e>
                            <m:r>
                              <w:rPr>
                                <w:rFonts w:ascii="Cambria Math" w:hAnsi="Cambria Math"/>
                                <w:szCs w:val="24"/>
                                <w:lang w:val="en-US"/>
                              </w:rPr>
                              <m:t>z</m:t>
                            </m:r>
                          </m:e>
                        </m:d>
                      </m:e>
                      <m:sup>
                        <m:r>
                          <w:rPr>
                            <w:rFonts w:ascii="Cambria Math" w:hAnsi="Cambria Math"/>
                            <w:szCs w:val="24"/>
                            <w:lang w:val="en-US"/>
                          </w:rPr>
                          <m:t>n-1</m:t>
                        </m:r>
                      </m:sup>
                    </m:sSup>
                    <m:r>
                      <w:rPr>
                        <w:rFonts w:ascii="Cambria Math" w:hAnsi="Cambria Math"/>
                        <w:szCs w:val="24"/>
                        <w:lang w:val="en-US"/>
                      </w:rPr>
                      <m:t>-β</m:t>
                    </m:r>
                    <m:sSub>
                      <m:sSubPr>
                        <m:ctrlPr>
                          <w:rPr>
                            <w:rFonts w:ascii="Cambria Math" w:hAnsi="Cambria Math"/>
                            <w:i/>
                            <w:szCs w:val="24"/>
                            <w:lang w:val="en-US"/>
                          </w:rPr>
                        </m:ctrlPr>
                      </m:sSubPr>
                      <m:e>
                        <m:acc>
                          <m:accPr>
                            <m:chr m:val="̇"/>
                            <m:ctrlPr>
                              <w:rPr>
                                <w:rFonts w:ascii="Cambria Math" w:hAnsi="Cambria Math"/>
                                <w:i/>
                                <w:szCs w:val="24"/>
                                <w:lang w:val="en-US"/>
                              </w:rPr>
                            </m:ctrlPr>
                          </m:accPr>
                          <m:e>
                            <m:r>
                              <w:rPr>
                                <w:rFonts w:ascii="Cambria Math" w:hAnsi="Cambria Math"/>
                                <w:szCs w:val="24"/>
                                <w:lang w:val="en-US"/>
                              </w:rPr>
                              <m:t>x</m:t>
                            </m:r>
                          </m:e>
                        </m:acc>
                      </m:e>
                      <m:sub>
                        <m:r>
                          <w:rPr>
                            <w:rFonts w:ascii="Cambria Math" w:hAnsi="Cambria Math"/>
                            <w:szCs w:val="24"/>
                            <w:lang w:val="en-US"/>
                          </w:rPr>
                          <m:t>b</m:t>
                        </m:r>
                      </m:sub>
                    </m:sSub>
                    <m:sSup>
                      <m:sSupPr>
                        <m:ctrlPr>
                          <w:rPr>
                            <w:rFonts w:ascii="Cambria Math" w:hAnsi="Cambria Math"/>
                            <w:i/>
                            <w:szCs w:val="24"/>
                            <w:lang w:val="en-US"/>
                          </w:rPr>
                        </m:ctrlPr>
                      </m:sSupPr>
                      <m:e>
                        <m:d>
                          <m:dPr>
                            <m:begChr m:val="|"/>
                            <m:endChr m:val="|"/>
                            <m:ctrlPr>
                              <w:rPr>
                                <w:rFonts w:ascii="Cambria Math" w:hAnsi="Cambria Math"/>
                                <w:i/>
                                <w:szCs w:val="24"/>
                                <w:lang w:val="en-US"/>
                              </w:rPr>
                            </m:ctrlPr>
                          </m:dPr>
                          <m:e>
                            <m:r>
                              <w:rPr>
                                <w:rFonts w:ascii="Cambria Math" w:hAnsi="Cambria Math"/>
                                <w:szCs w:val="24"/>
                                <w:lang w:val="en-US"/>
                              </w:rPr>
                              <m:t>z</m:t>
                            </m:r>
                          </m:e>
                        </m:d>
                      </m:e>
                      <m:sup>
                        <m:r>
                          <w:rPr>
                            <w:rFonts w:ascii="Cambria Math" w:hAnsi="Cambria Math"/>
                            <w:szCs w:val="24"/>
                            <w:lang w:val="en-US"/>
                          </w:rPr>
                          <m:t>n</m:t>
                        </m:r>
                      </m:sup>
                    </m:sSup>
                  </m:e>
                </m:d>
              </m:oMath>
            </m:oMathPara>
          </w:p>
        </w:tc>
        <w:tc>
          <w:tcPr>
            <w:tcW w:w="903" w:type="dxa"/>
            <w:vAlign w:val="center"/>
          </w:tcPr>
          <w:p w14:paraId="3B8A76EB" w14:textId="77777777" w:rsidR="009B7576" w:rsidRPr="009E1EA6" w:rsidRDefault="00B74A7C" w:rsidP="009B7576">
            <w:pPr>
              <w:pStyle w:val="Textoindependiente"/>
              <w:spacing w:before="120"/>
              <w:ind w:firstLine="0"/>
              <w:rPr>
                <w:lang w:val="en-US"/>
              </w:rPr>
            </w:pPr>
            <w:r w:rsidRPr="009E1EA6">
              <w:rPr>
                <w:lang w:val="en-US"/>
              </w:rPr>
              <w:t>(7)</w:t>
            </w:r>
          </w:p>
        </w:tc>
      </w:tr>
    </w:tbl>
    <w:p w14:paraId="2255ABBD" w14:textId="3376E721" w:rsidR="009B7576" w:rsidRPr="009E1EA6" w:rsidRDefault="00B74A7C" w:rsidP="009B7576">
      <w:pPr>
        <w:pStyle w:val="Textoindependiente"/>
        <w:rPr>
          <w:szCs w:val="24"/>
        </w:rPr>
      </w:pPr>
      <w:r w:rsidRPr="009E1EA6">
        <w:rPr>
          <w:szCs w:val="24"/>
        </w:rPr>
        <w:t xml:space="preserve">This formulation reasonably approximates the response to two types of </w:t>
      </w:r>
      <w:r w:rsidR="00BB0497" w:rsidRPr="009E1EA6">
        <w:rPr>
          <w:szCs w:val="24"/>
        </w:rPr>
        <w:t>base-</w:t>
      </w:r>
      <w:r w:rsidRPr="009E1EA6">
        <w:rPr>
          <w:szCs w:val="24"/>
        </w:rPr>
        <w:t xml:space="preserve">isolation systems: single concave spherical sliding (SCSS) bearings, in which case the strength </w:t>
      </w:r>
      <m:oMath>
        <m:r>
          <w:rPr>
            <w:rFonts w:ascii="Cambria Math" w:hAnsi="Cambria Math"/>
            <w:szCs w:val="24"/>
          </w:rPr>
          <m:t>Q</m:t>
        </m:r>
      </m:oMath>
      <w:r w:rsidRPr="009E1EA6">
        <w:rPr>
          <w:szCs w:val="24"/>
        </w:rPr>
        <w:t xml:space="preserve"> takes the form</w:t>
      </w:r>
      <m:oMath>
        <m:r>
          <m:rPr>
            <m:sty m:val="p"/>
          </m:rPr>
          <w:rPr>
            <w:rFonts w:ascii="Cambria Math" w:hAnsi="Cambria Math"/>
            <w:szCs w:val="24"/>
          </w:rPr>
          <m:t xml:space="preserve"> </m:t>
        </m:r>
        <m:r>
          <w:rPr>
            <w:rFonts w:ascii="Cambria Math" w:hAnsi="Cambria Math"/>
          </w:rPr>
          <m:t>Q=</m:t>
        </m:r>
        <m:sSub>
          <m:sSubPr>
            <m:ctrlPr>
              <w:rPr>
                <w:rFonts w:ascii="Cambria Math" w:hAnsi="Cambria Math"/>
                <w:i/>
                <w:szCs w:val="24"/>
              </w:rPr>
            </m:ctrlPr>
          </m:sSubPr>
          <m:e>
            <m:r>
              <w:rPr>
                <w:rFonts w:ascii="Cambria Math" w:hAnsi="Cambria Math"/>
                <w:szCs w:val="24"/>
              </w:rPr>
              <m:t>μ</m:t>
            </m:r>
          </m:e>
          <m:sub>
            <m:r>
              <w:rPr>
                <w:rFonts w:ascii="Cambria Math" w:hAnsi="Cambria Math"/>
                <w:szCs w:val="24"/>
              </w:rPr>
              <m:t>b</m:t>
            </m:r>
          </m:sub>
        </m:sSub>
        <m:d>
          <m:dPr>
            <m:ctrlPr>
              <w:rPr>
                <w:rFonts w:ascii="Cambria Math" w:hAnsi="Cambria Math"/>
                <w:i/>
                <w:szCs w:val="24"/>
              </w:rPr>
            </m:ctrlPr>
          </m:dPr>
          <m:e>
            <m:r>
              <w:rPr>
                <w:rFonts w:ascii="Cambria Math" w:hAnsi="Cambria Math"/>
                <w:szCs w:val="24"/>
              </w:rPr>
              <m:t>m+</m:t>
            </m:r>
            <m:sSub>
              <m:sSubPr>
                <m:ctrlPr>
                  <w:rPr>
                    <w:rFonts w:ascii="Cambria Math" w:hAnsi="Cambria Math"/>
                    <w:i/>
                    <w:lang w:eastAsia="es-MX"/>
                  </w:rPr>
                </m:ctrlPr>
              </m:sSubPr>
              <m:e>
                <m:r>
                  <w:rPr>
                    <w:rFonts w:ascii="Cambria Math" w:hAnsi="Cambria Math"/>
                  </w:rPr>
                  <m:t>m</m:t>
                </m:r>
              </m:e>
              <m:sub>
                <m:r>
                  <w:rPr>
                    <w:rFonts w:ascii="Cambria Math" w:hAnsi="Cambria Math"/>
                  </w:rPr>
                  <m:t>b</m:t>
                </m:r>
              </m:sub>
            </m:sSub>
          </m:e>
        </m:d>
        <m:r>
          <w:rPr>
            <w:rFonts w:ascii="Cambria Math" w:hAnsi="Cambria Math"/>
            <w:szCs w:val="24"/>
          </w:rPr>
          <m:t>g</m:t>
        </m:r>
      </m:oMath>
      <w:r w:rsidRPr="009E1EA6">
        <w:rPr>
          <w:szCs w:val="24"/>
        </w:rPr>
        <w:t xml:space="preserve">, where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b</m:t>
            </m:r>
          </m:sub>
        </m:sSub>
      </m:oMath>
      <w:r w:rsidRPr="009E1EA6">
        <w:rPr>
          <w:szCs w:val="24"/>
        </w:rPr>
        <w:t xml:space="preserve"> </w:t>
      </w:r>
      <w:r w:rsidR="00BB0497" w:rsidRPr="009E1EA6">
        <w:rPr>
          <w:szCs w:val="24"/>
        </w:rPr>
        <w:t xml:space="preserve">is </w:t>
      </w:r>
      <w:r w:rsidRPr="009E1EA6">
        <w:rPr>
          <w:szCs w:val="24"/>
        </w:rPr>
        <w:t>the friction coefficient, and lead rubber bearings with horizontal strength</w:t>
      </w:r>
      <m:oMath>
        <m:r>
          <m:rPr>
            <m:sty m:val="p"/>
          </m:rPr>
          <w:rPr>
            <w:rFonts w:ascii="Cambria Math" w:hAnsi="Cambria Math"/>
            <w:szCs w:val="24"/>
          </w:rPr>
          <m:t xml:space="preserve"> </m:t>
        </m:r>
        <m:r>
          <w:rPr>
            <w:rFonts w:ascii="Cambria Math" w:hAnsi="Cambria Math"/>
          </w:rPr>
          <m:t>Q</m:t>
        </m:r>
      </m:oMath>
      <w:r w:rsidRPr="009E1EA6">
        <w:rPr>
          <w:szCs w:val="24"/>
        </w:rPr>
        <w:t xml:space="preserve">. Combining Equations (3), (6) and (7), the acceleration </w:t>
      </w:r>
      <w:r w:rsidRPr="009E1EA6">
        <w:rPr>
          <w:lang w:eastAsia="es-MX"/>
        </w:rPr>
        <w:t xml:space="preserve">terms </w:t>
      </w:r>
      <m:oMath>
        <m:sSub>
          <m:sSubPr>
            <m:ctrlPr>
              <w:rPr>
                <w:rFonts w:ascii="Cambria Math" w:hAnsi="Cambria Math"/>
                <w:i/>
                <w:lang w:eastAsia="es-MX"/>
              </w:rPr>
            </m:ctrlPr>
          </m:sSubPr>
          <m:e>
            <m:acc>
              <m:accPr>
                <m:chr m:val="̈"/>
                <m:ctrlPr>
                  <w:rPr>
                    <w:rFonts w:ascii="Cambria Math" w:hAnsi="Cambria Math"/>
                    <w:i/>
                    <w:lang w:eastAsia="es-MX"/>
                  </w:rPr>
                </m:ctrlPr>
              </m:accPr>
              <m:e>
                <m:r>
                  <w:rPr>
                    <w:rFonts w:ascii="Cambria Math" w:hAnsi="Cambria Math"/>
                  </w:rPr>
                  <m:t>x</m:t>
                </m:r>
              </m:e>
            </m:acc>
          </m:e>
          <m:sub>
            <m:r>
              <w:rPr>
                <w:rFonts w:ascii="Cambria Math" w:hAnsi="Cambria Math"/>
                <w:lang w:eastAsia="es-MX"/>
              </w:rPr>
              <m:t>b</m:t>
            </m:r>
          </m:sub>
        </m:sSub>
      </m:oMath>
      <w:r w:rsidRPr="009E1EA6">
        <w:rPr>
          <w:lang w:eastAsia="es-MX"/>
        </w:rPr>
        <w:t xml:space="preserve"> and </w:t>
      </w:r>
      <m:oMath>
        <m:acc>
          <m:accPr>
            <m:chr m:val="̈"/>
            <m:ctrlPr>
              <w:rPr>
                <w:rFonts w:ascii="Cambria Math" w:hAnsi="Cambria Math"/>
                <w:i/>
                <w:lang w:eastAsia="es-MX"/>
              </w:rPr>
            </m:ctrlPr>
          </m:accPr>
          <m:e>
            <m:r>
              <w:rPr>
                <w:rFonts w:ascii="Cambria Math" w:hAnsi="Cambria Math"/>
              </w:rPr>
              <m:t>x</m:t>
            </m:r>
          </m:e>
        </m:acc>
      </m:oMath>
      <w:r w:rsidRPr="009E1EA6">
        <w:rPr>
          <w:lang w:eastAsia="es-MX"/>
        </w:rPr>
        <w:t xml:space="preserve"> can be written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26"/>
        <w:gridCol w:w="1205"/>
      </w:tblGrid>
      <w:tr w:rsidR="009E1EA6" w:rsidRPr="009E1EA6" w14:paraId="4D820304" w14:textId="77777777" w:rsidTr="00DC4036">
        <w:tc>
          <w:tcPr>
            <w:tcW w:w="8026" w:type="dxa"/>
            <w:vAlign w:val="center"/>
          </w:tcPr>
          <w:p w14:paraId="4BAA2E47" w14:textId="77777777" w:rsidR="009B7576" w:rsidRPr="009E1EA6" w:rsidRDefault="006E3CB7" w:rsidP="00DC4036">
            <w:pPr>
              <w:pStyle w:val="Textoindependiente"/>
              <w:spacing w:before="120"/>
              <w:ind w:firstLine="0"/>
              <w:jc w:val="left"/>
              <w:rPr>
                <w:lang w:val="en-US"/>
              </w:rPr>
            </w:pPr>
            <m:oMathPara>
              <m:oMathParaPr>
                <m:jc m:val="center"/>
              </m:oMathParaPr>
              <m:oMath>
                <m:sSub>
                  <m:sSubPr>
                    <m:ctrlPr>
                      <w:rPr>
                        <w:rFonts w:ascii="Cambria Math" w:hAnsi="Cambria Math" w:cs="Arial"/>
                        <w:i/>
                        <w:szCs w:val="24"/>
                        <w:lang w:val="en-US"/>
                      </w:rPr>
                    </m:ctrlPr>
                  </m:sSubPr>
                  <m:e>
                    <m:acc>
                      <m:accPr>
                        <m:chr m:val="̈"/>
                        <m:ctrlPr>
                          <w:rPr>
                            <w:rFonts w:ascii="Cambria Math" w:hAnsi="Cambria Math" w:cs="Arial"/>
                            <w:i/>
                            <w:szCs w:val="24"/>
                            <w:lang w:val="en-US"/>
                          </w:rPr>
                        </m:ctrlPr>
                      </m:accPr>
                      <m:e>
                        <m:r>
                          <w:rPr>
                            <w:rFonts w:ascii="Cambria Math" w:hAnsi="Cambria Math" w:cs="Arial"/>
                            <w:szCs w:val="24"/>
                            <w:lang w:val="en-US"/>
                          </w:rPr>
                          <m:t>x</m:t>
                        </m:r>
                      </m:e>
                    </m:acc>
                  </m:e>
                  <m:sub>
                    <m:r>
                      <w:rPr>
                        <w:rFonts w:ascii="Cambria Math" w:hAnsi="Cambria Math" w:cs="Arial"/>
                        <w:szCs w:val="24"/>
                        <w:lang w:val="en-US"/>
                      </w:rPr>
                      <m:t>b</m:t>
                    </m:r>
                  </m:sub>
                </m:sSub>
                <m:r>
                  <w:rPr>
                    <w:rFonts w:ascii="Cambria Math" w:hAnsi="Cambria Math" w:cs="Arial"/>
                    <w:szCs w:val="24"/>
                    <w:lang w:val="en-US"/>
                  </w:rPr>
                  <m:t>=-γ</m:t>
                </m:r>
                <m:acc>
                  <m:accPr>
                    <m:chr m:val="̈"/>
                    <m:ctrlPr>
                      <w:rPr>
                        <w:rFonts w:ascii="Cambria Math" w:hAnsi="Cambria Math" w:cs="Arial"/>
                        <w:i/>
                        <w:szCs w:val="24"/>
                        <w:lang w:val="en-US"/>
                      </w:rPr>
                    </m:ctrlPr>
                  </m:accPr>
                  <m:e>
                    <m:r>
                      <w:rPr>
                        <w:rFonts w:ascii="Cambria Math" w:hAnsi="Cambria Math" w:cs="Arial"/>
                        <w:szCs w:val="24"/>
                        <w:lang w:val="en-US"/>
                      </w:rPr>
                      <m:t>x</m:t>
                    </m:r>
                  </m:e>
                </m:acc>
                <m:r>
                  <w:rPr>
                    <w:rFonts w:ascii="Cambria Math" w:hAnsi="Cambria Math" w:cs="Arial"/>
                    <w:szCs w:val="24"/>
                    <w:lang w:val="en-US"/>
                  </w:rPr>
                  <m:t>-</m:t>
                </m:r>
                <m:f>
                  <m:fPr>
                    <m:ctrlPr>
                      <w:rPr>
                        <w:rFonts w:ascii="Cambria Math" w:hAnsi="Cambria Math" w:cs="Arial"/>
                        <w:i/>
                        <w:szCs w:val="24"/>
                        <w:lang w:val="en-US"/>
                      </w:rPr>
                    </m:ctrlPr>
                  </m:fPr>
                  <m:num>
                    <m:r>
                      <w:rPr>
                        <w:rFonts w:ascii="Cambria Math" w:hAnsi="Cambria Math" w:cs="Arial"/>
                        <w:szCs w:val="24"/>
                        <w:lang w:val="en-US"/>
                      </w:rPr>
                      <m:t>Q</m:t>
                    </m:r>
                  </m:num>
                  <m:den>
                    <m:r>
                      <w:rPr>
                        <w:rFonts w:ascii="Cambria Math" w:hAnsi="Cambria Math" w:cs="Arial"/>
                        <w:szCs w:val="24"/>
                        <w:lang w:val="en-US"/>
                      </w:rPr>
                      <m:t>m+</m:t>
                    </m:r>
                    <m:sSub>
                      <m:sSubPr>
                        <m:ctrlPr>
                          <w:rPr>
                            <w:rFonts w:ascii="Cambria Math" w:hAnsi="Cambria Math" w:cs="Arial"/>
                            <w:i/>
                            <w:szCs w:val="24"/>
                            <w:lang w:val="en-US"/>
                          </w:rPr>
                        </m:ctrlPr>
                      </m:sSubPr>
                      <m:e>
                        <m:r>
                          <w:rPr>
                            <w:rFonts w:ascii="Cambria Math" w:hAnsi="Cambria Math" w:cs="Arial"/>
                            <w:szCs w:val="24"/>
                            <w:lang w:val="en-US"/>
                          </w:rPr>
                          <m:t>m</m:t>
                        </m:r>
                      </m:e>
                      <m:sub>
                        <m:r>
                          <w:rPr>
                            <w:rFonts w:ascii="Cambria Math" w:hAnsi="Cambria Math" w:cs="Arial"/>
                            <w:szCs w:val="24"/>
                            <w:lang w:val="en-US"/>
                          </w:rPr>
                          <m:t>b</m:t>
                        </m:r>
                      </m:sub>
                    </m:sSub>
                  </m:den>
                </m:f>
                <m:r>
                  <w:rPr>
                    <w:rFonts w:ascii="Cambria Math" w:hAnsi="Cambria Math" w:cs="Arial"/>
                    <w:szCs w:val="24"/>
                    <w:lang w:val="en-US"/>
                  </w:rPr>
                  <m:t xml:space="preserve"> z-</m:t>
                </m:r>
                <m:sSup>
                  <m:sSupPr>
                    <m:ctrlPr>
                      <w:rPr>
                        <w:rFonts w:ascii="Cambria Math" w:hAnsi="Cambria Math" w:cs="Arial"/>
                        <w:i/>
                        <w:szCs w:val="24"/>
                        <w:lang w:val="en-US"/>
                      </w:rPr>
                    </m:ctrlPr>
                  </m:sSupPr>
                  <m:e>
                    <m:sSub>
                      <m:sSubPr>
                        <m:ctrlPr>
                          <w:rPr>
                            <w:rFonts w:ascii="Cambria Math" w:hAnsi="Cambria Math" w:cs="Arial"/>
                            <w:i/>
                            <w:szCs w:val="24"/>
                            <w:lang w:val="en-US"/>
                          </w:rPr>
                        </m:ctrlPr>
                      </m:sSubPr>
                      <m:e>
                        <m:r>
                          <w:rPr>
                            <w:rFonts w:ascii="Cambria Math" w:hAnsi="Cambria Math" w:cs="Arial"/>
                            <w:szCs w:val="24"/>
                            <w:lang w:val="en-US"/>
                          </w:rPr>
                          <m:t>ω</m:t>
                        </m:r>
                      </m:e>
                      <m:sub>
                        <m:r>
                          <w:rPr>
                            <w:rFonts w:ascii="Cambria Math" w:hAnsi="Cambria Math" w:cs="Arial"/>
                            <w:szCs w:val="24"/>
                            <w:lang w:val="en-US"/>
                          </w:rPr>
                          <m:t>b</m:t>
                        </m:r>
                      </m:sub>
                    </m:sSub>
                  </m:e>
                  <m:sup>
                    <m:r>
                      <w:rPr>
                        <w:rFonts w:ascii="Cambria Math" w:hAnsi="Cambria Math" w:cs="Arial"/>
                        <w:szCs w:val="24"/>
                        <w:lang w:val="en-US"/>
                      </w:rPr>
                      <m:t>2</m:t>
                    </m:r>
                  </m:sup>
                </m:sSup>
                <m:sSub>
                  <m:sSubPr>
                    <m:ctrlPr>
                      <w:rPr>
                        <w:rFonts w:ascii="Cambria Math" w:hAnsi="Cambria Math" w:cs="Arial"/>
                        <w:i/>
                        <w:szCs w:val="24"/>
                        <w:lang w:val="en-US"/>
                      </w:rPr>
                    </m:ctrlPr>
                  </m:sSubPr>
                  <m:e>
                    <m:r>
                      <w:rPr>
                        <w:rFonts w:ascii="Cambria Math" w:hAnsi="Cambria Math" w:cs="Arial"/>
                        <w:szCs w:val="24"/>
                        <w:lang w:val="en-US"/>
                      </w:rPr>
                      <m:t>x</m:t>
                    </m:r>
                  </m:e>
                  <m:sub>
                    <m:r>
                      <w:rPr>
                        <w:rFonts w:ascii="Cambria Math" w:hAnsi="Cambria Math" w:cs="Arial"/>
                        <w:szCs w:val="24"/>
                        <w:lang w:val="en-US"/>
                      </w:rPr>
                      <m:t>b</m:t>
                    </m:r>
                  </m:sub>
                </m:sSub>
                <m:r>
                  <w:rPr>
                    <w:rFonts w:ascii="Cambria Math" w:hAnsi="Cambria Math" w:cs="Arial"/>
                    <w:szCs w:val="24"/>
                    <w:lang w:val="en-US"/>
                  </w:rPr>
                  <m:t>-</m:t>
                </m:r>
                <m:sSub>
                  <m:sSubPr>
                    <m:ctrlPr>
                      <w:rPr>
                        <w:rFonts w:ascii="Cambria Math" w:hAnsi="Cambria Math" w:cs="Arial"/>
                        <w:i/>
                        <w:szCs w:val="24"/>
                        <w:lang w:val="en-US"/>
                      </w:rPr>
                    </m:ctrlPr>
                  </m:sSubPr>
                  <m:e>
                    <m:acc>
                      <m:accPr>
                        <m:chr m:val="̈"/>
                        <m:ctrlPr>
                          <w:rPr>
                            <w:rFonts w:ascii="Cambria Math" w:hAnsi="Cambria Math" w:cs="Arial"/>
                            <w:i/>
                            <w:szCs w:val="24"/>
                            <w:lang w:val="en-US"/>
                          </w:rPr>
                        </m:ctrlPr>
                      </m:accPr>
                      <m:e>
                        <m:r>
                          <w:rPr>
                            <w:rFonts w:ascii="Cambria Math" w:hAnsi="Cambria Math" w:cs="Arial"/>
                            <w:szCs w:val="24"/>
                            <w:lang w:val="en-US"/>
                          </w:rPr>
                          <m:t>x</m:t>
                        </m:r>
                      </m:e>
                    </m:acc>
                  </m:e>
                  <m:sub>
                    <m:r>
                      <w:rPr>
                        <w:rFonts w:ascii="Cambria Math" w:hAnsi="Cambria Math" w:cs="Arial"/>
                        <w:szCs w:val="24"/>
                        <w:lang w:val="en-US"/>
                      </w:rPr>
                      <m:t>g</m:t>
                    </m:r>
                  </m:sub>
                </m:sSub>
              </m:oMath>
            </m:oMathPara>
          </w:p>
        </w:tc>
        <w:tc>
          <w:tcPr>
            <w:tcW w:w="1205" w:type="dxa"/>
            <w:vAlign w:val="center"/>
          </w:tcPr>
          <w:p w14:paraId="5ABE319C" w14:textId="77777777" w:rsidR="009B7576" w:rsidRPr="009E1EA6" w:rsidRDefault="00B74A7C" w:rsidP="00356536">
            <w:pPr>
              <w:pStyle w:val="Textoindependiente"/>
              <w:spacing w:before="120"/>
              <w:ind w:firstLine="0"/>
              <w:rPr>
                <w:lang w:val="en-US"/>
              </w:rPr>
            </w:pPr>
            <w:r w:rsidRPr="009E1EA6">
              <w:rPr>
                <w:lang w:val="en-US"/>
              </w:rPr>
              <w:t xml:space="preserve">  (8.1)</w:t>
            </w:r>
          </w:p>
        </w:tc>
      </w:tr>
      <w:tr w:rsidR="009E1EA6" w:rsidRPr="009E1EA6" w14:paraId="7EABECFD" w14:textId="77777777" w:rsidTr="00DC4036">
        <w:tc>
          <w:tcPr>
            <w:tcW w:w="8026" w:type="dxa"/>
            <w:vAlign w:val="center"/>
          </w:tcPr>
          <w:p w14:paraId="0FBA8606" w14:textId="77777777" w:rsidR="009B7576" w:rsidRPr="009E1EA6" w:rsidRDefault="006E3CB7" w:rsidP="00DC4036">
            <w:pPr>
              <w:pStyle w:val="Textoindependiente"/>
              <w:spacing w:before="120"/>
              <w:ind w:firstLine="0"/>
              <w:jc w:val="left"/>
              <w:rPr>
                <w:lang w:val="en-US"/>
              </w:rPr>
            </w:pPr>
            <m:oMathPara>
              <m:oMathParaPr>
                <m:jc m:val="center"/>
              </m:oMathParaPr>
              <m:oMath>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b</m:t>
                        </m:r>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g</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∙sgn</m:t>
                </m:r>
                <m:d>
                  <m:dPr>
                    <m:ctrlPr>
                      <w:rPr>
                        <w:rFonts w:ascii="Cambria Math" w:hAnsi="Cambria Math"/>
                        <w:i/>
                        <w:lang w:val="en-US"/>
                      </w:rPr>
                    </m:ctrlPr>
                  </m:dPr>
                  <m:e>
                    <m:acc>
                      <m:accPr>
                        <m:chr m:val="̇"/>
                        <m:ctrlPr>
                          <w:rPr>
                            <w:rFonts w:ascii="Cambria Math" w:hAnsi="Cambria Math"/>
                            <w:i/>
                            <w:lang w:val="en-US"/>
                          </w:rPr>
                        </m:ctrlPr>
                      </m:accPr>
                      <m:e>
                        <m:r>
                          <w:rPr>
                            <w:rFonts w:ascii="Cambria Math" w:hAnsi="Cambria Math"/>
                            <w:lang w:val="en-US"/>
                          </w:rPr>
                          <m:t>x</m:t>
                        </m:r>
                      </m:e>
                    </m:acc>
                  </m:e>
                </m:d>
                <m:r>
                  <w:rPr>
                    <w:rFonts w:ascii="Cambria Math" w:hAnsi="Cambria Math"/>
                    <w:lang w:val="en-US"/>
                  </w:rPr>
                  <m:t>g</m:t>
                </m:r>
              </m:oMath>
            </m:oMathPara>
          </w:p>
        </w:tc>
        <w:tc>
          <w:tcPr>
            <w:tcW w:w="1205" w:type="dxa"/>
            <w:vAlign w:val="center"/>
          </w:tcPr>
          <w:p w14:paraId="01B4584B" w14:textId="77777777" w:rsidR="009B7576" w:rsidRPr="009E1EA6" w:rsidRDefault="00B74A7C" w:rsidP="00356536">
            <w:pPr>
              <w:pStyle w:val="Textoindependiente"/>
              <w:spacing w:before="120"/>
              <w:ind w:firstLine="0"/>
              <w:rPr>
                <w:lang w:val="en-US"/>
              </w:rPr>
            </w:pPr>
            <w:r w:rsidRPr="009E1EA6">
              <w:rPr>
                <w:lang w:val="en-US"/>
              </w:rPr>
              <w:t xml:space="preserve">  (8.2)</w:t>
            </w:r>
          </w:p>
        </w:tc>
      </w:tr>
    </w:tbl>
    <w:p w14:paraId="24AFAB83" w14:textId="20BCBEC6" w:rsidR="009B7576" w:rsidRPr="009E1EA6" w:rsidRDefault="00C459F2" w:rsidP="009B7576">
      <w:pPr>
        <w:pStyle w:val="Textoindependiente"/>
        <w:rPr>
          <w:szCs w:val="24"/>
        </w:rPr>
      </w:pPr>
      <w:r w:rsidRPr="009E1EA6">
        <w:rPr>
          <w:szCs w:val="24"/>
        </w:rPr>
        <w:t>In the illustrative examples, a</w:t>
      </w:r>
      <w:r w:rsidR="00B74A7C" w:rsidRPr="009E1EA6">
        <w:rPr>
          <w:szCs w:val="24"/>
        </w:rPr>
        <w:t xml:space="preserve"> very small value for the yield displacement was adopted for the </w:t>
      </w:r>
      <w:r w:rsidR="00295FD7" w:rsidRPr="009E1EA6">
        <w:rPr>
          <w:szCs w:val="24"/>
        </w:rPr>
        <w:t>base</w:t>
      </w:r>
      <w:r w:rsidR="00B74A7C" w:rsidRPr="009E1EA6">
        <w:rPr>
          <w:szCs w:val="24"/>
        </w:rPr>
        <w:t xml:space="preserve"> isolat</w:t>
      </w:r>
      <w:r w:rsidR="00295FD7" w:rsidRPr="009E1EA6">
        <w:rPr>
          <w:szCs w:val="24"/>
        </w:rPr>
        <w:t>ion</w:t>
      </w:r>
      <w:r w:rsidR="00B74A7C" w:rsidRPr="009E1EA6">
        <w:rPr>
          <w:szCs w:val="24"/>
        </w:rPr>
        <w:t xml:space="preserve"> (</w:t>
      </w:r>
      <m:oMath>
        <m:sSub>
          <m:sSubPr>
            <m:ctrlPr>
              <w:rPr>
                <w:rFonts w:ascii="Cambria Math" w:hAnsi="Cambria Math"/>
                <w:i/>
                <w:szCs w:val="24"/>
              </w:rPr>
            </m:ctrlPr>
          </m:sSubPr>
          <m:e>
            <m:r>
              <w:rPr>
                <w:rFonts w:ascii="Cambria Math" w:hAnsi="Cambria Math"/>
                <w:szCs w:val="24"/>
              </w:rPr>
              <m:t>u</m:t>
            </m:r>
          </m:e>
          <m:sub>
            <m:r>
              <w:rPr>
                <w:rFonts w:ascii="Cambria Math" w:hAnsi="Cambria Math"/>
                <w:szCs w:val="24"/>
              </w:rPr>
              <m:t>y</m:t>
            </m:r>
          </m:sub>
        </m:sSub>
        <m:r>
          <w:rPr>
            <w:rFonts w:ascii="Cambria Math" w:hAnsi="Cambria Math"/>
            <w:szCs w:val="24"/>
          </w:rPr>
          <m:t xml:space="preserve">=0.25 </m:t>
        </m:r>
        <m:r>
          <m:rPr>
            <m:sty m:val="p"/>
          </m:rPr>
          <w:rPr>
            <w:rFonts w:ascii="Cambria Math" w:hAnsi="Cambria Math"/>
            <w:szCs w:val="24"/>
          </w:rPr>
          <m:t>mm</m:t>
        </m:r>
      </m:oMath>
      <w:r w:rsidR="00B74A7C" w:rsidRPr="009E1EA6">
        <w:rPr>
          <w:szCs w:val="24"/>
        </w:rPr>
        <w:t xml:space="preserve">, Mokha et al. 1988), which approximates the ‘stick-slip’ behavior of </w:t>
      </w:r>
      <w:r w:rsidR="00171D3A" w:rsidRPr="009E1EA6">
        <w:rPr>
          <w:szCs w:val="24"/>
        </w:rPr>
        <w:t>sliding systems</w:t>
      </w:r>
      <w:r w:rsidR="00B74A7C" w:rsidRPr="009E1EA6">
        <w:rPr>
          <w:szCs w:val="24"/>
        </w:rPr>
        <w:t xml:space="preserve">. Vassiliou and Makris (2012) showed that the </w:t>
      </w:r>
      <w:r w:rsidR="00F279F9" w:rsidRPr="009E1EA6">
        <w:rPr>
          <w:szCs w:val="24"/>
        </w:rPr>
        <w:t xml:space="preserve">response of the </w:t>
      </w:r>
      <w:r w:rsidR="00B74A7C" w:rsidRPr="009E1EA6">
        <w:rPr>
          <w:szCs w:val="24"/>
        </w:rPr>
        <w:t xml:space="preserve">system is not very sensitive to small variations </w:t>
      </w:r>
      <w:r w:rsidR="00F279F9" w:rsidRPr="009E1EA6">
        <w:rPr>
          <w:szCs w:val="24"/>
        </w:rPr>
        <w:t xml:space="preserve">in </w:t>
      </w:r>
      <m:oMath>
        <m:sSub>
          <m:sSubPr>
            <m:ctrlPr>
              <w:rPr>
                <w:rFonts w:ascii="Cambria Math" w:hAnsi="Cambria Math"/>
                <w:i/>
                <w:szCs w:val="24"/>
              </w:rPr>
            </m:ctrlPr>
          </m:sSubPr>
          <m:e>
            <m:r>
              <w:rPr>
                <w:rFonts w:ascii="Cambria Math" w:hAnsi="Cambria Math"/>
                <w:szCs w:val="24"/>
              </w:rPr>
              <m:t>u</m:t>
            </m:r>
          </m:e>
          <m:sub>
            <m:r>
              <w:rPr>
                <w:rFonts w:ascii="Cambria Math" w:hAnsi="Cambria Math"/>
                <w:szCs w:val="24"/>
              </w:rPr>
              <m:t>y</m:t>
            </m:r>
          </m:sub>
        </m:sSub>
      </m:oMath>
      <w:r w:rsidR="00B74A7C" w:rsidRPr="009E1EA6">
        <w:rPr>
          <w:szCs w:val="24"/>
        </w:rPr>
        <w:t>.</w:t>
      </w:r>
    </w:p>
    <w:p w14:paraId="025385E7" w14:textId="03EF6BC7" w:rsidR="00482BC6" w:rsidRPr="009E1EA6" w:rsidRDefault="00B74A7C" w:rsidP="009B7576">
      <w:pPr>
        <w:pStyle w:val="Textoindependiente"/>
        <w:rPr>
          <w:lang w:eastAsia="es-MX"/>
        </w:rPr>
      </w:pPr>
      <w:r w:rsidRPr="009E1EA6">
        <w:rPr>
          <w:szCs w:val="24"/>
        </w:rPr>
        <w:t>A key element influencing the displacement response of free and isolate</w:t>
      </w:r>
      <w:r w:rsidR="00295FD7" w:rsidRPr="009E1EA6">
        <w:rPr>
          <w:szCs w:val="24"/>
        </w:rPr>
        <w:t>d</w:t>
      </w:r>
      <w:r w:rsidR="00056B9F" w:rsidRPr="009E1EA6">
        <w:t xml:space="preserve"> blocks is the coefficient of kinetic friction. Figure 3 shows the response in terms of residual displacements (top axes) and maximum displacements (bottom axes) of a freestanding and linear viscoelastic </w:t>
      </w:r>
      <w:r w:rsidR="00F279F9" w:rsidRPr="009E1EA6">
        <w:t>base-</w:t>
      </w:r>
      <w:r w:rsidR="00056B9F" w:rsidRPr="009E1EA6">
        <w:t xml:space="preserve">isolated block subjected to a </w:t>
      </w:r>
      <w:r w:rsidR="00F279F9" w:rsidRPr="009E1EA6">
        <w:rPr>
          <w:lang w:eastAsia="es-MX"/>
        </w:rPr>
        <w:t xml:space="preserve">symmetric </w:t>
      </w:r>
      <w:r w:rsidR="00056B9F" w:rsidRPr="009E1EA6">
        <w:rPr>
          <w:lang w:eastAsia="es-MX"/>
        </w:rPr>
        <w:t>Ricker or ‘Mexican Hat’ wavelet (</w:t>
      </w:r>
      <w:r w:rsidR="00056B9F" w:rsidRPr="009E1EA6">
        <w:t>Vassiliou and Makris, 2012</w:t>
      </w:r>
      <w:r w:rsidR="00056B9F" w:rsidRPr="009E1EA6">
        <w:rPr>
          <w:lang w:eastAsia="es-MX"/>
        </w:rPr>
        <w:t xml:space="preserve">) </w:t>
      </w:r>
      <w:r w:rsidRPr="009E1EA6">
        <w:t>of predominant period</w:t>
      </w:r>
      <m:oMath>
        <m:r>
          <m:rPr>
            <m:sty m:val="p"/>
          </m:rP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p</m:t>
            </m:r>
          </m:sub>
        </m:sSub>
        <m:r>
          <w:rPr>
            <w:rFonts w:ascii="Cambria Math" w:hAnsi="Cambria Math"/>
          </w:rPr>
          <m:t xml:space="preserve">=1 </m:t>
        </m:r>
        <m:r>
          <m:rPr>
            <m:sty m:val="p"/>
          </m:rPr>
          <w:rPr>
            <w:rFonts w:ascii="Cambria Math" w:hAnsi="Cambria Math"/>
          </w:rPr>
          <m:t>s</m:t>
        </m:r>
      </m:oMath>
      <w:r w:rsidRPr="009E1EA6">
        <w:rPr>
          <w:szCs w:val="24"/>
        </w:rPr>
        <w:t xml:space="preserve">, amplitude </w:t>
      </w:r>
      <m:oMath>
        <m:r>
          <w:rPr>
            <w:rFonts w:ascii="Cambria Math" w:hAnsi="Cambria Math"/>
          </w:rPr>
          <m:t>0.1g≤</m:t>
        </m:r>
        <m:sSub>
          <m:sSubPr>
            <m:ctrlPr>
              <w:rPr>
                <w:rFonts w:ascii="Cambria Math" w:hAnsi="Cambria Math"/>
                <w:i/>
              </w:rPr>
            </m:ctrlPr>
          </m:sSubPr>
          <m:e>
            <m:r>
              <w:rPr>
                <w:rFonts w:ascii="Cambria Math" w:hAnsi="Cambria Math"/>
              </w:rPr>
              <m:t>a</m:t>
            </m:r>
          </m:e>
          <m:sub>
            <m:r>
              <w:rPr>
                <w:rFonts w:ascii="Cambria Math" w:hAnsi="Cambria Math"/>
              </w:rPr>
              <m:t>p</m:t>
            </m:r>
          </m:sub>
        </m:sSub>
        <m:r>
          <w:rPr>
            <w:rFonts w:ascii="Cambria Math" w:hAnsi="Cambria Math"/>
          </w:rPr>
          <m:t>≤2g</m:t>
        </m:r>
      </m:oMath>
      <w:r w:rsidRPr="009E1EA6">
        <w:t xml:space="preserve">, and kinetic friction </w:t>
      </w:r>
      <m:oMath>
        <m:r>
          <w:rPr>
            <w:rFonts w:ascii="Cambria Math" w:hAnsi="Cambria Math"/>
          </w:rPr>
          <m:t>0.05≤</m:t>
        </m:r>
        <m:sSub>
          <m:sSubPr>
            <m:ctrlPr>
              <w:rPr>
                <w:rFonts w:ascii="Cambria Math" w:hAnsi="Cambria Math"/>
                <w:i/>
                <w:lang w:eastAsia="es-MX"/>
              </w:rPr>
            </m:ctrlPr>
          </m:sSubPr>
          <m:e>
            <m:r>
              <w:rPr>
                <w:rFonts w:ascii="Cambria Math" w:hAnsi="Cambria Math"/>
              </w:rPr>
              <m:t>μ</m:t>
            </m:r>
          </m:e>
          <m:sub>
            <m:r>
              <w:rPr>
                <w:rFonts w:ascii="Cambria Math" w:hAnsi="Cambria Math"/>
              </w:rPr>
              <m:t>k</m:t>
            </m:r>
          </m:sub>
        </m:sSub>
        <m:r>
          <w:rPr>
            <w:rFonts w:ascii="Cambria Math" w:hAnsi="Cambria Math"/>
          </w:rPr>
          <m:t>≤0.4</m:t>
        </m:r>
      </m:oMath>
      <w:r w:rsidR="001D6762" w:rsidRPr="009E1EA6">
        <w:t xml:space="preserve">. The dark line in each plot </w:t>
      </w:r>
      <w:r w:rsidR="00F279F9" w:rsidRPr="009E1EA6">
        <w:t xml:space="preserve">in </w:t>
      </w:r>
      <w:r w:rsidR="001D6762" w:rsidRPr="009E1EA6">
        <w:t xml:space="preserve">Figure 3 marks the transition between the ‘friction efficient zone’ and the ‘friction inefficient zone’. In the friction efficient zone, an increase </w:t>
      </w:r>
      <w:r w:rsidR="00F279F9" w:rsidRPr="009E1EA6">
        <w:t xml:space="preserve">in </w:t>
      </w:r>
      <w:r w:rsidR="001D6762" w:rsidRPr="009E1EA6">
        <w:t xml:space="preserve">kinetic friction decreases both the residual and maximum displacements, whereas the opposite is observed above the transition line. </w:t>
      </w:r>
      <w:r w:rsidRPr="009E1EA6">
        <w:t>Additionally</w:t>
      </w:r>
      <w:r w:rsidR="001D6762" w:rsidRPr="009E1EA6">
        <w:t xml:space="preserve">, notice that an increase </w:t>
      </w:r>
      <w:r w:rsidRPr="009E1EA6">
        <w:t>in</w:t>
      </w:r>
      <w:r w:rsidR="001D6762" w:rsidRPr="009E1EA6">
        <w:t xml:space="preserve"> the acceleration amplitude always leads to increasing displacements. Finally, the results </w:t>
      </w:r>
      <w:r w:rsidR="00A15422" w:rsidRPr="009E1EA6">
        <w:t xml:space="preserve">from this </w:t>
      </w:r>
      <w:r w:rsidR="00A15422" w:rsidRPr="009E1EA6">
        <w:lastRenderedPageBreak/>
        <w:t xml:space="preserve">example </w:t>
      </w:r>
      <w:r w:rsidR="001D6762" w:rsidRPr="009E1EA6">
        <w:t xml:space="preserve">show that the displacements in the linear-elastic </w:t>
      </w:r>
      <w:r w:rsidR="00F279F9" w:rsidRPr="009E1EA6">
        <w:t>base-</w:t>
      </w:r>
      <w:r w:rsidR="001D6762" w:rsidRPr="009E1EA6">
        <w:t>isolated block relative to its base are larger than</w:t>
      </w:r>
      <w:r w:rsidR="00F279F9" w:rsidRPr="009E1EA6">
        <w:t xml:space="preserve"> the</w:t>
      </w:r>
      <w:r w:rsidR="001D6762" w:rsidRPr="009E1EA6">
        <w:t xml:space="preserve"> displacements in the simply supported block.</w:t>
      </w:r>
    </w:p>
    <w:p w14:paraId="5944A311" w14:textId="13066D77" w:rsidR="009B7576" w:rsidRPr="009E1EA6" w:rsidRDefault="00A60AEB" w:rsidP="007C27CE">
      <w:pPr>
        <w:pStyle w:val="Textoindependiente"/>
        <w:spacing w:after="0" w:line="240" w:lineRule="auto"/>
        <w:ind w:firstLine="0"/>
        <w:jc w:val="center"/>
        <w:rPr>
          <w:szCs w:val="24"/>
        </w:rPr>
      </w:pPr>
      <w:r w:rsidRPr="009E1EA6">
        <w:rPr>
          <w:noProof/>
          <w:lang w:val="es-CL" w:eastAsia="es-CL"/>
        </w:rPr>
        <w:drawing>
          <wp:inline distT="0" distB="0" distL="0" distR="0" wp14:anchorId="0858CECB" wp14:editId="6BA21BCA">
            <wp:extent cx="4871343" cy="3423514"/>
            <wp:effectExtent l="0" t="0" r="5715"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b="1940"/>
                    <a:stretch/>
                  </pic:blipFill>
                  <pic:spPr bwMode="auto">
                    <a:xfrm>
                      <a:off x="0" y="0"/>
                      <a:ext cx="4879443" cy="3429206"/>
                    </a:xfrm>
                    <a:prstGeom prst="rect">
                      <a:avLst/>
                    </a:prstGeom>
                    <a:noFill/>
                    <a:ln>
                      <a:noFill/>
                    </a:ln>
                    <a:extLst>
                      <a:ext uri="{53640926-AAD7-44D8-BBD7-CCE9431645EC}">
                        <a14:shadowObscured xmlns:a14="http://schemas.microsoft.com/office/drawing/2010/main"/>
                      </a:ext>
                    </a:extLst>
                  </pic:spPr>
                </pic:pic>
              </a:graphicData>
            </a:graphic>
          </wp:inline>
        </w:drawing>
      </w:r>
    </w:p>
    <w:p w14:paraId="3930AD34" w14:textId="12FE0273" w:rsidR="009B7576" w:rsidRPr="009E1EA6" w:rsidRDefault="00585FB4" w:rsidP="00B9241F">
      <w:pPr>
        <w:spacing w:before="60" w:after="30" w:line="360" w:lineRule="auto"/>
        <w:rPr>
          <w:sz w:val="22"/>
          <w:szCs w:val="22"/>
        </w:rPr>
      </w:pPr>
      <w:r w:rsidRPr="009E1EA6">
        <w:rPr>
          <w:b/>
          <w:sz w:val="22"/>
          <w:szCs w:val="22"/>
        </w:rPr>
        <w:t>Figure 3</w:t>
      </w:r>
      <w:r w:rsidR="00B74A7C" w:rsidRPr="009E1EA6">
        <w:rPr>
          <w:sz w:val="22"/>
          <w:szCs w:val="22"/>
        </w:rPr>
        <w:t xml:space="preserve">. Contours of residual and maximum displacements (in meters) for (a) a freestanding block and (b) a linear viscoelastic </w:t>
      </w:r>
      <w:r w:rsidR="00E43579" w:rsidRPr="009E1EA6">
        <w:rPr>
          <w:sz w:val="22"/>
          <w:szCs w:val="22"/>
        </w:rPr>
        <w:t>base-</w:t>
      </w:r>
      <w:r w:rsidR="00B74A7C" w:rsidRPr="009E1EA6">
        <w:rPr>
          <w:sz w:val="22"/>
          <w:szCs w:val="22"/>
        </w:rPr>
        <w:t>isolated block (</w:t>
      </w:r>
      <m:oMath>
        <m:sSub>
          <m:sSubPr>
            <m:ctrlPr>
              <w:rPr>
                <w:rFonts w:ascii="Cambria Math" w:hAnsi="Cambria Math"/>
                <w:i/>
                <w:sz w:val="22"/>
                <w:szCs w:val="22"/>
              </w:rPr>
            </m:ctrlPr>
          </m:sSubPr>
          <m:e>
            <m:r>
              <w:rPr>
                <w:rFonts w:ascii="Cambria Math" w:hAnsi="Cambria Math"/>
                <w:sz w:val="22"/>
                <w:szCs w:val="22"/>
              </w:rPr>
              <m:t>T</m:t>
            </m:r>
          </m:e>
          <m:sub>
            <m:r>
              <w:rPr>
                <w:rFonts w:ascii="Cambria Math" w:hAnsi="Cambria Math"/>
                <w:sz w:val="22"/>
                <w:szCs w:val="22"/>
              </w:rPr>
              <m:t>b</m:t>
            </m:r>
          </m:sub>
        </m:sSub>
        <m:r>
          <w:rPr>
            <w:rFonts w:ascii="Cambria Math" w:hAnsi="Cambria Math"/>
            <w:sz w:val="22"/>
            <w:szCs w:val="22"/>
          </w:rPr>
          <m:t xml:space="preserve">=2.0 </m:t>
        </m:r>
        <m:r>
          <m:rPr>
            <m:sty m:val="p"/>
          </m:rPr>
          <w:rPr>
            <w:rFonts w:ascii="Cambria Math" w:hAnsi="Cambria Math"/>
            <w:sz w:val="22"/>
            <w:szCs w:val="22"/>
          </w:rPr>
          <m:t>s</m:t>
        </m:r>
        <m:r>
          <w:rPr>
            <w:rFonts w:ascii="Cambria Math" w:hAnsi="Cambria Math"/>
            <w:sz w:val="22"/>
            <w:szCs w:val="22"/>
          </w:rPr>
          <m:t xml:space="preserve">, γ=0.1, </m:t>
        </m:r>
        <m:sSub>
          <m:sSubPr>
            <m:ctrlPr>
              <w:rPr>
                <w:rFonts w:ascii="Cambria Math" w:hAnsi="Cambria Math"/>
                <w:i/>
                <w:sz w:val="22"/>
                <w:szCs w:val="22"/>
              </w:rPr>
            </m:ctrlPr>
          </m:sSubPr>
          <m:e>
            <m:r>
              <w:rPr>
                <w:rFonts w:ascii="Cambria Math" w:hAnsi="Cambria Math"/>
                <w:sz w:val="22"/>
                <w:szCs w:val="22"/>
              </w:rPr>
              <m:t>ξ</m:t>
            </m:r>
          </m:e>
          <m:sub>
            <m:r>
              <w:rPr>
                <w:rFonts w:ascii="Cambria Math" w:hAnsi="Cambria Math"/>
                <w:sz w:val="22"/>
                <w:szCs w:val="22"/>
              </w:rPr>
              <m:t>b</m:t>
            </m:r>
          </m:sub>
        </m:sSub>
        <m:r>
          <w:rPr>
            <w:rFonts w:ascii="Cambria Math" w:hAnsi="Cambria Math"/>
            <w:sz w:val="22"/>
            <w:szCs w:val="22"/>
          </w:rPr>
          <m:t>=0.25</m:t>
        </m:r>
      </m:oMath>
      <w:r w:rsidR="00B74A7C" w:rsidRPr="009E1EA6">
        <w:rPr>
          <w:sz w:val="22"/>
          <w:szCs w:val="22"/>
        </w:rPr>
        <w:t>) subjected to a symmetric wavelet of period</w:t>
      </w:r>
      <m:oMath>
        <m:r>
          <m:rPr>
            <m:sty m:val="p"/>
          </m:rP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T</m:t>
            </m:r>
          </m:e>
          <m:sub>
            <m:r>
              <w:rPr>
                <w:rFonts w:ascii="Cambria Math" w:hAnsi="Cambria Math"/>
                <w:sz w:val="22"/>
                <w:szCs w:val="22"/>
              </w:rPr>
              <m:t>p</m:t>
            </m:r>
          </m:sub>
        </m:sSub>
        <m:r>
          <w:rPr>
            <w:rFonts w:ascii="Cambria Math" w:hAnsi="Cambria Math"/>
            <w:sz w:val="22"/>
            <w:szCs w:val="22"/>
          </w:rPr>
          <m:t xml:space="preserve">=1 </m:t>
        </m:r>
        <m:r>
          <m:rPr>
            <m:sty m:val="p"/>
          </m:rPr>
          <w:rPr>
            <w:rFonts w:ascii="Cambria Math" w:hAnsi="Cambria Math"/>
            <w:sz w:val="22"/>
            <w:szCs w:val="22"/>
          </w:rPr>
          <m:t>s</m:t>
        </m:r>
      </m:oMath>
      <w:r w:rsidR="00B74A7C" w:rsidRPr="009E1EA6">
        <w:rPr>
          <w:sz w:val="22"/>
          <w:szCs w:val="22"/>
        </w:rPr>
        <w:t>.</w:t>
      </w:r>
    </w:p>
    <w:p w14:paraId="1B716F32" w14:textId="77777777" w:rsidR="0087783E" w:rsidRPr="009E1EA6" w:rsidRDefault="00B74A7C" w:rsidP="00333B77">
      <w:pPr>
        <w:pStyle w:val="Ttulo2"/>
      </w:pPr>
      <w:r w:rsidRPr="009E1EA6">
        <w:rPr>
          <w:caps w:val="0"/>
        </w:rPr>
        <w:t>2.1.2 Equipment restrained to a fixed base</w:t>
      </w:r>
    </w:p>
    <w:p w14:paraId="69C399B1" w14:textId="613A06A5" w:rsidR="0087783E" w:rsidRPr="009E1EA6" w:rsidRDefault="00B74A7C" w:rsidP="008C10FD">
      <w:pPr>
        <w:pStyle w:val="Textoindependiente"/>
        <w:ind w:firstLine="425"/>
      </w:pPr>
      <w:r w:rsidRPr="009E1EA6">
        <w:t xml:space="preserve">Lopez Garcia and Soong </w:t>
      </w:r>
      <w:r w:rsidR="00527870" w:rsidRPr="009E1EA6">
        <w:t>(</w:t>
      </w:r>
      <w:r w:rsidRPr="009E1EA6">
        <w:t>2003</w:t>
      </w:r>
      <w:r w:rsidRPr="009E1EA6">
        <w:rPr>
          <w:vertAlign w:val="superscript"/>
        </w:rPr>
        <w:t>b</w:t>
      </w:r>
      <w:r w:rsidR="00527870" w:rsidRPr="009E1EA6">
        <w:t>)</w:t>
      </w:r>
      <w:r w:rsidR="00DB1BC6" w:rsidRPr="009E1EA6">
        <w:t xml:space="preserve"> </w:t>
      </w:r>
      <w:r w:rsidR="0013424F" w:rsidRPr="009E1EA6">
        <w:t xml:space="preserve">developed the equation of motion for equipment anchored to </w:t>
      </w:r>
      <w:r w:rsidR="00527870" w:rsidRPr="009E1EA6">
        <w:t xml:space="preserve">a </w:t>
      </w:r>
      <w:r w:rsidR="0013424F" w:rsidRPr="009E1EA6">
        <w:t xml:space="preserve">base with four linear-elastic </w:t>
      </w:r>
      <w:r w:rsidR="00F558D7" w:rsidRPr="009E1EA6">
        <w:t>pres</w:t>
      </w:r>
      <w:r w:rsidR="0013424F" w:rsidRPr="009E1EA6">
        <w:t xml:space="preserve">tressed rods and a small displacement formulation. Herein, we extended this formulation to account for large displacements and </w:t>
      </w:r>
      <w:r w:rsidR="00F558D7" w:rsidRPr="009E1EA6">
        <w:t>pres</w:t>
      </w:r>
      <w:r w:rsidR="0013424F" w:rsidRPr="009E1EA6">
        <w:t>tressed elasto-plastic-brittle (PEPB) anchors with ultimate strength</w:t>
      </w:r>
      <m:oMath>
        <m:r>
          <m:rPr>
            <m:sty m:val="p"/>
          </m:rP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u</m:t>
            </m:r>
          </m:sub>
        </m:sSub>
      </m:oMath>
      <w:r w:rsidR="0013424F" w:rsidRPr="009E1EA6">
        <w:t>, yield deformation</w:t>
      </w:r>
      <m:oMath>
        <m:r>
          <m:rPr>
            <m:sty m:val="p"/>
          </m:rP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y</m:t>
            </m:r>
          </m:sub>
        </m:sSub>
      </m:oMath>
      <w:r w:rsidR="0013424F" w:rsidRPr="009E1EA6">
        <w:t>, and ductility capacity ratio</w:t>
      </w:r>
      <m:oMath>
        <m:r>
          <m:rPr>
            <m:sty m:val="p"/>
          </m:rPr>
          <w:rPr>
            <w:rFonts w:ascii="Cambria Math" w:hAnsi="Cambria Math"/>
          </w:rPr>
          <m:t xml:space="preserve"> </m:t>
        </m:r>
        <m:r>
          <w:rPr>
            <w:rFonts w:ascii="Cambria Math" w:hAnsi="Cambria Math"/>
          </w:rPr>
          <m:t>μ</m:t>
        </m:r>
      </m:oMath>
      <w:r w:rsidR="00C132D9" w:rsidRPr="009E1EA6">
        <w:t xml:space="preserve">. For simplicity, the stiffness of the elastic branch </w:t>
      </w:r>
      <m:oMath>
        <m:r>
          <w:rPr>
            <w:rFonts w:ascii="Cambria Math" w:hAnsi="Cambria Math"/>
          </w:rPr>
          <m:t>K</m:t>
        </m:r>
      </m:oMath>
      <w:r w:rsidR="00C132D9" w:rsidRPr="009E1EA6">
        <w:t xml:space="preserve"> is defined in terms of the natural period </w:t>
      </w:r>
      <m:oMath>
        <m:sSub>
          <m:sSubPr>
            <m:ctrlPr>
              <w:rPr>
                <w:rFonts w:ascii="Cambria Math" w:hAnsi="Cambria Math"/>
                <w:i/>
              </w:rPr>
            </m:ctrlPr>
          </m:sSubPr>
          <m:e>
            <m:r>
              <w:rPr>
                <w:rFonts w:ascii="Cambria Math" w:hAnsi="Cambria Math"/>
              </w:rPr>
              <m:t>T</m:t>
            </m:r>
          </m:e>
          <m:sub>
            <m:r>
              <w:rPr>
                <w:rFonts w:ascii="Cambria Math" w:hAnsi="Cambria Math"/>
              </w:rPr>
              <m:t>eq</m:t>
            </m:r>
          </m:sub>
        </m:sSub>
      </m:oMath>
      <w:r w:rsidR="001412A6" w:rsidRPr="009E1EA6">
        <w:t xml:space="preserve"> of a block restrained with four linear elastic anchors as defined in Lopez Garcia and Soong </w:t>
      </w:r>
      <w:r w:rsidR="00527870" w:rsidRPr="009E1EA6">
        <w:t>(</w:t>
      </w:r>
      <w:r w:rsidR="001412A6" w:rsidRPr="009E1EA6">
        <w:t>2003</w:t>
      </w:r>
      <w:r w:rsidR="001412A6" w:rsidRPr="009E1EA6">
        <w:rPr>
          <w:vertAlign w:val="superscript"/>
        </w:rPr>
        <w:t>b</w:t>
      </w:r>
      <w:r w:rsidR="00527870" w:rsidRPr="009E1EA6">
        <w:t>).</w:t>
      </w:r>
      <w:r w:rsidR="001412A6" w:rsidRPr="009E1EA6">
        <w:t xml:space="preserve"> Thus, the element stiffness is simply </w:t>
      </w:r>
      <m:oMath>
        <m:r>
          <w:rPr>
            <w:rFonts w:ascii="Cambria Math" w:hAnsi="Cambria Math"/>
          </w:rPr>
          <m:t>K=</m:t>
        </m:r>
        <m:box>
          <m:boxPr>
            <m:ctrlPr>
              <w:rPr>
                <w:rFonts w:ascii="Cambria Math" w:hAnsi="Cambria Math"/>
                <w:i/>
              </w:rPr>
            </m:ctrlPr>
          </m:boxPr>
          <m:e>
            <m:argPr>
              <m:argSz m:val="-1"/>
            </m:argPr>
            <m:f>
              <m:fPr>
                <m:ctrlPr>
                  <w:rPr>
                    <w:rFonts w:ascii="Cambria Math" w:hAnsi="Cambria Math"/>
                    <w:i/>
                  </w:rPr>
                </m:ctrlPr>
              </m:fPr>
              <m:num>
                <m:sSup>
                  <m:sSupPr>
                    <m:ctrlPr>
                      <w:rPr>
                        <w:rFonts w:ascii="Cambria Math" w:hAnsi="Cambria Math"/>
                        <w:i/>
                      </w:rPr>
                    </m:ctrlPr>
                  </m:sSupPr>
                  <m:e>
                    <m:r>
                      <w:rPr>
                        <w:rFonts w:ascii="Cambria Math" w:hAnsi="Cambria Math"/>
                      </w:rPr>
                      <m:t>π</m:t>
                    </m:r>
                  </m:e>
                  <m:sup>
                    <m:r>
                      <w:rPr>
                        <w:rFonts w:ascii="Cambria Math" w:hAnsi="Cambria Math"/>
                      </w:rPr>
                      <m:t>2</m:t>
                    </m:r>
                  </m:sup>
                </m:sSup>
                <m:r>
                  <w:rPr>
                    <w:rFonts w:ascii="Cambria Math" w:hAnsi="Cambria Math"/>
                  </w:rPr>
                  <m:t>m</m:t>
                </m:r>
              </m:num>
              <m:den>
                <m:sSubSup>
                  <m:sSubSupPr>
                    <m:ctrlPr>
                      <w:rPr>
                        <w:rFonts w:ascii="Cambria Math" w:hAnsi="Cambria Math"/>
                        <w:i/>
                      </w:rPr>
                    </m:ctrlPr>
                  </m:sSubSupPr>
                  <m:e>
                    <m:r>
                      <w:rPr>
                        <w:rFonts w:ascii="Cambria Math" w:hAnsi="Cambria Math"/>
                      </w:rPr>
                      <m:t>T</m:t>
                    </m:r>
                  </m:e>
                  <m:sub>
                    <m:r>
                      <w:rPr>
                        <w:rFonts w:ascii="Cambria Math" w:hAnsi="Cambria Math"/>
                      </w:rPr>
                      <m:t>eq</m:t>
                    </m:r>
                  </m:sub>
                  <m:sup>
                    <m:r>
                      <w:rPr>
                        <w:rFonts w:ascii="Cambria Math" w:hAnsi="Cambria Math"/>
                      </w:rPr>
                      <m:t>2</m:t>
                    </m:r>
                  </m:sup>
                </m:sSubSup>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0</m:t>
                            </m:r>
                          </m:sub>
                        </m:sSub>
                      </m:num>
                      <m:den>
                        <m:sSub>
                          <m:sSubPr>
                            <m:ctrlPr>
                              <w:rPr>
                                <w:rFonts w:ascii="Cambria Math" w:hAnsi="Cambria Math"/>
                                <w:i/>
                              </w:rPr>
                            </m:ctrlPr>
                          </m:sSubPr>
                          <m:e>
                            <m:r>
                              <w:rPr>
                                <w:rFonts w:ascii="Cambria Math" w:hAnsi="Cambria Math"/>
                              </w:rPr>
                              <m:t>x</m:t>
                            </m:r>
                          </m:e>
                          <m:sub>
                            <m:r>
                              <w:rPr>
                                <w:rFonts w:ascii="Cambria Math" w:hAnsi="Cambria Math"/>
                              </w:rPr>
                              <m:t>0</m:t>
                            </m:r>
                          </m:sub>
                        </m:sSub>
                      </m:den>
                    </m:f>
                  </m:e>
                </m:d>
              </m:e>
              <m:sup>
                <m:r>
                  <w:rPr>
                    <w:rFonts w:ascii="Cambria Math" w:hAnsi="Cambria Math"/>
                  </w:rPr>
                  <m:t>2</m:t>
                </m:r>
              </m:sup>
            </m:sSup>
          </m:e>
        </m:box>
      </m:oMath>
      <w:r w:rsidR="00F740D0" w:rsidRPr="009E1EA6">
        <w:t xml:space="preserve">, where </w:t>
      </w:r>
      <m:oMath>
        <m:sSub>
          <m:sSubPr>
            <m:ctrlPr>
              <w:rPr>
                <w:rFonts w:ascii="Cambria Math" w:hAnsi="Cambria Math"/>
                <w:i/>
              </w:rPr>
            </m:ctrlPr>
          </m:sSubPr>
          <m:e>
            <m:r>
              <w:rPr>
                <w:rFonts w:ascii="Cambria Math" w:hAnsi="Cambria Math"/>
              </w:rPr>
              <m:t>L</m:t>
            </m:r>
          </m:e>
          <m:sub>
            <m:r>
              <w:rPr>
                <w:rFonts w:ascii="Cambria Math" w:hAnsi="Cambria Math"/>
              </w:rPr>
              <m:t>0</m:t>
            </m:r>
          </m:sub>
        </m:sSub>
      </m:oMath>
      <w:r w:rsidR="00F740D0" w:rsidRPr="009E1EA6">
        <w:t xml:space="preserve"> is the anchor length and </w:t>
      </w:r>
      <m:oMath>
        <m:sSub>
          <m:sSubPr>
            <m:ctrlPr>
              <w:rPr>
                <w:rFonts w:ascii="Cambria Math" w:hAnsi="Cambria Math"/>
                <w:i/>
              </w:rPr>
            </m:ctrlPr>
          </m:sSubPr>
          <m:e>
            <m:r>
              <w:rPr>
                <w:rFonts w:ascii="Cambria Math" w:hAnsi="Cambria Math"/>
              </w:rPr>
              <m:t>x</m:t>
            </m:r>
          </m:e>
          <m:sub>
            <m:r>
              <w:rPr>
                <w:rFonts w:ascii="Cambria Math" w:hAnsi="Cambria Math"/>
              </w:rPr>
              <m:t>0</m:t>
            </m:r>
          </m:sub>
        </m:sSub>
      </m:oMath>
      <w:r w:rsidR="00F740D0" w:rsidRPr="009E1EA6">
        <w:t xml:space="preserve"> is</w:t>
      </w:r>
      <w:r w:rsidRPr="009E1EA6">
        <w:t xml:space="preserve"> the</w:t>
      </w:r>
      <w:r w:rsidR="00F740D0" w:rsidRPr="009E1EA6">
        <w:t xml:space="preserve"> anchor offset along the x direction, as shown in Figure 2b. The governing equation for the anchored equipment is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488EFBC8" w14:textId="77777777" w:rsidTr="0087783E">
        <w:tc>
          <w:tcPr>
            <w:tcW w:w="8328" w:type="dxa"/>
            <w:vAlign w:val="center"/>
          </w:tcPr>
          <w:p w14:paraId="0FEC14EA" w14:textId="77777777" w:rsidR="00F635BA" w:rsidRPr="009E1EA6" w:rsidRDefault="006E3CB7" w:rsidP="00025BC5">
            <w:pPr>
              <w:pStyle w:val="Textoindependiente"/>
              <w:ind w:firstLine="0"/>
              <w:jc w:val="left"/>
              <w:rPr>
                <w:sz w:val="18"/>
                <w:lang w:val="en-US"/>
              </w:rPr>
            </w:pPr>
            <m:oMathPara>
              <m:oMath>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r>
                  <w:rPr>
                    <w:rFonts w:ascii="Cambria Math" w:eastAsiaTheme="minorEastAsia" w:hAnsi="Cambria Math"/>
                    <w:szCs w:val="24"/>
                    <w:lang w:val="en-US"/>
                  </w:rPr>
                  <m:t>-</m:t>
                </m:r>
                <m:sSub>
                  <m:sSubPr>
                    <m:ctrlPr>
                      <w:rPr>
                        <w:rFonts w:ascii="Cambria Math" w:hAnsi="Cambria Math"/>
                        <w:i/>
                        <w:szCs w:val="24"/>
                        <w:lang w:val="en-US"/>
                      </w:rPr>
                    </m:ctrlPr>
                  </m:sSubPr>
                  <m:e>
                    <m:acc>
                      <m:accPr>
                        <m:chr m:val="̈"/>
                        <m:ctrlPr>
                          <w:rPr>
                            <w:rFonts w:ascii="Cambria Math" w:hAnsi="Cambria Math"/>
                            <w:i/>
                            <w:szCs w:val="24"/>
                            <w:lang w:val="en-US"/>
                          </w:rPr>
                        </m:ctrlPr>
                      </m:accPr>
                      <m:e>
                        <m:r>
                          <w:rPr>
                            <w:rFonts w:ascii="Cambria Math" w:hAnsi="Cambria Math"/>
                            <w:szCs w:val="24"/>
                            <w:lang w:val="en-US"/>
                          </w:rPr>
                          <m:t>x</m:t>
                        </m:r>
                      </m:e>
                    </m:acc>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μ</m:t>
                    </m:r>
                  </m:e>
                  <m:sub>
                    <m:r>
                      <w:rPr>
                        <w:rFonts w:ascii="Cambria Math" w:hAnsi="Cambria Math"/>
                        <w:szCs w:val="24"/>
                        <w:lang w:val="en-US"/>
                      </w:rPr>
                      <m:t>k</m:t>
                    </m:r>
                  </m:sub>
                </m:sSub>
                <m:r>
                  <w:rPr>
                    <w:rFonts w:ascii="Cambria Math" w:hAnsi="Cambria Math"/>
                    <w:szCs w:val="24"/>
                    <w:lang w:val="en-US"/>
                  </w:rPr>
                  <m:t>⋅</m:t>
                </m:r>
                <m:r>
                  <m:rPr>
                    <m:sty m:val="p"/>
                  </m:rPr>
                  <w:rPr>
                    <w:rFonts w:ascii="Cambria Math" w:hAnsi="Cambria Math"/>
                    <w:szCs w:val="24"/>
                    <w:lang w:val="en-US"/>
                  </w:rPr>
                  <m:t>sgn</m:t>
                </m:r>
                <m:d>
                  <m:dPr>
                    <m:ctrlPr>
                      <w:rPr>
                        <w:rFonts w:ascii="Cambria Math" w:hAnsi="Cambria Math"/>
                        <w:i/>
                        <w:szCs w:val="24"/>
                        <w:lang w:val="en-US"/>
                      </w:rPr>
                    </m:ctrlPr>
                  </m:dPr>
                  <m:e>
                    <m:acc>
                      <m:accPr>
                        <m:chr m:val="̇"/>
                        <m:ctrlPr>
                          <w:rPr>
                            <w:rFonts w:ascii="Cambria Math" w:hAnsi="Cambria Math"/>
                            <w:i/>
                            <w:szCs w:val="24"/>
                            <w:lang w:val="en-US"/>
                          </w:rPr>
                        </m:ctrlPr>
                      </m:accPr>
                      <m:e>
                        <m:r>
                          <w:rPr>
                            <w:rFonts w:ascii="Cambria Math" w:hAnsi="Cambria Math"/>
                            <w:szCs w:val="24"/>
                            <w:lang w:val="en-US"/>
                          </w:rPr>
                          <m:t>x</m:t>
                        </m:r>
                      </m:e>
                    </m:acc>
                  </m:e>
                </m:d>
                <m:d>
                  <m:dPr>
                    <m:ctrlPr>
                      <w:rPr>
                        <w:rFonts w:ascii="Cambria Math" w:eastAsiaTheme="minorEastAsia" w:hAnsi="Cambria Math"/>
                        <w:i/>
                        <w:szCs w:val="24"/>
                        <w:lang w:val="en-US"/>
                      </w:rPr>
                    </m:ctrlPr>
                  </m:dPr>
                  <m:e>
                    <m:r>
                      <w:rPr>
                        <w:rFonts w:ascii="Cambria Math" w:eastAsiaTheme="minorEastAsia" w:hAnsi="Cambria Math"/>
                        <w:szCs w:val="24"/>
                        <w:lang w:val="en-US"/>
                      </w:rPr>
                      <m:t>g+</m:t>
                    </m:r>
                    <m:f>
                      <m:fPr>
                        <m:ctrlPr>
                          <w:rPr>
                            <w:rFonts w:ascii="Cambria Math" w:eastAsiaTheme="minorEastAsia" w:hAnsi="Cambria Math"/>
                            <w:i/>
                            <w:szCs w:val="24"/>
                            <w:lang w:val="en-US"/>
                          </w:rPr>
                        </m:ctrlPr>
                      </m:fPr>
                      <m:num>
                        <m:r>
                          <w:rPr>
                            <w:rFonts w:ascii="Cambria Math" w:eastAsiaTheme="minorEastAsia" w:hAnsi="Cambria Math"/>
                            <w:szCs w:val="24"/>
                            <w:lang w:val="en-US"/>
                          </w:rPr>
                          <m:t>1</m:t>
                        </m:r>
                      </m:num>
                      <m:den>
                        <m:r>
                          <w:rPr>
                            <w:rFonts w:ascii="Cambria Math" w:eastAsiaTheme="minorEastAsia" w:hAnsi="Cambria Math"/>
                            <w:szCs w:val="24"/>
                            <w:lang w:val="en-US"/>
                          </w:rPr>
                          <m:t>m</m:t>
                        </m:r>
                      </m:den>
                    </m:f>
                    <m:r>
                      <w:rPr>
                        <w:rFonts w:ascii="Cambria Math" w:eastAsiaTheme="minorEastAsia" w:hAnsi="Cambria Math"/>
                        <w:szCs w:val="24"/>
                        <w:lang w:val="en-US"/>
                      </w:rPr>
                      <m:t>FY</m:t>
                    </m:r>
                  </m:e>
                </m:d>
                <m:r>
                  <w:rPr>
                    <w:rFonts w:ascii="Cambria Math" w:eastAsiaTheme="minorEastAsia" w:hAnsi="Cambria Math"/>
                    <w:szCs w:val="24"/>
                    <w:lang w:val="en-US"/>
                  </w:rPr>
                  <m:t>-</m:t>
                </m:r>
                <m:f>
                  <m:fPr>
                    <m:ctrlPr>
                      <w:rPr>
                        <w:rFonts w:ascii="Cambria Math" w:eastAsiaTheme="minorEastAsia" w:hAnsi="Cambria Math"/>
                        <w:i/>
                        <w:szCs w:val="24"/>
                        <w:lang w:val="en-US"/>
                      </w:rPr>
                    </m:ctrlPr>
                  </m:fPr>
                  <m:num>
                    <m:r>
                      <w:rPr>
                        <w:rFonts w:ascii="Cambria Math" w:eastAsiaTheme="minorEastAsia" w:hAnsi="Cambria Math"/>
                        <w:szCs w:val="24"/>
                        <w:lang w:val="en-US"/>
                      </w:rPr>
                      <m:t>1</m:t>
                    </m:r>
                  </m:num>
                  <m:den>
                    <m:r>
                      <w:rPr>
                        <w:rFonts w:ascii="Cambria Math" w:eastAsiaTheme="minorEastAsia" w:hAnsi="Cambria Math"/>
                        <w:szCs w:val="24"/>
                        <w:lang w:val="en-US"/>
                      </w:rPr>
                      <m:t>m</m:t>
                    </m:r>
                  </m:den>
                </m:f>
                <m:r>
                  <w:rPr>
                    <w:rFonts w:ascii="Cambria Math" w:eastAsiaTheme="minorEastAsia" w:hAnsi="Cambria Math"/>
                    <w:szCs w:val="24"/>
                    <w:lang w:val="en-US"/>
                  </w:rPr>
                  <m:t>FX</m:t>
                </m:r>
              </m:oMath>
            </m:oMathPara>
          </w:p>
        </w:tc>
        <w:tc>
          <w:tcPr>
            <w:tcW w:w="903" w:type="dxa"/>
            <w:vAlign w:val="center"/>
          </w:tcPr>
          <w:p w14:paraId="6EEB00EA" w14:textId="77777777" w:rsidR="00F635BA" w:rsidRPr="009E1EA6" w:rsidRDefault="00B74A7C" w:rsidP="00356536">
            <w:pPr>
              <w:pStyle w:val="Textoindependiente"/>
              <w:ind w:firstLine="0"/>
              <w:rPr>
                <w:lang w:val="en-US"/>
              </w:rPr>
            </w:pPr>
            <w:r w:rsidRPr="009E1EA6">
              <w:rPr>
                <w:lang w:val="en-US"/>
              </w:rPr>
              <w:t>(9)</w:t>
            </w:r>
          </w:p>
        </w:tc>
      </w:tr>
    </w:tbl>
    <w:p w14:paraId="305DFB5A" w14:textId="5349D588" w:rsidR="008C10FD" w:rsidRPr="009E1EA6" w:rsidRDefault="0087783E">
      <w:pPr>
        <w:pStyle w:val="Textoindependiente"/>
        <w:ind w:firstLine="0"/>
      </w:pPr>
      <w:r w:rsidRPr="009E1EA6">
        <w:lastRenderedPageBreak/>
        <w:t xml:space="preserve">where the term </w:t>
      </w:r>
      <m:oMath>
        <m:r>
          <w:rPr>
            <w:rFonts w:ascii="Cambria Math" w:hAnsi="Cambria Math"/>
          </w:rPr>
          <m:t>FX</m:t>
        </m:r>
      </m:oMath>
      <w:r w:rsidR="00B74A7C" w:rsidRPr="009E1EA6">
        <w:t xml:space="preserve"> is the sum of the left and right anchor loads projected in the horizontal direction and the term </w:t>
      </w:r>
      <m:oMath>
        <m:r>
          <w:rPr>
            <w:rFonts w:ascii="Cambria Math" w:hAnsi="Cambria Math"/>
          </w:rPr>
          <m:t>FY</m:t>
        </m:r>
      </m:oMath>
      <w:r w:rsidR="00B74A7C" w:rsidRPr="009E1EA6">
        <w:t xml:space="preserve"> is the sum of the left and right anchor loads projected in the vertical direction. Both terms account for the </w:t>
      </w:r>
      <w:r w:rsidR="00F558D7" w:rsidRPr="009E1EA6">
        <w:t>pres</w:t>
      </w:r>
      <w:r w:rsidR="00B74A7C" w:rsidRPr="009E1EA6">
        <w:t xml:space="preserve">tress load </w:t>
      </w: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C132D9" w:rsidRPr="009E1EA6">
        <w:t xml:space="preserve"> and the effect of geometric </w:t>
      </w:r>
      <w:r w:rsidR="00F558D7" w:rsidRPr="009E1EA6">
        <w:t>nonl</w:t>
      </w:r>
      <w:r w:rsidR="00C132D9" w:rsidRPr="009E1EA6">
        <w:t xml:space="preserve">inearity. For a complete derivation of the terms </w:t>
      </w:r>
      <m:oMath>
        <m:r>
          <w:rPr>
            <w:rFonts w:ascii="Cambria Math" w:hAnsi="Cambria Math"/>
          </w:rPr>
          <m:t>FX</m:t>
        </m:r>
      </m:oMath>
      <w:r w:rsidR="00C132D9" w:rsidRPr="009E1EA6">
        <w:t xml:space="preserve"> and </w:t>
      </w:r>
      <m:oMath>
        <m:r>
          <w:rPr>
            <w:rFonts w:ascii="Cambria Math" w:hAnsi="Cambria Math"/>
          </w:rPr>
          <m:t>FY</m:t>
        </m:r>
      </m:oMath>
      <w:r w:rsidR="00B74A7C" w:rsidRPr="009E1EA6">
        <w:rPr>
          <w:rFonts w:ascii="Cambria Math" w:hAnsi="Cambria Math"/>
        </w:rPr>
        <w:t>,</w:t>
      </w:r>
      <w:r w:rsidR="00F740D0" w:rsidRPr="009E1EA6">
        <w:t xml:space="preserve"> refer to appendix A.</w:t>
      </w:r>
    </w:p>
    <w:p w14:paraId="2080816A" w14:textId="3DB68264" w:rsidR="00A310B0" w:rsidRPr="009E1EA6" w:rsidRDefault="00B74A7C" w:rsidP="00A310B0">
      <w:pPr>
        <w:pStyle w:val="Textoindependiente"/>
        <w:rPr>
          <w:rFonts w:eastAsiaTheme="minorEastAsia"/>
          <w:szCs w:val="24"/>
        </w:rPr>
      </w:pPr>
      <w:r w:rsidRPr="009E1EA6">
        <w:rPr>
          <w:szCs w:val="24"/>
        </w:rPr>
        <w:t xml:space="preserve">A schematic representation of the load-deformation relation of a PEPB anchor is </w:t>
      </w:r>
      <w:r w:rsidRPr="009E1EA6">
        <w:rPr>
          <w:rFonts w:eastAsiaTheme="minorEastAsia"/>
          <w:szCs w:val="24"/>
        </w:rPr>
        <w:t xml:space="preserve">shown in Figure 4a. Fracture in the anchor occurs if the element deformation </w:t>
      </w:r>
      <m:oMath>
        <m:r>
          <w:rPr>
            <w:rFonts w:ascii="Cambria Math" w:eastAsiaTheme="minorEastAsia" w:hAnsi="Cambria Math"/>
            <w:szCs w:val="24"/>
          </w:rPr>
          <m:t>v</m:t>
        </m:r>
      </m:oMath>
      <w:r w:rsidR="00420EE4" w:rsidRPr="009E1EA6">
        <w:rPr>
          <w:rFonts w:eastAsiaTheme="minorEastAsia"/>
          <w:szCs w:val="24"/>
        </w:rPr>
        <w:t xml:space="preserve"> satisfies</w:t>
      </w:r>
      <m:oMath>
        <m:r>
          <m:rPr>
            <m:sty m:val="p"/>
          </m:rPr>
          <w:rPr>
            <w:rFonts w:ascii="Cambria Math" w:eastAsiaTheme="minorEastAsia" w:hAnsi="Cambria Math"/>
            <w:szCs w:val="24"/>
          </w:rPr>
          <m:t xml:space="preserve"> </m:t>
        </m:r>
        <m:d>
          <m:dPr>
            <m:begChr m:val="|"/>
            <m:endChr m:val="|"/>
            <m:ctrlPr>
              <w:rPr>
                <w:rFonts w:ascii="Cambria Math" w:eastAsiaTheme="minorEastAsia" w:hAnsi="Cambria Math"/>
                <w:i/>
                <w:szCs w:val="24"/>
              </w:rPr>
            </m:ctrlPr>
          </m:dPr>
          <m:e>
            <m:r>
              <w:rPr>
                <w:rFonts w:ascii="Cambria Math" w:eastAsiaTheme="minorEastAsia" w:hAnsi="Cambria Math"/>
                <w:szCs w:val="24"/>
              </w:rPr>
              <m:t>v-</m:t>
            </m:r>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0</m:t>
                </m:r>
              </m:sub>
            </m:sSub>
          </m:e>
        </m:d>
        <m:r>
          <w:rPr>
            <w:rFonts w:ascii="Cambria Math" w:eastAsiaTheme="minorEastAsia" w:hAnsi="Cambria Math"/>
            <w:szCs w:val="24"/>
          </w:rPr>
          <m:t>&gt;</m:t>
        </m:r>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u</m:t>
            </m:r>
          </m:sub>
        </m:sSub>
      </m:oMath>
      <w:r w:rsidRPr="009E1EA6">
        <w:rPr>
          <w:rFonts w:eastAsiaTheme="minorEastAsia"/>
          <w:szCs w:val="24"/>
        </w:rPr>
        <w:t xml:space="preserve">, where </w:t>
      </w:r>
      <m:oMath>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0</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0</m:t>
            </m:r>
          </m:sub>
        </m:sSub>
        <m:r>
          <w:rPr>
            <w:rFonts w:ascii="Cambria Math" w:eastAsiaTheme="minorEastAsia" w:hAnsi="Cambria Math"/>
            <w:szCs w:val="24"/>
          </w:rPr>
          <m:t>/K</m:t>
        </m:r>
      </m:oMath>
      <w:r w:rsidRPr="009E1EA6">
        <w:rPr>
          <w:rFonts w:eastAsiaTheme="minorEastAsia"/>
          <w:szCs w:val="24"/>
        </w:rPr>
        <w:t xml:space="preserve"> is the initial deformation due to </w:t>
      </w:r>
      <w:r w:rsidR="00F558D7" w:rsidRPr="009E1EA6">
        <w:rPr>
          <w:rFonts w:eastAsiaTheme="minorEastAsia"/>
          <w:szCs w:val="24"/>
        </w:rPr>
        <w:t>pres</w:t>
      </w:r>
      <w:r w:rsidRPr="009E1EA6">
        <w:rPr>
          <w:rFonts w:eastAsiaTheme="minorEastAsia"/>
          <w:szCs w:val="24"/>
        </w:rPr>
        <w:t xml:space="preserve">tress, and </w:t>
      </w:r>
      <m:oMath>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u</m:t>
            </m:r>
          </m:sub>
        </m:sSub>
        <m:r>
          <w:rPr>
            <w:rFonts w:ascii="Cambria Math" w:eastAsiaTheme="minorEastAsia" w:hAnsi="Cambria Math"/>
            <w:szCs w:val="24"/>
          </w:rPr>
          <m:t xml:space="preserve">=μ </m:t>
        </m:r>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y</m:t>
            </m:r>
          </m:sub>
        </m:sSub>
      </m:oMath>
      <w:r w:rsidRPr="009E1EA6">
        <w:rPr>
          <w:rFonts w:eastAsiaTheme="minorEastAsia"/>
          <w:szCs w:val="24"/>
        </w:rPr>
        <w:t xml:space="preserve"> is the ultimate deformation. Once the anchor breaks, the anchor load is zero.</w:t>
      </w:r>
    </w:p>
    <w:p w14:paraId="7CF1918D" w14:textId="35B0A356" w:rsidR="00A310B0" w:rsidRPr="009E1EA6" w:rsidRDefault="00D064D5" w:rsidP="00A310B0">
      <w:pPr>
        <w:jc w:val="center"/>
        <w:rPr>
          <w:szCs w:val="24"/>
        </w:rPr>
      </w:pPr>
      <w:r w:rsidRPr="009E1EA6">
        <w:rPr>
          <w:noProof/>
          <w:lang w:val="es-CL" w:eastAsia="es-CL"/>
        </w:rPr>
        <w:drawing>
          <wp:inline distT="0" distB="0" distL="0" distR="0" wp14:anchorId="1CB967C1" wp14:editId="610A2502">
            <wp:extent cx="5723890" cy="516425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3890" cy="5164253"/>
                    </a:xfrm>
                    <a:prstGeom prst="rect">
                      <a:avLst/>
                    </a:prstGeom>
                    <a:noFill/>
                    <a:ln>
                      <a:noFill/>
                    </a:ln>
                  </pic:spPr>
                </pic:pic>
              </a:graphicData>
            </a:graphic>
          </wp:inline>
        </w:drawing>
      </w:r>
    </w:p>
    <w:p w14:paraId="5A69CA74" w14:textId="26F01B49" w:rsidR="00A310B0" w:rsidRPr="009E1EA6" w:rsidRDefault="00B74A7C" w:rsidP="00A310B0">
      <w:pPr>
        <w:pStyle w:val="FigureCaption"/>
        <w:spacing w:line="360" w:lineRule="auto"/>
      </w:pPr>
      <w:r w:rsidRPr="009E1EA6">
        <w:rPr>
          <w:b/>
        </w:rPr>
        <w:t xml:space="preserve">Figure 4. </w:t>
      </w:r>
      <w:r w:rsidRPr="009E1EA6">
        <w:t xml:space="preserve">(a) Schematic representation of a stress-strain relationship of a PEPB element and (b) </w:t>
      </w:r>
      <w:r w:rsidR="00E23907" w:rsidRPr="009E1EA6">
        <w:t xml:space="preserve">flowchart </w:t>
      </w:r>
      <w:r w:rsidRPr="009E1EA6">
        <w:t xml:space="preserve">for the calculation of the anchor load </w:t>
      </w:r>
      <m:oMath>
        <m:r>
          <w:rPr>
            <w:rFonts w:ascii="Cambria Math" w:hAnsi="Cambria Math"/>
          </w:rPr>
          <m:t>f</m:t>
        </m:r>
      </m:oMath>
      <w:r w:rsidRPr="009E1EA6">
        <w:t xml:space="preserve"> and fracture index </w:t>
      </w:r>
      <m:oMath>
        <m:r>
          <w:rPr>
            <w:rFonts w:ascii="Cambria Math" w:hAnsi="Cambria Math"/>
          </w:rPr>
          <m:t>I</m:t>
        </m:r>
      </m:oMath>
      <w:r w:rsidR="00B9241F" w:rsidRPr="009E1EA6">
        <w:t xml:space="preserve"> in discrete form.</w:t>
      </w:r>
    </w:p>
    <w:p w14:paraId="2788A447" w14:textId="3D72E3F8" w:rsidR="00A310B0" w:rsidRPr="009E1EA6" w:rsidRDefault="00B74A7C" w:rsidP="00A310B0">
      <w:pPr>
        <w:pStyle w:val="Textoindependiente"/>
      </w:pPr>
      <w:r w:rsidRPr="009E1EA6">
        <w:rPr>
          <w:szCs w:val="24"/>
        </w:rPr>
        <w:t xml:space="preserve">To incorporate the hysteretic behavior of the PEPB element into the numerical integration scheme of Equation (9), two memory parameters are defined, namely, the anchor load </w:t>
      </w:r>
      <m:oMath>
        <m:r>
          <w:rPr>
            <w:rFonts w:ascii="Cambria Math" w:hAnsi="Cambria Math"/>
            <w:szCs w:val="24"/>
          </w:rPr>
          <m:t>f</m:t>
        </m:r>
      </m:oMath>
      <w:r w:rsidRPr="009E1EA6">
        <w:rPr>
          <w:szCs w:val="24"/>
        </w:rPr>
        <w:t xml:space="preserve"> </w:t>
      </w:r>
      <w:r w:rsidRPr="009E1EA6">
        <w:rPr>
          <w:rFonts w:eastAsiaTheme="minorEastAsia"/>
          <w:szCs w:val="24"/>
        </w:rPr>
        <w:t xml:space="preserve">and </w:t>
      </w:r>
      <w:r w:rsidRPr="009E1EA6">
        <w:rPr>
          <w:rFonts w:eastAsiaTheme="minorEastAsia"/>
          <w:szCs w:val="24"/>
        </w:rPr>
        <w:lastRenderedPageBreak/>
        <w:t xml:space="preserve">the fracture index </w:t>
      </w:r>
      <m:oMath>
        <m:r>
          <w:rPr>
            <w:rFonts w:ascii="Cambria Math" w:eastAsiaTheme="minorEastAsia" w:hAnsi="Cambria Math"/>
            <w:szCs w:val="24"/>
          </w:rPr>
          <m:t>I</m:t>
        </m:r>
      </m:oMath>
      <w:r w:rsidRPr="009E1EA6">
        <w:rPr>
          <w:rFonts w:eastAsiaTheme="minorEastAsia"/>
          <w:szCs w:val="24"/>
        </w:rPr>
        <w:t xml:space="preserve">, such that </w:t>
      </w:r>
      <m:oMath>
        <m:r>
          <w:rPr>
            <w:rFonts w:ascii="Cambria Math" w:eastAsiaTheme="minorEastAsia" w:hAnsi="Cambria Math"/>
            <w:szCs w:val="24"/>
          </w:rPr>
          <m:t>I=0</m:t>
        </m:r>
      </m:oMath>
      <w:r w:rsidRPr="009E1EA6">
        <w:rPr>
          <w:rFonts w:eastAsiaTheme="minorEastAsia"/>
          <w:szCs w:val="24"/>
        </w:rPr>
        <w:t xml:space="preserve"> before the anchor breaks and </w:t>
      </w:r>
      <m:oMath>
        <m:r>
          <w:rPr>
            <w:rFonts w:ascii="Cambria Math" w:eastAsiaTheme="minorEastAsia" w:hAnsi="Cambria Math"/>
            <w:szCs w:val="24"/>
          </w:rPr>
          <m:t>I=1</m:t>
        </m:r>
      </m:oMath>
      <w:r w:rsidRPr="009E1EA6">
        <w:rPr>
          <w:rFonts w:eastAsiaTheme="minorEastAsia"/>
          <w:szCs w:val="24"/>
        </w:rPr>
        <w:t xml:space="preserve"> after the anchor breaks. A discrete-time representation of the load-deformation relationship of the PEPB element is presented in Figure 4b, </w:t>
      </w:r>
      <w:r w:rsidRPr="009E1EA6">
        <w:rPr>
          <w:szCs w:val="24"/>
        </w:rPr>
        <w:t xml:space="preserve">where </w:t>
      </w:r>
      <m:oMath>
        <m:sSub>
          <m:sSubPr>
            <m:ctrlPr>
              <w:rPr>
                <w:rFonts w:ascii="Cambria Math" w:hAnsi="Cambria Math"/>
                <w:i/>
                <w:szCs w:val="24"/>
              </w:rPr>
            </m:ctrlPr>
          </m:sSubPr>
          <m:e>
            <m:r>
              <w:rPr>
                <w:rFonts w:ascii="Cambria Math" w:hAnsi="Cambria Math"/>
                <w:szCs w:val="24"/>
              </w:rPr>
              <m:t>v</m:t>
            </m:r>
          </m:e>
          <m:sub>
            <m:r>
              <w:rPr>
                <w:rFonts w:ascii="Cambria Math" w:hAnsi="Cambria Math"/>
                <w:szCs w:val="24"/>
              </w:rPr>
              <m:t>k</m:t>
            </m:r>
          </m:sub>
        </m:sSub>
      </m:oMath>
      <w:r w:rsidRPr="009E1EA6">
        <w:rPr>
          <w:rFonts w:eastAsiaTheme="minorEastAsia"/>
          <w:szCs w:val="24"/>
        </w:rPr>
        <w:t xml:space="preserve">,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k</m:t>
            </m:r>
          </m:sub>
        </m:sSub>
      </m:oMath>
      <w:r w:rsidRPr="009E1EA6">
        <w:rPr>
          <w:rFonts w:eastAsiaTheme="minorEastAsia"/>
          <w:szCs w:val="24"/>
        </w:rPr>
        <w:t xml:space="preserve"> and </w:t>
      </w:r>
      <m:oMath>
        <m:sSub>
          <m:sSubPr>
            <m:ctrlPr>
              <w:rPr>
                <w:rFonts w:ascii="Cambria Math" w:eastAsiaTheme="minorEastAsia" w:hAnsi="Cambria Math"/>
                <w:i/>
                <w:szCs w:val="24"/>
              </w:rPr>
            </m:ctrlPr>
          </m:sSubPr>
          <m:e>
            <m:r>
              <w:rPr>
                <w:rFonts w:ascii="Cambria Math" w:eastAsiaTheme="minorEastAsia" w:hAnsi="Cambria Math"/>
                <w:szCs w:val="24"/>
              </w:rPr>
              <m:t>I</m:t>
            </m:r>
          </m:e>
          <m:sub>
            <m:r>
              <w:rPr>
                <w:rFonts w:ascii="Cambria Math" w:eastAsiaTheme="minorEastAsia" w:hAnsi="Cambria Math"/>
                <w:szCs w:val="24"/>
              </w:rPr>
              <m:t>k</m:t>
            </m:r>
          </m:sub>
        </m:sSub>
      </m:oMath>
      <w:r w:rsidRPr="009E1EA6">
        <w:rPr>
          <w:rFonts w:eastAsiaTheme="minorEastAsia"/>
          <w:szCs w:val="24"/>
        </w:rPr>
        <w:t xml:space="preserve"> represent the deformation, load, and fracture index</w:t>
      </w:r>
      <w:r w:rsidR="00E23907" w:rsidRPr="009E1EA6">
        <w:rPr>
          <w:rFonts w:eastAsiaTheme="minorEastAsia"/>
          <w:szCs w:val="24"/>
        </w:rPr>
        <w:t>, respectively, of the anchor</w:t>
      </w:r>
      <w:r w:rsidRPr="009E1EA6">
        <w:rPr>
          <w:rFonts w:eastAsiaTheme="minorEastAsia"/>
          <w:szCs w:val="24"/>
        </w:rPr>
        <w:t xml:space="preserve"> at time </w:t>
      </w:r>
      <m:oMath>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k</m:t>
            </m:r>
          </m:sub>
        </m:sSub>
      </m:oMath>
      <w:r w:rsidRPr="009E1EA6">
        <w:rPr>
          <w:rFonts w:eastAsiaTheme="minorEastAsia"/>
          <w:szCs w:val="24"/>
        </w:rPr>
        <w:t xml:space="preserve">, and </w:t>
      </w:r>
      <m:oMath>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k+1</m:t>
            </m:r>
          </m:sub>
        </m:sSub>
      </m:oMath>
      <w:r w:rsidRPr="009E1EA6">
        <w:rPr>
          <w:rFonts w:eastAsiaTheme="minorEastAsia"/>
          <w:szCs w:val="24"/>
        </w:rPr>
        <w:t xml:space="preserve">,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k+1</m:t>
            </m:r>
          </m:sub>
        </m:sSub>
      </m:oMath>
      <w:r w:rsidRPr="009E1EA6">
        <w:rPr>
          <w:rFonts w:eastAsiaTheme="minorEastAsia"/>
          <w:szCs w:val="24"/>
        </w:rPr>
        <w:t xml:space="preserve"> and </w:t>
      </w:r>
      <m:oMath>
        <m:sSub>
          <m:sSubPr>
            <m:ctrlPr>
              <w:rPr>
                <w:rFonts w:ascii="Cambria Math" w:eastAsiaTheme="minorEastAsia" w:hAnsi="Cambria Math"/>
                <w:i/>
                <w:szCs w:val="24"/>
              </w:rPr>
            </m:ctrlPr>
          </m:sSubPr>
          <m:e>
            <m:r>
              <w:rPr>
                <w:rFonts w:ascii="Cambria Math" w:eastAsiaTheme="minorEastAsia" w:hAnsi="Cambria Math"/>
                <w:szCs w:val="24"/>
              </w:rPr>
              <m:t>I</m:t>
            </m:r>
          </m:e>
          <m:sub>
            <m:r>
              <w:rPr>
                <w:rFonts w:ascii="Cambria Math" w:eastAsiaTheme="minorEastAsia" w:hAnsi="Cambria Math"/>
                <w:szCs w:val="24"/>
              </w:rPr>
              <m:t>k+1</m:t>
            </m:r>
          </m:sub>
        </m:sSub>
      </m:oMath>
      <w:r w:rsidRPr="009E1EA6">
        <w:rPr>
          <w:rFonts w:eastAsiaTheme="minorEastAsia"/>
          <w:szCs w:val="24"/>
        </w:rPr>
        <w:t xml:space="preserve"> are the deformation, load, and fracture index</w:t>
      </w:r>
      <w:r w:rsidR="00E23907" w:rsidRPr="009E1EA6">
        <w:rPr>
          <w:rFonts w:eastAsiaTheme="minorEastAsia"/>
          <w:szCs w:val="24"/>
        </w:rPr>
        <w:t>, respectively, of the anchor</w:t>
      </w:r>
      <w:r w:rsidRPr="009E1EA6">
        <w:rPr>
          <w:rFonts w:eastAsiaTheme="minorEastAsia"/>
          <w:szCs w:val="24"/>
        </w:rPr>
        <w:t xml:space="preserve"> at time </w:t>
      </w:r>
      <m:oMath>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k+1</m:t>
            </m:r>
          </m:sub>
        </m:sSub>
      </m:oMath>
      <w:r w:rsidR="004F5A8C" w:rsidRPr="009E1EA6">
        <w:rPr>
          <w:rFonts w:eastAsiaTheme="minorEastAsia"/>
          <w:szCs w:val="24"/>
        </w:rPr>
        <w:t>.</w:t>
      </w:r>
    </w:p>
    <w:p w14:paraId="4012ECFE" w14:textId="0605E893" w:rsidR="007227A6" w:rsidRPr="009E1EA6" w:rsidRDefault="00B74A7C" w:rsidP="00A310B0">
      <w:pPr>
        <w:pStyle w:val="Textoindependiente"/>
        <w:rPr>
          <w:szCs w:val="24"/>
        </w:rPr>
      </w:pPr>
      <w:r w:rsidRPr="009E1EA6">
        <w:t xml:space="preserve">Importantly, since actual anchored equipment have natural period </w:t>
      </w:r>
      <m:oMath>
        <m:r>
          <w:rPr>
            <w:rFonts w:ascii="Cambria Math" w:hAnsi="Cambria Math"/>
          </w:rPr>
          <m:t>0.05 s&lt;</m:t>
        </m:r>
        <m:sSub>
          <m:sSubPr>
            <m:ctrlPr>
              <w:rPr>
                <w:rFonts w:ascii="Cambria Math" w:hAnsi="Cambria Math"/>
              </w:rPr>
            </m:ctrlPr>
          </m:sSubPr>
          <m:e>
            <m:r>
              <w:rPr>
                <w:rFonts w:ascii="Cambria Math" w:hAnsi="Cambria Math"/>
              </w:rPr>
              <m:t>T</m:t>
            </m:r>
          </m:e>
          <m:sub>
            <m:r>
              <w:rPr>
                <w:rFonts w:ascii="Cambria Math" w:hAnsi="Cambria Math"/>
              </w:rPr>
              <m:t>eq</m:t>
            </m:r>
          </m:sub>
        </m:sSub>
        <m:r>
          <w:rPr>
            <w:rFonts w:ascii="Cambria Math" w:hAnsi="Cambria Math"/>
          </w:rPr>
          <m:t>&lt;0.2 s</m:t>
        </m:r>
      </m:oMath>
      <w:r w:rsidRPr="009E1EA6">
        <w:t xml:space="preserve"> (Lopez Garcia and Soong 2003</w:t>
      </w:r>
      <w:r w:rsidRPr="009E1EA6">
        <w:rPr>
          <w:vertAlign w:val="superscript"/>
        </w:rPr>
        <w:t>b</w:t>
      </w:r>
      <w:r w:rsidRPr="009E1EA6">
        <w:t xml:space="preserve">), a value of </w:t>
      </w:r>
      <m:oMath>
        <m:sSub>
          <m:sSubPr>
            <m:ctrlPr>
              <w:rPr>
                <w:rFonts w:ascii="Cambria Math" w:hAnsi="Cambria Math"/>
              </w:rPr>
            </m:ctrlPr>
          </m:sSubPr>
          <m:e>
            <m:r>
              <w:rPr>
                <w:rFonts w:ascii="Cambria Math" w:hAnsi="Cambria Math"/>
              </w:rPr>
              <m:t>T</m:t>
            </m:r>
          </m:e>
          <m:sub>
            <m:r>
              <w:rPr>
                <w:rFonts w:ascii="Cambria Math" w:hAnsi="Cambria Math"/>
              </w:rPr>
              <m:t>eq</m:t>
            </m:r>
          </m:sub>
        </m:sSub>
        <m:r>
          <w:rPr>
            <w:rFonts w:ascii="Cambria Math" w:hAnsi="Cambria Math"/>
          </w:rPr>
          <m:t>=0.1</m:t>
        </m:r>
      </m:oMath>
      <w:r w:rsidR="00EF57BD" w:rsidRPr="009E1EA6">
        <w:t xml:space="preserve"> s is considered in this study. The key factors that influence the response of </w:t>
      </w:r>
      <w:r w:rsidR="00E23907" w:rsidRPr="009E1EA6">
        <w:t xml:space="preserve">the </w:t>
      </w:r>
      <w:r w:rsidR="00EF57BD" w:rsidRPr="009E1EA6">
        <w:t xml:space="preserve">restrained blocks are the strength and ductility of the anchors. </w:t>
      </w:r>
      <w:r w:rsidRPr="009E1EA6">
        <w:t xml:space="preserve">For </w:t>
      </w:r>
      <w:r w:rsidR="00EF57BD" w:rsidRPr="009E1EA6">
        <w:t xml:space="preserve">example, consider a restrained block subjected to a </w:t>
      </w:r>
      <w:r w:rsidR="00E23907" w:rsidRPr="009E1EA6">
        <w:rPr>
          <w:lang w:eastAsia="es-MX"/>
        </w:rPr>
        <w:t xml:space="preserve">symmetric </w:t>
      </w:r>
      <w:r w:rsidR="00EF57BD" w:rsidRPr="009E1EA6">
        <w:rPr>
          <w:lang w:eastAsia="es-MX"/>
        </w:rPr>
        <w:t xml:space="preserve">Ricker wavelet with </w:t>
      </w:r>
      <w:r w:rsidRPr="009E1EA6">
        <w:rPr>
          <w:lang w:eastAsia="es-MX"/>
        </w:rPr>
        <w:t xml:space="preserve">an </w:t>
      </w:r>
      <w:r w:rsidR="00EF57BD" w:rsidRPr="009E1EA6">
        <w:rPr>
          <w:lang w:eastAsia="es-MX"/>
        </w:rPr>
        <w:t>acceleration amplitude</w:t>
      </w:r>
      <w:r w:rsidRPr="009E1EA6">
        <w:rPr>
          <w:lang w:eastAsia="es-MX"/>
        </w:rPr>
        <w:t xml:space="preserve"> of</w:t>
      </w:r>
      <w:r w:rsidR="00EF57BD" w:rsidRPr="009E1EA6">
        <w:rPr>
          <w:lang w:eastAsia="es-MX"/>
        </w:rPr>
        <w:t xml:space="preserve"> 1g and </w:t>
      </w:r>
      <w:r w:rsidRPr="009E1EA6">
        <w:rPr>
          <w:lang w:eastAsia="es-MX"/>
        </w:rPr>
        <w:t xml:space="preserve">a </w:t>
      </w:r>
      <w:r w:rsidR="00EF57BD" w:rsidRPr="009E1EA6">
        <w:rPr>
          <w:lang w:eastAsia="es-MX"/>
        </w:rPr>
        <w:t xml:space="preserve">predominant period of 1 s. For a </w:t>
      </w:r>
      <w:r w:rsidR="00EF57BD" w:rsidRPr="009E1EA6">
        <w:rPr>
          <w:szCs w:val="24"/>
        </w:rPr>
        <w:t xml:space="preserve">fixed value of kinetic friction </w:t>
      </w:r>
      <m:oMath>
        <m:sSub>
          <m:sSubPr>
            <m:ctrlPr>
              <w:rPr>
                <w:rFonts w:ascii="Cambria Math" w:hAnsi="Cambria Math"/>
                <w:i/>
                <w:lang w:eastAsia="es-MX"/>
              </w:rPr>
            </m:ctrlPr>
          </m:sSubPr>
          <m:e>
            <m:r>
              <w:rPr>
                <w:rFonts w:ascii="Cambria Math" w:hAnsi="Cambria Math"/>
              </w:rPr>
              <m:t>μ</m:t>
            </m:r>
          </m:e>
          <m:sub>
            <m:r>
              <w:rPr>
                <w:rFonts w:ascii="Cambria Math" w:hAnsi="Cambria Math"/>
              </w:rPr>
              <m:t>k</m:t>
            </m:r>
          </m:sub>
        </m:sSub>
        <m:r>
          <w:rPr>
            <w:rFonts w:ascii="Cambria Math" w:hAnsi="Cambria Math"/>
            <w:lang w:eastAsia="es-MX"/>
          </w:rPr>
          <m:t>=0.1</m:t>
        </m:r>
      </m:oMath>
      <w:r w:rsidR="00781B6A" w:rsidRPr="009E1EA6">
        <w:rPr>
          <w:lang w:eastAsia="es-MX"/>
        </w:rPr>
        <w:t xml:space="preserve">, natural period </w:t>
      </w:r>
      <m:oMath>
        <m:sSub>
          <m:sSubPr>
            <m:ctrlPr>
              <w:rPr>
                <w:rFonts w:ascii="Cambria Math" w:hAnsi="Cambria Math"/>
                <w:i/>
                <w:lang w:eastAsia="es-MX"/>
              </w:rPr>
            </m:ctrlPr>
          </m:sSubPr>
          <m:e>
            <m:r>
              <w:rPr>
                <w:rFonts w:ascii="Cambria Math" w:hAnsi="Cambria Math"/>
                <w:lang w:eastAsia="es-MX"/>
              </w:rPr>
              <m:t>T</m:t>
            </m:r>
          </m:e>
          <m:sub>
            <m:r>
              <w:rPr>
                <w:rFonts w:ascii="Cambria Math" w:hAnsi="Cambria Math"/>
                <w:lang w:eastAsia="es-MX"/>
              </w:rPr>
              <m:t>eq</m:t>
            </m:r>
          </m:sub>
        </m:sSub>
        <m:r>
          <w:rPr>
            <w:rFonts w:ascii="Cambria Math" w:hAnsi="Cambria Math"/>
            <w:lang w:eastAsia="es-MX"/>
          </w:rPr>
          <m:t>=0.1</m:t>
        </m:r>
        <m:r>
          <m:rPr>
            <m:sty m:val="p"/>
          </m:rPr>
          <w:rPr>
            <w:rFonts w:ascii="Cambria Math" w:hAnsi="Cambria Math"/>
            <w:lang w:eastAsia="es-MX"/>
          </w:rPr>
          <m:t xml:space="preserve"> s</m:t>
        </m:r>
        <m:r>
          <w:rPr>
            <w:rFonts w:ascii="Cambria Math" w:hAnsi="Cambria Math"/>
            <w:lang w:eastAsia="es-MX"/>
          </w:rPr>
          <m:t>,</m:t>
        </m:r>
      </m:oMath>
      <w:r w:rsidR="00EF57BD" w:rsidRPr="009E1EA6">
        <w:rPr>
          <w:lang w:eastAsia="es-MX"/>
        </w:rPr>
        <w:t xml:space="preserve"> anchors with </w:t>
      </w:r>
      <w:r w:rsidR="00EF57BD" w:rsidRPr="009E1EA6">
        <w:t xml:space="preserve">strength ratio </w:t>
      </w:r>
      <m:oMath>
        <m:r>
          <w:rPr>
            <w:rFonts w:ascii="Cambria Math" w:hAnsi="Cambria Math"/>
          </w:rPr>
          <m:t>0.0≤</m:t>
        </m:r>
        <m:sSub>
          <m:sSubPr>
            <m:ctrlPr>
              <w:rPr>
                <w:rFonts w:ascii="Cambria Math" w:hAnsi="Cambria Math"/>
                <w:i/>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W≤0.6</m:t>
        </m:r>
      </m:oMath>
      <w:r w:rsidR="00EF57BD" w:rsidRPr="009E1EA6">
        <w:t xml:space="preserve">, and ductility ratio </w:t>
      </w:r>
      <m:oMath>
        <m:r>
          <w:rPr>
            <w:rFonts w:ascii="Cambria Math" w:hAnsi="Cambria Math"/>
          </w:rPr>
          <m:t>1≤μ≤3</m:t>
        </m:r>
      </m:oMath>
      <w:r w:rsidR="00EF57BD" w:rsidRPr="009E1EA6">
        <w:t xml:space="preserve">, the response of the block is shown in Figure </w:t>
      </w:r>
      <w:r w:rsidR="00FA2381" w:rsidRPr="009E1EA6">
        <w:t>5</w:t>
      </w:r>
      <w:r w:rsidR="007E0B61" w:rsidRPr="009E1EA6">
        <w:t xml:space="preserve"> in terms of maximum displacement (D) and maximum block acceleration (A). In both diagrams, the region to the left of the dashed line corresponds to </w:t>
      </w:r>
      <m:oMath>
        <m:sSub>
          <m:sSubPr>
            <m:ctrlPr>
              <w:rPr>
                <w:rFonts w:ascii="Cambria Math" w:hAnsi="Cambria Math"/>
                <w:i/>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m:t>
        </m:r>
      </m:oMath>
      <w:r w:rsidR="007E0B61" w:rsidRPr="009E1EA6">
        <w:t xml:space="preserve"> and </w:t>
      </w:r>
      <m:oMath>
        <m:r>
          <w:rPr>
            <w:rFonts w:ascii="Cambria Math" w:hAnsi="Cambria Math"/>
          </w:rPr>
          <m:t>μ</m:t>
        </m:r>
      </m:oMath>
      <w:r w:rsidR="000058A0" w:rsidRPr="009E1EA6">
        <w:t xml:space="preserve"> combinations resulting in </w:t>
      </w:r>
      <w:r w:rsidR="00025BC5" w:rsidRPr="009E1EA6">
        <w:t>the fracture of both anchors</w:t>
      </w:r>
      <w:r w:rsidR="007E0B61" w:rsidRPr="009E1EA6">
        <w:t xml:space="preserve">, and vice versa. Notice from Figure </w:t>
      </w:r>
      <w:r w:rsidR="00781B6A" w:rsidRPr="009E1EA6">
        <w:t>5a</w:t>
      </w:r>
      <w:r w:rsidR="00965713" w:rsidRPr="009E1EA6">
        <w:t xml:space="preserve"> that D is significantly amplified for a wide range of </w:t>
      </w:r>
      <m:oMath>
        <m:sSub>
          <m:sSubPr>
            <m:ctrlPr>
              <w:rPr>
                <w:rFonts w:ascii="Cambria Math" w:hAnsi="Cambria Math"/>
                <w:i/>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m:t>
        </m:r>
      </m:oMath>
      <w:r w:rsidR="00965713" w:rsidRPr="009E1EA6">
        <w:t xml:space="preserve"> values, but </w:t>
      </w:r>
      <w:r w:rsidR="00E23907" w:rsidRPr="009E1EA6">
        <w:t xml:space="preserve">D </w:t>
      </w:r>
      <w:r w:rsidR="00965713" w:rsidRPr="009E1EA6">
        <w:t xml:space="preserve">decreases for </w:t>
      </w:r>
      <m:oMath>
        <m:sSub>
          <m:sSubPr>
            <m:ctrlPr>
              <w:rPr>
                <w:rFonts w:ascii="Cambria Math" w:hAnsi="Cambria Math"/>
                <w:i/>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W&gt;0.4</m:t>
        </m:r>
      </m:oMath>
      <w:r w:rsidR="005F67D3" w:rsidRPr="009E1EA6">
        <w:t xml:space="preserve"> and approaches ‘zero’ for </w:t>
      </w:r>
      <m:oMath>
        <m:sSub>
          <m:sSubPr>
            <m:ctrlPr>
              <w:rPr>
                <w:rFonts w:ascii="Cambria Math" w:hAnsi="Cambria Math"/>
                <w:i/>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W~0.6</m:t>
        </m:r>
      </m:oMath>
      <w:r w:rsidR="00781B6A" w:rsidRPr="009E1EA6">
        <w:t>. This improved displacement control contrasts with the increasing maximum block acceleration, as shown in Figure 5b</w:t>
      </w:r>
      <w:r w:rsidR="005F67D3" w:rsidRPr="009E1EA6">
        <w:t xml:space="preserve">. </w:t>
      </w:r>
      <w:r w:rsidR="00050AAC" w:rsidRPr="009E1EA6">
        <w:t>From this figure</w:t>
      </w:r>
      <w:r w:rsidRPr="009E1EA6">
        <w:t>,</w:t>
      </w:r>
      <w:r w:rsidR="00050AAC" w:rsidRPr="009E1EA6">
        <w:t xml:space="preserve"> it is apparent</w:t>
      </w:r>
      <w:r w:rsidRPr="009E1EA6">
        <w:t xml:space="preserve"> that</w:t>
      </w:r>
      <w:r w:rsidR="00050AAC" w:rsidRPr="009E1EA6">
        <w:t xml:space="preserve"> </w:t>
      </w:r>
      <m:oMath>
        <m:r>
          <w:rPr>
            <w:rFonts w:ascii="Cambria Math" w:hAnsi="Cambria Math"/>
          </w:rPr>
          <m:t>A</m:t>
        </m:r>
      </m:oMath>
      <w:r w:rsidR="00050AAC" w:rsidRPr="009E1EA6">
        <w:t xml:space="preserve"> is not very sensitive to variations in the ductility ratio above ~1.5-1.6, but it increases monotonically with the anchor strength. Although t</w:t>
      </w:r>
      <w:r w:rsidRPr="009E1EA6">
        <w:t xml:space="preserve">he diagrams in Figure </w:t>
      </w:r>
      <w:r w:rsidR="00FA2381" w:rsidRPr="009E1EA6">
        <w:t>5</w:t>
      </w:r>
      <w:r w:rsidR="00442467" w:rsidRPr="009E1EA6">
        <w:rPr>
          <w:szCs w:val="24"/>
        </w:rPr>
        <w:t xml:space="preserve"> correspond to a simple wavelet, they can be reproduced for any input ground motion, thus aiding designers in the selection of appropriate anchor parameters. Finally, notice from Equations (1) to (</w:t>
      </w:r>
      <w:r w:rsidR="00FA2381" w:rsidRPr="009E1EA6">
        <w:rPr>
          <w:szCs w:val="24"/>
        </w:rPr>
        <w:t>9</w:t>
      </w:r>
      <w:r w:rsidRPr="009E1EA6">
        <w:rPr>
          <w:szCs w:val="24"/>
        </w:rPr>
        <w:t>) that the block response is not an explicit function of the block dimensions, as it only depends on its support conditions.</w:t>
      </w:r>
    </w:p>
    <w:p w14:paraId="311AA4C4" w14:textId="77777777" w:rsidR="00A73785" w:rsidRPr="009E1EA6" w:rsidRDefault="00867254" w:rsidP="00333B77">
      <w:pPr>
        <w:pStyle w:val="Ttulo2"/>
        <w:ind w:left="720" w:hanging="720"/>
      </w:pPr>
      <w:r w:rsidRPr="009E1EA6">
        <w:rPr>
          <w:caps w:val="0"/>
        </w:rPr>
        <w:t>2.1.4 Numerical integration and stopping criterion</w:t>
      </w:r>
    </w:p>
    <w:p w14:paraId="662FBA88" w14:textId="77777777" w:rsidR="00A73785" w:rsidRPr="009E1EA6" w:rsidRDefault="00B74A7C" w:rsidP="00333B77">
      <w:pPr>
        <w:pStyle w:val="Textoindependiente"/>
      </w:pPr>
      <w:r w:rsidRPr="009E1EA6">
        <w:t>Equations (2), (5), (8) and (9) were written in state format and integrated numerically using an explicit 4</w:t>
      </w:r>
      <w:r w:rsidRPr="009E1EA6">
        <w:rPr>
          <w:vertAlign w:val="superscript"/>
        </w:rPr>
        <w:t>th</w:t>
      </w:r>
      <w:r w:rsidRPr="009E1EA6">
        <w:t xml:space="preserve"> order Runge Kutta method (Butcher 2016). Integration was carried over the entire length of the ground motion.</w:t>
      </w:r>
    </w:p>
    <w:p w14:paraId="5013F09C" w14:textId="3121CB6C" w:rsidR="00E254AF" w:rsidRPr="009E1EA6" w:rsidRDefault="00B74A7C" w:rsidP="00E254AF">
      <w:pPr>
        <w:jc w:val="center"/>
      </w:pPr>
      <w:r w:rsidRPr="009E1EA6">
        <w:rPr>
          <w:noProof/>
          <w:lang w:val="es-CL" w:eastAsia="es-CL"/>
        </w:rPr>
        <w:lastRenderedPageBreak/>
        <w:drawing>
          <wp:inline distT="0" distB="0" distL="0" distR="0" wp14:anchorId="0391AFE8" wp14:editId="07161733">
            <wp:extent cx="5722453" cy="2053087"/>
            <wp:effectExtent l="0" t="0" r="0" b="4445"/>
            <wp:docPr id="91619956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404656" name="Picture 2"/>
                    <pic:cNvPicPr>
                      <a:picLocks noChangeAspect="1" noChangeArrowheads="1"/>
                    </pic:cNvPicPr>
                  </pic:nvPicPr>
                  <pic:blipFill>
                    <a:blip r:embed="rId12">
                      <a:extLst>
                        <a:ext uri="{28A0092B-C50C-407E-A947-70E740481C1C}">
                          <a14:useLocalDpi xmlns:a14="http://schemas.microsoft.com/office/drawing/2010/main" val="0"/>
                        </a:ext>
                      </a:extLst>
                    </a:blip>
                    <a:srcRect b="5545"/>
                    <a:stretch>
                      <a:fillRect/>
                    </a:stretch>
                  </pic:blipFill>
                  <pic:spPr bwMode="auto">
                    <a:xfrm>
                      <a:off x="0" y="0"/>
                      <a:ext cx="5723890" cy="2053603"/>
                    </a:xfrm>
                    <a:prstGeom prst="rect">
                      <a:avLst/>
                    </a:prstGeom>
                    <a:noFill/>
                    <a:ln>
                      <a:noFill/>
                    </a:ln>
                    <a:extLst>
                      <a:ext uri="{53640926-AAD7-44D8-BBD7-CCE9431645EC}">
                        <a14:shadowObscured xmlns:a14="http://schemas.microsoft.com/office/drawing/2010/main"/>
                      </a:ext>
                    </a:extLst>
                  </pic:spPr>
                </pic:pic>
              </a:graphicData>
            </a:graphic>
          </wp:inline>
        </w:drawing>
      </w:r>
    </w:p>
    <w:p w14:paraId="28027E85" w14:textId="2B23ADB8" w:rsidR="00E254AF" w:rsidRPr="009E1EA6" w:rsidRDefault="00B74A7C" w:rsidP="00E254AF">
      <w:pPr>
        <w:spacing w:before="60" w:after="300" w:line="360" w:lineRule="auto"/>
      </w:pPr>
      <w:r w:rsidRPr="009E1EA6">
        <w:rPr>
          <w:b/>
        </w:rPr>
        <w:t>Figure 5</w:t>
      </w:r>
      <w:r w:rsidRPr="009E1EA6">
        <w:t xml:space="preserve">. Contours of (a) maximum block displacements, D (in meters), and (b) maximum block acceleration, A (in g’s) as a function of the strength </w:t>
      </w:r>
      <m:oMath>
        <m:sSub>
          <m:sSubPr>
            <m:ctrlPr>
              <w:rPr>
                <w:rFonts w:ascii="Cambria Math" w:hAnsi="Cambria Math"/>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m:t>
        </m:r>
      </m:oMath>
      <w:r w:rsidRPr="009E1EA6">
        <w:t xml:space="preserve"> and ductility ratio </w:t>
      </w:r>
      <m:oMath>
        <m:r>
          <w:rPr>
            <w:rFonts w:ascii="Cambria Math" w:hAnsi="Cambria Math"/>
          </w:rPr>
          <m:t>μ</m:t>
        </m:r>
      </m:oMath>
      <w:r w:rsidR="00E23907" w:rsidRPr="009E1EA6">
        <w:t xml:space="preserve"> of the anchor</w:t>
      </w:r>
      <w:r w:rsidRPr="009E1EA6">
        <w:t>. Simulations leading to rupture of both anchors are plotted to the left of the dashed line.</w:t>
      </w:r>
    </w:p>
    <w:p w14:paraId="02BC72BC" w14:textId="16DD7DA9" w:rsidR="002A6A4E" w:rsidRPr="009E1EA6" w:rsidRDefault="00B74A7C" w:rsidP="00333B77">
      <w:pPr>
        <w:pStyle w:val="Ttulo2"/>
        <w:ind w:left="720" w:hanging="720"/>
      </w:pPr>
      <w:r w:rsidRPr="009E1EA6">
        <w:rPr>
          <w:caps w:val="0"/>
        </w:rPr>
        <w:t>2.1.5 Validation examples</w:t>
      </w:r>
    </w:p>
    <w:p w14:paraId="128A558A" w14:textId="3017ED20" w:rsidR="005259A2" w:rsidRPr="009E1EA6" w:rsidRDefault="006B416D" w:rsidP="005259A2">
      <w:pPr>
        <w:pStyle w:val="Textoindependiente"/>
      </w:pPr>
      <w:r w:rsidRPr="009E1EA6">
        <w:t xml:space="preserve">To verify the fidelity of the solution to Equation (1), an example available in the literature was reproduced herein. The response of a simply supported block to the ground motion Takatori-000 from the 1995 Kobe earthquake, Japan, successfully matched the results </w:t>
      </w:r>
      <w:r w:rsidR="00B74A7C" w:rsidRPr="009E1EA6">
        <w:t>of</w:t>
      </w:r>
      <w:r w:rsidRPr="009E1EA6">
        <w:t xml:space="preserve"> Konstantinidis and Nikfar (2015)</w:t>
      </w:r>
      <w:r w:rsidR="00B74A7C" w:rsidRPr="009E1EA6">
        <w:t>,</w:t>
      </w:r>
      <w:r w:rsidRPr="009E1EA6">
        <w:t xml:space="preserve"> as shown in Figure </w:t>
      </w:r>
      <w:r w:rsidR="00D77381" w:rsidRPr="009E1EA6">
        <w:t>6a</w:t>
      </w:r>
      <w:r w:rsidR="00720CA5" w:rsidRPr="009E1EA6">
        <w:t xml:space="preserve"> (compare to Figure 3 in Konstantinidis and Nikfar 2015). </w:t>
      </w:r>
      <w:r w:rsidR="00B74A7C" w:rsidRPr="009E1EA6">
        <w:t xml:space="preserve">For the case of blocks restrained to the base with elastoplastic anchors and large horizontal deformations, no benchmark solutions were found in the literature. Nevertheless, as shown in Figure 6b, our solution of Equation (9) successfully reproduced the response of a block with linear elastic anchors (i.e., very large ratio </w:t>
      </w:r>
      <m:oMath>
        <m:sSub>
          <m:sSubPr>
            <m:ctrlPr>
              <w:rPr>
                <w:rFonts w:ascii="Cambria Math" w:hAnsi="Cambria Math"/>
              </w:rPr>
            </m:ctrlPr>
          </m:sSubPr>
          <m:e>
            <m:r>
              <w:rPr>
                <w:rFonts w:ascii="Cambria Math" w:hAnsi="Cambria Math"/>
              </w:rPr>
              <m:t>F</m:t>
            </m:r>
          </m:e>
          <m:sub>
            <m:r>
              <w:rPr>
                <w:rFonts w:ascii="Cambria Math" w:hAnsi="Cambria Math"/>
              </w:rPr>
              <m:t>u</m:t>
            </m:r>
          </m:sub>
        </m:sSub>
        <m:r>
          <m:rPr>
            <m:sty m:val="p"/>
          </m:rPr>
          <w:rPr>
            <w:rFonts w:ascii="Cambria Math" w:hAnsi="Cambria Math"/>
          </w:rPr>
          <m:t>/</m:t>
        </m:r>
        <m:r>
          <w:rPr>
            <w:rFonts w:ascii="Cambria Math" w:hAnsi="Cambria Math"/>
          </w:rPr>
          <m:t>W</m:t>
        </m:r>
      </m:oMath>
      <w:r w:rsidR="00720CA5" w:rsidRPr="009E1EA6">
        <w:t xml:space="preserve">) obtained using the small-displacement approximation by Lopez Garcia and Soong </w:t>
      </w:r>
      <w:r w:rsidR="000D1FA8" w:rsidRPr="009E1EA6">
        <w:t>(</w:t>
      </w:r>
      <w:r w:rsidR="00720CA5" w:rsidRPr="009E1EA6">
        <w:t>2003</w:t>
      </w:r>
      <w:r w:rsidR="00720CA5" w:rsidRPr="009E1EA6">
        <w:rPr>
          <w:vertAlign w:val="superscript"/>
        </w:rPr>
        <w:t>b</w:t>
      </w:r>
      <w:r w:rsidR="000D1FA8" w:rsidRPr="009E1EA6">
        <w:t xml:space="preserve">) </w:t>
      </w:r>
      <w:r w:rsidR="00B74A7C" w:rsidRPr="009E1EA6">
        <w:t>(refer to Equation 28 in Lopez Garcia and Soong 2003</w:t>
      </w:r>
      <w:r w:rsidR="00B74A7C" w:rsidRPr="009E1EA6">
        <w:rPr>
          <w:vertAlign w:val="superscript"/>
        </w:rPr>
        <w:t>b</w:t>
      </w:r>
      <w:r w:rsidR="00D07D63" w:rsidRPr="009E1EA6">
        <w:t>). In this example, notice that the block displacements satisfy</w:t>
      </w:r>
      <m:oMath>
        <m:r>
          <m:rPr>
            <m:sty m:val="p"/>
          </m:rPr>
          <w:rPr>
            <w:rFonts w:ascii="Cambria Math" w:hAnsi="Cambria Math"/>
          </w:rPr>
          <m:t xml:space="preserve"> </m:t>
        </m:r>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rPr>
              <m:t>0</m:t>
            </m:r>
          </m:sub>
        </m:sSub>
      </m:oMath>
      <w:r w:rsidR="00E254AF" w:rsidRPr="009E1EA6">
        <w:t>.</w:t>
      </w:r>
    </w:p>
    <w:p w14:paraId="60004E4C" w14:textId="7161F0B6" w:rsidR="00E254AF" w:rsidRPr="009E1EA6" w:rsidRDefault="00B74A7C" w:rsidP="00E254AF">
      <w:pPr>
        <w:pStyle w:val="Ttulo2"/>
        <w:rPr>
          <w:sz w:val="24"/>
          <w:szCs w:val="24"/>
        </w:rPr>
      </w:pPr>
      <w:r w:rsidRPr="009E1EA6">
        <w:rPr>
          <w:sz w:val="24"/>
          <w:szCs w:val="24"/>
        </w:rPr>
        <w:t>2.2 FRAGILITY FUNCTIONS</w:t>
      </w:r>
    </w:p>
    <w:p w14:paraId="06C8AF2D" w14:textId="69164E8A" w:rsidR="00E254AF" w:rsidRPr="009E1EA6" w:rsidRDefault="00B74A7C" w:rsidP="00E254AF">
      <w:pPr>
        <w:pStyle w:val="Textoindependiente"/>
        <w:ind w:firstLine="425"/>
      </w:pPr>
      <w:r w:rsidRPr="009E1EA6">
        <w:t>Fragility function</w:t>
      </w:r>
      <w:r w:rsidR="00294CF5" w:rsidRPr="009E1EA6">
        <w:t>s</w:t>
      </w:r>
      <w:r w:rsidRPr="009E1EA6">
        <w:t xml:space="preserve"> for a given engineering demand parameter (EDP) are defined as the probability of exceeding a demand level conditioned on the occurrence of a ground motion intensity (IM)</w:t>
      </w:r>
      <w:r w:rsidR="00D335B7" w:rsidRPr="009E1EA6">
        <w:t xml:space="preserve">, i.e., </w:t>
      </w:r>
      <m:oMath>
        <m:r>
          <w:rPr>
            <w:rFonts w:ascii="Cambria Math" w:hAnsi="Cambria Math"/>
          </w:rPr>
          <m:t>P(EDP&gt;z|IM)</m:t>
        </m:r>
      </m:oMath>
      <w:r w:rsidR="00D335B7" w:rsidRPr="009E1EA6">
        <w:t xml:space="preserve"> vs </w:t>
      </w:r>
      <m:oMath>
        <m:r>
          <w:rPr>
            <w:rFonts w:ascii="Cambria Math" w:hAnsi="Cambria Math"/>
          </w:rPr>
          <m:t>IM</m:t>
        </m:r>
      </m:oMath>
      <w:r w:rsidRPr="009E1EA6">
        <w:t xml:space="preserve">. In this study, the structural reliability of sliding blocks is assessed independently for two EDPs: the maximum block displacement relative to its base (i.e., </w:t>
      </w:r>
      <m:oMath>
        <m:r>
          <w:rPr>
            <w:rFonts w:ascii="Cambria Math" w:hAnsi="Cambria Math"/>
          </w:rPr>
          <m:t>D=</m:t>
        </m:r>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r>
                  <w:rPr>
                    <w:rFonts w:ascii="Cambria Math" w:hAnsi="Cambria Math"/>
                  </w:rPr>
                  <m:t>x</m:t>
                </m:r>
              </m:e>
            </m:d>
          </m:e>
        </m:func>
      </m:oMath>
      <w:r w:rsidRPr="009E1EA6">
        <w:t xml:space="preserve">) and the maximum absolute acceleration (i.e., </w:t>
      </w:r>
      <m:oMath>
        <m:r>
          <w:rPr>
            <w:rFonts w:ascii="Cambria Math" w:hAnsi="Cambria Math"/>
          </w:rPr>
          <m:t>A=</m:t>
        </m:r>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g</m:t>
                    </m:r>
                  </m:sub>
                </m:sSub>
              </m:e>
            </m:d>
          </m:e>
        </m:func>
      </m:oMath>
      <w:r w:rsidRPr="009E1EA6">
        <w:t xml:space="preserve"> or </w:t>
      </w:r>
      <m:oMath>
        <m:r>
          <w:rPr>
            <w:rFonts w:ascii="Cambria Math" w:hAnsi="Cambria Math"/>
          </w:rPr>
          <m:t>A=</m:t>
        </m:r>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acc>
                  <m:accPr>
                    <m:chr m:val="̈"/>
                    <m:ctrlPr>
                      <w:rPr>
                        <w:rFonts w:ascii="Cambria Math" w:hAnsi="Cambria Math"/>
                        <w:i/>
                      </w:rPr>
                    </m:ctrlPr>
                  </m:accPr>
                  <m:e>
                    <m:r>
                      <w:rPr>
                        <w:rFonts w:ascii="Cambria Math" w:hAnsi="Cambria Math"/>
                      </w:rPr>
                      <m:t>x</m:t>
                    </m:r>
                  </m:e>
                </m:acc>
                <m:sSub>
                  <m:sSubPr>
                    <m:ctrlPr>
                      <w:rPr>
                        <w:rFonts w:ascii="Cambria Math" w:hAnsi="Cambria Math"/>
                        <w:i/>
                      </w:rPr>
                    </m:ctrlPr>
                  </m:sSubPr>
                  <m:e>
                    <m:r>
                      <w:rPr>
                        <w:rFonts w:ascii="Cambria Math" w:hAnsi="Cambria Math"/>
                      </w:rPr>
                      <m:t>+</m:t>
                    </m:r>
                    <m:acc>
                      <m:accPr>
                        <m:chr m:val="̈"/>
                        <m:ctrlPr>
                          <w:rPr>
                            <w:rFonts w:ascii="Cambria Math" w:hAnsi="Cambria Math"/>
                            <w:i/>
                          </w:rPr>
                        </m:ctrlPr>
                      </m:accPr>
                      <m:e>
                        <m:r>
                          <w:rPr>
                            <w:rFonts w:ascii="Cambria Math" w:hAnsi="Cambria Math"/>
                          </w:rPr>
                          <m:t>x</m:t>
                        </m:r>
                      </m:e>
                    </m:acc>
                  </m:e>
                  <m:sub>
                    <m:r>
                      <w:rPr>
                        <w:rFonts w:ascii="Cambria Math" w:hAnsi="Cambria Math"/>
                      </w:rPr>
                      <m:t>b</m:t>
                    </m:r>
                  </m:sub>
                </m:sSub>
                <m:sSub>
                  <m:sSubPr>
                    <m:ctrlPr>
                      <w:rPr>
                        <w:rFonts w:ascii="Cambria Math" w:hAnsi="Cambria Math"/>
                        <w:i/>
                      </w:rPr>
                    </m:ctrlPr>
                  </m:sSubPr>
                  <m:e>
                    <m:r>
                      <w:rPr>
                        <w:rFonts w:ascii="Cambria Math" w:hAnsi="Cambria Math"/>
                      </w:rPr>
                      <m:t>+</m:t>
                    </m:r>
                    <m:acc>
                      <m:accPr>
                        <m:chr m:val="̈"/>
                        <m:ctrlPr>
                          <w:rPr>
                            <w:rFonts w:ascii="Cambria Math" w:hAnsi="Cambria Math"/>
                            <w:i/>
                          </w:rPr>
                        </m:ctrlPr>
                      </m:accPr>
                      <m:e>
                        <m:r>
                          <w:rPr>
                            <w:rFonts w:ascii="Cambria Math" w:hAnsi="Cambria Math"/>
                          </w:rPr>
                          <m:t>x</m:t>
                        </m:r>
                      </m:e>
                    </m:acc>
                  </m:e>
                  <m:sub>
                    <m:r>
                      <w:rPr>
                        <w:rFonts w:ascii="Cambria Math" w:hAnsi="Cambria Math"/>
                      </w:rPr>
                      <m:t>g</m:t>
                    </m:r>
                  </m:sub>
                </m:sSub>
              </m:e>
            </m:d>
          </m:e>
        </m:func>
      </m:oMath>
      <w:r w:rsidRPr="009E1EA6">
        <w:t xml:space="preserve">). To develop the fragility functions, an incremental dynamic analysis (IDA, Vamvatsikos and Cornell 2002) was implemented. For this purpose, the equipment was </w:t>
      </w:r>
      <w:r w:rsidRPr="009E1EA6">
        <w:lastRenderedPageBreak/>
        <w:t xml:space="preserve">subjected to a suite of horizontal ground motions scaled to identical peak ground acceleration (PGA) values. Then, for each ground motion level, the probability that an EDP exceeds a test value z is computed as the number of simulations where </w:t>
      </w:r>
      <m:oMath>
        <m:r>
          <w:rPr>
            <w:rFonts w:ascii="Cambria Math" w:hAnsi="Cambria Math"/>
          </w:rPr>
          <m:t>EDP&gt;z</m:t>
        </m:r>
      </m:oMath>
      <w:r w:rsidRPr="009E1EA6">
        <w:t xml:space="preserve"> divided by the total number of simulations.</w:t>
      </w:r>
    </w:p>
    <w:p w14:paraId="5BF50499" w14:textId="32951060" w:rsidR="00C74A4A" w:rsidRPr="009E1EA6" w:rsidRDefault="00DF33DE" w:rsidP="00DF33DE">
      <w:pPr>
        <w:pStyle w:val="Textoindependiente"/>
        <w:spacing w:after="0" w:line="240" w:lineRule="auto"/>
        <w:ind w:firstLine="0"/>
        <w:jc w:val="center"/>
      </w:pPr>
      <w:r w:rsidRPr="009E1EA6">
        <w:rPr>
          <w:b/>
          <w:noProof/>
          <w:lang w:val="es-CL" w:eastAsia="es-CL"/>
        </w:rPr>
        <mc:AlternateContent>
          <mc:Choice Requires="wps">
            <w:drawing>
              <wp:anchor distT="45720" distB="45720" distL="114300" distR="114300" simplePos="0" relativeHeight="251664384" behindDoc="0" locked="0" layoutInCell="1" allowOverlap="1" wp14:anchorId="4B65031F" wp14:editId="67127405">
                <wp:simplePos x="0" y="0"/>
                <wp:positionH relativeFrom="column">
                  <wp:posOffset>2734310</wp:posOffset>
                </wp:positionH>
                <wp:positionV relativeFrom="paragraph">
                  <wp:posOffset>29161</wp:posOffset>
                </wp:positionV>
                <wp:extent cx="259080" cy="234315"/>
                <wp:effectExtent l="0" t="0" r="7620" b="13335"/>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234315"/>
                        </a:xfrm>
                        <a:prstGeom prst="rect">
                          <a:avLst/>
                        </a:prstGeom>
                        <a:noFill/>
                        <a:ln w="9525">
                          <a:noFill/>
                          <a:miter lim="800000"/>
                          <a:headEnd/>
                          <a:tailEnd/>
                        </a:ln>
                      </wps:spPr>
                      <wps:txbx>
                        <w:txbxContent>
                          <w:p w14:paraId="2F8E5648" w14:textId="77777777" w:rsidR="00F005E1" w:rsidRPr="00452F3B" w:rsidRDefault="00F005E1" w:rsidP="008A1453">
                            <w:pPr>
                              <w:jc w:val="center"/>
                              <w:rPr>
                                <w:lang w:val="es-CL"/>
                              </w:rPr>
                            </w:pPr>
                            <w:r w:rsidRPr="00452F3B">
                              <w:t>(b)</w:t>
                            </w:r>
                          </w:p>
                        </w:txbxContent>
                      </wps:txbx>
                      <wps:bodyPr rot="0" vert="horz" wrap="square" lIns="0" tIns="0" rIns="0" bIns="0" anchor="t" anchorCtr="0"/>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4B65031F" id="_x0000_t202" coordsize="21600,21600" o:spt="202" path="m,l,21600r21600,l21600,xe">
                <v:stroke joinstyle="miter"/>
                <v:path gradientshapeok="t" o:connecttype="rect"/>
              </v:shapetype>
              <v:shape id="Cuadro de texto 4" o:spid="_x0000_s1026" type="#_x0000_t202" style="position:absolute;left:0;text-align:left;margin-left:215.3pt;margin-top:2.3pt;width:20.4pt;height:18.4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" filled="f" stroked="f">
                <v:textbox inset="0,0,0,0">
                  <w:txbxContent>
                    <w:p w14:paraId="2F8E5648" w14:textId="77777777" w:rsidR="00F005E1" w:rsidRPr="00452F3B" w:rsidRDefault="00F005E1" w:rsidP="008A1453">
                      <w:pPr>
                        <w:jc w:val="center"/>
                        <w:rPr>
                          <w:lang w:val="es-CL"/>
                        </w:rPr>
                      </w:pPr>
                      <w:r w:rsidRPr="00452F3B">
                        <w:t>(b)</w:t>
                      </w:r>
                    </w:p>
                  </w:txbxContent>
                </v:textbox>
              </v:shape>
            </w:pict>
          </mc:Fallback>
        </mc:AlternateContent>
      </w:r>
      <w:r w:rsidRPr="009E1EA6">
        <w:rPr>
          <w:b/>
          <w:noProof/>
          <w:lang w:val="es-CL" w:eastAsia="es-CL"/>
        </w:rPr>
        <mc:AlternateContent>
          <mc:Choice Requires="wps">
            <w:drawing>
              <wp:anchor distT="45720" distB="45720" distL="114300" distR="114300" simplePos="0" relativeHeight="251662336" behindDoc="0" locked="0" layoutInCell="1" allowOverlap="1" wp14:anchorId="7584B0AD" wp14:editId="1BA1F125">
                <wp:simplePos x="0" y="0"/>
                <wp:positionH relativeFrom="column">
                  <wp:posOffset>213995</wp:posOffset>
                </wp:positionH>
                <wp:positionV relativeFrom="paragraph">
                  <wp:posOffset>17096</wp:posOffset>
                </wp:positionV>
                <wp:extent cx="259080" cy="234315"/>
                <wp:effectExtent l="0" t="0" r="7620" b="13335"/>
                <wp:wrapNone/>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234315"/>
                        </a:xfrm>
                        <a:prstGeom prst="rect">
                          <a:avLst/>
                        </a:prstGeom>
                        <a:noFill/>
                        <a:ln w="9525">
                          <a:noFill/>
                          <a:miter lim="800000"/>
                          <a:headEnd/>
                          <a:tailEnd/>
                        </a:ln>
                      </wps:spPr>
                      <wps:txbx>
                        <w:txbxContent>
                          <w:p w14:paraId="35F06613" w14:textId="77777777" w:rsidR="00F005E1" w:rsidRPr="00452F3B" w:rsidRDefault="00F005E1" w:rsidP="008A1453">
                            <w:pPr>
                              <w:jc w:val="center"/>
                              <w:rPr>
                                <w:lang w:val="es-CL"/>
                              </w:rPr>
                            </w:pPr>
                            <w:r w:rsidRPr="00452F3B">
                              <w:t>(a)</w:t>
                            </w:r>
                          </w:p>
                        </w:txbxContent>
                      </wps:txbx>
                      <wps:bodyPr rot="0" vert="horz" wrap="square" lIns="0" tIns="0" rIns="0" bIns="0" anchor="t" anchorCtr="0"/>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584B0AD" id="Cuadro de texto 217" o:spid="_x0000_s1027" type="#_x0000_t202" style="position:absolute;left:0;text-align:left;margin-left:16.85pt;margin-top:1.35pt;width:20.4pt;height:18.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" filled="f" stroked="f">
                <v:textbox inset="0,0,0,0">
                  <w:txbxContent>
                    <w:p w14:paraId="35F06613" w14:textId="77777777" w:rsidR="00F005E1" w:rsidRPr="00452F3B" w:rsidRDefault="00F005E1" w:rsidP="008A1453">
                      <w:pPr>
                        <w:jc w:val="center"/>
                        <w:rPr>
                          <w:lang w:val="es-CL"/>
                        </w:rPr>
                      </w:pPr>
                      <w:r w:rsidRPr="00452F3B">
                        <w:t>(a)</w:t>
                      </w:r>
                    </w:p>
                  </w:txbxContent>
                </v:textbox>
              </v:shape>
            </w:pict>
          </mc:Fallback>
        </mc:AlternateContent>
      </w:r>
      <w:r w:rsidRPr="009E1EA6">
        <w:rPr>
          <w:noProof/>
          <w:lang w:val="es-CL" w:eastAsia="es-CL"/>
        </w:rPr>
        <w:drawing>
          <wp:inline distT="0" distB="0" distL="0" distR="0" wp14:anchorId="6E432919" wp14:editId="5C0CA276">
            <wp:extent cx="5294766" cy="3132615"/>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l="6392" t="4104" r="6219"/>
                    <a:stretch/>
                  </pic:blipFill>
                  <pic:spPr bwMode="auto">
                    <a:xfrm>
                      <a:off x="0" y="0"/>
                      <a:ext cx="5303780" cy="3137948"/>
                    </a:xfrm>
                    <a:prstGeom prst="rect">
                      <a:avLst/>
                    </a:prstGeom>
                    <a:noFill/>
                    <a:ln>
                      <a:noFill/>
                    </a:ln>
                    <a:extLst>
                      <a:ext uri="{53640926-AAD7-44D8-BBD7-CCE9431645EC}">
                        <a14:shadowObscured xmlns:a14="http://schemas.microsoft.com/office/drawing/2010/main"/>
                      </a:ext>
                    </a:extLst>
                  </pic:spPr>
                </pic:pic>
              </a:graphicData>
            </a:graphic>
          </wp:inline>
        </w:drawing>
      </w:r>
    </w:p>
    <w:p w14:paraId="61BE44B6" w14:textId="62B628B5" w:rsidR="002A6A4E" w:rsidRPr="009E1EA6" w:rsidRDefault="00FA2381" w:rsidP="00333B77">
      <w:pPr>
        <w:pStyle w:val="FigureCaption"/>
        <w:spacing w:line="360" w:lineRule="auto"/>
      </w:pPr>
      <w:r w:rsidRPr="009E1EA6">
        <w:rPr>
          <w:b/>
        </w:rPr>
        <w:t>Figure 6</w:t>
      </w:r>
      <w:r w:rsidR="00B74A7C" w:rsidRPr="009E1EA6">
        <w:rPr>
          <w:b/>
        </w:rPr>
        <w:t>.</w:t>
      </w:r>
      <w:r w:rsidR="00B74A7C" w:rsidRPr="009E1EA6">
        <w:t xml:space="preserve"> (a) Response of a sliding rigid block (</w:t>
      </w:r>
      <m:oMath>
        <m:sSub>
          <m:sSubPr>
            <m:ctrlPr>
              <w:rPr>
                <w:rFonts w:ascii="Cambria Math" w:hAnsi="Cambria Math"/>
                <w:i/>
              </w:rPr>
            </m:ctrlPr>
          </m:sSubPr>
          <m:e>
            <m:r>
              <w:rPr>
                <w:rFonts w:ascii="Cambria Math" w:hAnsi="Cambria Math"/>
              </w:rPr>
              <m:t>μ</m:t>
            </m:r>
          </m:e>
          <m:sub>
            <m:r>
              <w:rPr>
                <w:rFonts w:ascii="Cambria Math" w:hAnsi="Cambria Math"/>
              </w:rPr>
              <m:t>k</m:t>
            </m:r>
          </m:sub>
        </m:sSub>
      </m:oMath>
      <w:r w:rsidR="00E50BE0" w:rsidRPr="009E1EA6">
        <w:t xml:space="preserve">=0.1) subjected to the ground motion Takatori-000 from the 1995 Kobe earthquake (NGAwest2 RSN1120, component H1) and </w:t>
      </w:r>
      <w:r w:rsidR="00CF1092" w:rsidRPr="009E1EA6">
        <w:t>(b) response of a block with linear elastic anchors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 xml:space="preserve">=0.05, </m:t>
        </m:r>
        <m:sSub>
          <m:sSubPr>
            <m:ctrlPr>
              <w:rPr>
                <w:rFonts w:ascii="Cambria Math" w:hAnsi="Cambria Math"/>
                <w:i/>
              </w:rPr>
            </m:ctrlPr>
          </m:sSubPr>
          <m:e>
            <m:r>
              <w:rPr>
                <w:rFonts w:ascii="Cambria Math" w:hAnsi="Cambria Math"/>
              </w:rPr>
              <m:t>T</m:t>
            </m:r>
          </m:e>
          <m:sub>
            <m:r>
              <w:rPr>
                <w:rFonts w:ascii="Cambria Math" w:hAnsi="Cambria Math"/>
              </w:rPr>
              <m:t>eq</m:t>
            </m:r>
          </m:sub>
        </m:sSub>
        <m:r>
          <w:rPr>
            <w:rFonts w:ascii="Cambria Math" w:hAnsi="Cambria Math"/>
          </w:rPr>
          <m:t>=0.7 s</m:t>
        </m:r>
      </m:oMath>
      <w:r w:rsidR="00720CA5" w:rsidRPr="009E1EA6">
        <w:t>,</w:t>
      </w:r>
      <m:oMath>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=0.5m</m:t>
        </m:r>
      </m:oMath>
      <w:r w:rsidR="009A5F24" w:rsidRPr="009E1EA6">
        <w:t>,</w:t>
      </w:r>
      <m:oMath>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0</m:t>
            </m:r>
          </m:sub>
        </m:sSub>
        <m:r>
          <w:rPr>
            <w:rFonts w:ascii="Cambria Math" w:hAnsi="Cambria Math"/>
          </w:rPr>
          <m:t xml:space="preserve">=0, </m:t>
        </m:r>
        <m:sSub>
          <m:sSubPr>
            <m:ctrlPr>
              <w:rPr>
                <w:rFonts w:ascii="Cambria Math" w:hAnsi="Cambria Math"/>
                <w:i/>
              </w:rPr>
            </m:ctrlPr>
          </m:sSubPr>
          <m:e>
            <m:r>
              <w:rPr>
                <w:rFonts w:ascii="Cambria Math" w:hAnsi="Cambria Math"/>
              </w:rPr>
              <m:t>z</m:t>
            </m:r>
          </m:e>
          <m:sub>
            <m:r>
              <w:rPr>
                <w:rFonts w:ascii="Cambria Math" w:hAnsi="Cambria Math"/>
              </w:rPr>
              <m:t>0</m:t>
            </m:r>
          </m:sub>
        </m:sSub>
        <m:r>
          <w:rPr>
            <w:rFonts w:ascii="Cambria Math" w:hAnsi="Cambria Math"/>
          </w:rPr>
          <m:t>=0.5m</m:t>
        </m:r>
      </m:oMath>
      <w:r w:rsidR="00487A89" w:rsidRPr="009E1EA6">
        <w:t xml:space="preserve">) computed using the small-displacement formulation by Lopez Garcia and Soong </w:t>
      </w:r>
      <w:r w:rsidR="000D1FA8" w:rsidRPr="009E1EA6">
        <w:t>(</w:t>
      </w:r>
      <w:r w:rsidR="00487A89" w:rsidRPr="009E1EA6">
        <w:t>2003</w:t>
      </w:r>
      <w:r w:rsidR="00487A89" w:rsidRPr="009E1EA6">
        <w:rPr>
          <w:vertAlign w:val="superscript"/>
        </w:rPr>
        <w:t>b</w:t>
      </w:r>
      <w:r w:rsidR="000D1FA8" w:rsidRPr="009E1EA6">
        <w:t xml:space="preserve">) </w:t>
      </w:r>
      <w:r w:rsidR="00487A89" w:rsidRPr="009E1EA6">
        <w:t>and the current large-displacement approach.</w:t>
      </w:r>
    </w:p>
    <w:p w14:paraId="5B5EDFDE" w14:textId="77777777" w:rsidR="00C71D01" w:rsidRPr="009E1EA6" w:rsidRDefault="00B74A7C" w:rsidP="00333B77">
      <w:pPr>
        <w:pStyle w:val="Ttulo2"/>
        <w:rPr>
          <w:caps w:val="0"/>
        </w:rPr>
      </w:pPr>
      <w:r w:rsidRPr="009E1EA6">
        <w:rPr>
          <w:caps w:val="0"/>
        </w:rPr>
        <w:t>2.2.1 Maximum block displacement</w:t>
      </w:r>
    </w:p>
    <w:p w14:paraId="61BF3B1C" w14:textId="7E0CC387" w:rsidR="00AF742C" w:rsidRPr="009E1EA6" w:rsidRDefault="00F77700" w:rsidP="00022017">
      <w:pPr>
        <w:pStyle w:val="Textoindependiente"/>
        <w:ind w:firstLine="425"/>
      </w:pPr>
      <w:r w:rsidRPr="009E1EA6">
        <w:t xml:space="preserve">Engineering judgment is required to select the acceptable performance for each </w:t>
      </w:r>
      <w:r w:rsidR="000D1FA8" w:rsidRPr="009E1EA6">
        <w:t xml:space="preserve">piece of </w:t>
      </w:r>
      <w:r w:rsidRPr="009E1EA6">
        <w:t xml:space="preserve">equipment. The probability of failure of sliding-dominated equipment was obtained for displacement values between 0.01 </w:t>
      </w:r>
      <w:r w:rsidR="00B74A7C" w:rsidRPr="009E1EA6">
        <w:t>and</w:t>
      </w:r>
      <w:r w:rsidRPr="009E1EA6">
        <w:t xml:space="preserve"> 1.5 m, which range from negligible displacements up to large displacements that could lead to impacts against nearby objects and severely damage the equipment’s internal components or displacements in excess of the support margins. To distinguish between zero and </w:t>
      </w:r>
      <w:r w:rsidR="00F558D7" w:rsidRPr="009E1EA6">
        <w:t>nonz</w:t>
      </w:r>
      <w:r w:rsidRPr="009E1EA6">
        <w:t xml:space="preserve">ero block displacements </w:t>
      </w:r>
      <m:oMath>
        <m:r>
          <w:rPr>
            <w:rFonts w:ascii="Cambria Math" w:hAnsi="Cambria Math"/>
          </w:rPr>
          <m:t>(d)</m:t>
        </m:r>
      </m:oMath>
      <w:r w:rsidRPr="009E1EA6">
        <w:t xml:space="preserve">, the probability density function (pdf) of </w:t>
      </w:r>
      <m:oMath>
        <m:r>
          <w:rPr>
            <w:rFonts w:ascii="Cambria Math" w:hAnsi="Cambria Math"/>
          </w:rPr>
          <m:t>d</m:t>
        </m:r>
      </m:oMath>
      <w:r w:rsidR="00B74A7C" w:rsidRPr="009E1EA6">
        <w:t xml:space="preserve"> conditioned on the ground shaking intensity</w:t>
      </w:r>
      <m:oMath>
        <m:r>
          <m:rPr>
            <m:sty m:val="p"/>
          </m:rPr>
          <w:rPr>
            <w:rFonts w:ascii="Cambria Math" w:hAnsi="Cambria Math"/>
          </w:rPr>
          <m:t xml:space="preserve"> </m:t>
        </m:r>
        <m:r>
          <w:rPr>
            <w:rFonts w:ascii="Cambria Math" w:hAnsi="Cambria Math"/>
          </w:rPr>
          <m:t>y</m:t>
        </m:r>
      </m:oMath>
      <w:r w:rsidR="00873CBA" w:rsidRPr="009E1EA6">
        <w:t xml:space="preserve"> can be written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6F0CB063" w14:textId="77777777" w:rsidTr="00A540DD">
        <w:tc>
          <w:tcPr>
            <w:tcW w:w="8328" w:type="dxa"/>
            <w:vAlign w:val="center"/>
          </w:tcPr>
          <w:p w14:paraId="004B9DDB" w14:textId="77777777" w:rsidR="00AF742C" w:rsidRPr="009E1EA6" w:rsidRDefault="006E3CB7" w:rsidP="008E6BF9">
            <w:pPr>
              <w:pStyle w:val="Textoindependiente"/>
              <w:ind w:firstLine="0"/>
              <w:rPr>
                <w:szCs w:val="24"/>
                <w:lang w:val="en-US"/>
              </w:rPr>
            </w:pPr>
            <m:oMathPara>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D</m:t>
                    </m:r>
                  </m:sub>
                </m:sSub>
                <m:d>
                  <m:dPr>
                    <m:ctrlPr>
                      <w:rPr>
                        <w:rFonts w:ascii="Cambria Math" w:hAnsi="Cambria Math"/>
                        <w:i/>
                        <w:lang w:val="en-US"/>
                      </w:rPr>
                    </m:ctrlPr>
                  </m:dPr>
                  <m:e>
                    <m:r>
                      <w:rPr>
                        <w:rFonts w:ascii="Cambria Math" w:hAnsi="Cambria Math"/>
                        <w:lang w:val="en-US"/>
                      </w:rPr>
                      <m:t>d| y</m:t>
                    </m:r>
                  </m:e>
                </m:d>
                <m:r>
                  <w:rPr>
                    <w:rFonts w:ascii="Cambria Math" w:hAnsi="Cambria Math"/>
                    <w:lang w:val="en-US"/>
                  </w:rPr>
                  <m:t>=δ</m:t>
                </m:r>
                <m:d>
                  <m:dPr>
                    <m:ctrlPr>
                      <w:rPr>
                        <w:rFonts w:ascii="Cambria Math" w:hAnsi="Cambria Math"/>
                        <w:i/>
                        <w:lang w:val="en-US"/>
                      </w:rPr>
                    </m:ctrlPr>
                  </m:dPr>
                  <m:e>
                    <m:r>
                      <w:rPr>
                        <w:rFonts w:ascii="Cambria Math" w:hAnsi="Cambria Math"/>
                        <w:lang w:val="en-US"/>
                      </w:rPr>
                      <m:t>d-</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0</m:t>
                        </m:r>
                      </m:sub>
                    </m:sSub>
                  </m:e>
                </m:d>
                <m:acc>
                  <m:accPr>
                    <m:chr m:val="̃"/>
                    <m:ctrlPr>
                      <w:rPr>
                        <w:rFonts w:ascii="Cambria Math" w:hAnsi="Cambria Math"/>
                        <w:i/>
                        <w:lang w:val="en-US"/>
                      </w:rPr>
                    </m:ctrlPr>
                  </m:accPr>
                  <m:e>
                    <m:r>
                      <w:rPr>
                        <w:rFonts w:ascii="Cambria Math" w:hAnsi="Cambria Math"/>
                        <w:lang w:val="en-US"/>
                      </w:rPr>
                      <m:t>p</m:t>
                    </m:r>
                  </m:e>
                </m:acc>
                <m:r>
                  <w:rPr>
                    <w:rFonts w:ascii="Cambria Math" w:hAnsi="Cambria Math"/>
                    <w:lang w:val="en-US"/>
                  </w:rPr>
                  <m:t>+</m:t>
                </m:r>
                <m:d>
                  <m:dPr>
                    <m:ctrlPr>
                      <w:rPr>
                        <w:rFonts w:ascii="Cambria Math" w:hAnsi="Cambria Math"/>
                        <w:i/>
                        <w:lang w:val="en-US"/>
                      </w:rPr>
                    </m:ctrlPr>
                  </m:dPr>
                  <m:e>
                    <m:r>
                      <w:rPr>
                        <w:rFonts w:ascii="Cambria Math" w:hAnsi="Cambria Math"/>
                        <w:lang w:val="en-US"/>
                      </w:rPr>
                      <m:t>1-</m:t>
                    </m:r>
                    <m:acc>
                      <m:accPr>
                        <m:chr m:val="̃"/>
                        <m:ctrlPr>
                          <w:rPr>
                            <w:rFonts w:ascii="Cambria Math" w:hAnsi="Cambria Math"/>
                            <w:i/>
                            <w:lang w:val="en-US"/>
                          </w:rPr>
                        </m:ctrlPr>
                      </m:accPr>
                      <m:e>
                        <m:r>
                          <w:rPr>
                            <w:rFonts w:ascii="Cambria Math" w:hAnsi="Cambria Math"/>
                            <w:lang w:val="en-US"/>
                          </w:rPr>
                          <m:t>p</m:t>
                        </m:r>
                      </m:e>
                    </m:acc>
                  </m:e>
                </m:d>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f</m:t>
                        </m:r>
                      </m:e>
                    </m:acc>
                  </m:e>
                  <m:sub>
                    <m:r>
                      <w:rPr>
                        <w:rFonts w:ascii="Cambria Math" w:hAnsi="Cambria Math"/>
                        <w:lang w:val="en-US"/>
                      </w:rPr>
                      <m:t>D</m:t>
                    </m:r>
                  </m:sub>
                </m:sSub>
                <m:r>
                  <w:rPr>
                    <w:rFonts w:ascii="Cambria Math" w:hAnsi="Cambria Math"/>
                    <w:lang w:val="en-US"/>
                  </w:rPr>
                  <m:t>(d)</m:t>
                </m:r>
              </m:oMath>
            </m:oMathPara>
          </w:p>
        </w:tc>
        <w:tc>
          <w:tcPr>
            <w:tcW w:w="903" w:type="dxa"/>
            <w:vAlign w:val="center"/>
          </w:tcPr>
          <w:p w14:paraId="6FF3979F" w14:textId="77777777" w:rsidR="00AF742C" w:rsidRPr="009E1EA6" w:rsidRDefault="00B74A7C" w:rsidP="008B507E">
            <w:pPr>
              <w:pStyle w:val="Textoindependiente"/>
              <w:ind w:firstLine="0"/>
              <w:rPr>
                <w:lang w:val="en-US"/>
              </w:rPr>
            </w:pPr>
            <w:r w:rsidRPr="009E1EA6">
              <w:rPr>
                <w:lang w:val="en-US"/>
              </w:rPr>
              <w:t>(</w:t>
            </w:r>
            <w:r w:rsidR="008B507E" w:rsidRPr="009E1EA6">
              <w:rPr>
                <w:lang w:val="en-US"/>
              </w:rPr>
              <w:t>10</w:t>
            </w:r>
            <w:r w:rsidRPr="009E1EA6">
              <w:rPr>
                <w:lang w:val="en-US"/>
              </w:rPr>
              <w:t>)</w:t>
            </w:r>
          </w:p>
        </w:tc>
      </w:tr>
    </w:tbl>
    <w:p w14:paraId="54D7B755" w14:textId="4773344A" w:rsidR="00957B16" w:rsidRPr="009E1EA6" w:rsidRDefault="00873CBA" w:rsidP="00333B77">
      <w:pPr>
        <w:pStyle w:val="Textoindependiente"/>
        <w:ind w:firstLine="0"/>
      </w:pPr>
      <w:r w:rsidRPr="009E1EA6">
        <w:lastRenderedPageBreak/>
        <w:t xml:space="preserve">where </w:t>
      </w:r>
      <m:oMath>
        <m:r>
          <w:rPr>
            <w:rFonts w:ascii="Cambria Math" w:hAnsi="Cambria Math"/>
          </w:rPr>
          <m:t>δ</m:t>
        </m:r>
        <m:d>
          <m:dPr>
            <m:ctrlPr>
              <w:rPr>
                <w:rFonts w:ascii="Cambria Math" w:hAnsi="Cambria Math"/>
                <w:i/>
              </w:rPr>
            </m:ctrlPr>
          </m:dPr>
          <m:e>
            <m:r>
              <w:rPr>
                <w:rFonts w:ascii="Cambria Math" w:hAnsi="Cambria Math"/>
              </w:rPr>
              <m:t>∙</m:t>
            </m:r>
          </m:e>
        </m:d>
      </m:oMath>
      <w:r w:rsidR="008E4FCF" w:rsidRPr="009E1EA6">
        <w:t xml:space="preserve"> is the Dirac delta function, </w:t>
      </w:r>
      <m:oMath>
        <m:sSub>
          <m:sSubPr>
            <m:ctrlPr>
              <w:rPr>
                <w:rFonts w:ascii="Cambria Math" w:hAnsi="Cambria Math"/>
                <w:i/>
              </w:rPr>
            </m:ctrlPr>
          </m:sSubPr>
          <m:e>
            <m:r>
              <w:rPr>
                <w:rFonts w:ascii="Cambria Math" w:hAnsi="Cambria Math"/>
              </w:rPr>
              <m:t>d</m:t>
            </m:r>
          </m:e>
          <m:sub>
            <m:r>
              <w:rPr>
                <w:rFonts w:ascii="Cambria Math" w:hAnsi="Cambria Math"/>
              </w:rPr>
              <m:t>0</m:t>
            </m:r>
          </m:sub>
        </m:sSub>
        <m:r>
          <w:rPr>
            <w:rFonts w:ascii="Cambria Math" w:hAnsi="Cambria Math"/>
          </w:rPr>
          <m:t>=0.01m</m:t>
        </m:r>
      </m:oMath>
      <w:r w:rsidR="000675BC" w:rsidRPr="009E1EA6">
        <w:t xml:space="preserve"> is the displacement threshold of the equipment regarded as negligible or ‘zero’, </w:t>
      </w:r>
      <m:oMath>
        <m:acc>
          <m:accPr>
            <m:chr m:val="̃"/>
            <m:ctrlPr>
              <w:rPr>
                <w:rFonts w:ascii="Cambria Math" w:hAnsi="Cambria Math"/>
                <w:i/>
              </w:rPr>
            </m:ctrlPr>
          </m:accPr>
          <m:e>
            <m:r>
              <w:rPr>
                <w:rFonts w:ascii="Cambria Math" w:hAnsi="Cambria Math"/>
              </w:rPr>
              <m:t>p</m:t>
            </m:r>
          </m:e>
        </m:acc>
      </m:oMath>
      <w:r w:rsidR="000675BC" w:rsidRPr="009E1EA6">
        <w:t xml:space="preserve"> is the probability mass at </w:t>
      </w:r>
      <m:oMath>
        <m:r>
          <w:rPr>
            <w:rFonts w:ascii="Cambria Math" w:hAnsi="Cambria Math"/>
          </w:rPr>
          <m:t>D=</m:t>
        </m:r>
        <m:sSub>
          <m:sSubPr>
            <m:ctrlPr>
              <w:rPr>
                <w:rFonts w:ascii="Cambria Math" w:hAnsi="Cambria Math"/>
                <w:i/>
              </w:rPr>
            </m:ctrlPr>
          </m:sSubPr>
          <m:e>
            <m:r>
              <w:rPr>
                <w:rFonts w:ascii="Cambria Math" w:hAnsi="Cambria Math"/>
              </w:rPr>
              <m:t>d</m:t>
            </m:r>
          </m:e>
          <m:sub>
            <m:r>
              <w:rPr>
                <w:rFonts w:ascii="Cambria Math" w:hAnsi="Cambria Math"/>
              </w:rPr>
              <m:t>0</m:t>
            </m:r>
          </m:sub>
        </m:sSub>
      </m:oMath>
      <w:r w:rsidR="000D1FA8" w:rsidRPr="009E1EA6">
        <w:t>,</w:t>
      </w:r>
      <w:r w:rsidR="004639E1" w:rsidRPr="009E1EA6">
        <w:t xml:space="preserve"> which lumps all the displacement values </w:t>
      </w:r>
      <m:oMath>
        <m:r>
          <w:rPr>
            <w:rFonts w:ascii="Cambria Math" w:hAnsi="Cambria Math"/>
          </w:rPr>
          <m:t>D≤</m:t>
        </m:r>
        <m:sSub>
          <m:sSubPr>
            <m:ctrlPr>
              <w:rPr>
                <w:rFonts w:ascii="Cambria Math" w:hAnsi="Cambria Math"/>
                <w:i/>
              </w:rPr>
            </m:ctrlPr>
          </m:sSubPr>
          <m:e>
            <m:r>
              <w:rPr>
                <w:rFonts w:ascii="Cambria Math" w:hAnsi="Cambria Math"/>
              </w:rPr>
              <m:t>d</m:t>
            </m:r>
          </m:e>
          <m:sub>
            <m:r>
              <w:rPr>
                <w:rFonts w:ascii="Cambria Math" w:hAnsi="Cambria Math"/>
              </w:rPr>
              <m:t>0</m:t>
            </m:r>
          </m:sub>
        </m:sSub>
      </m:oMath>
      <w:r w:rsidR="000675BC" w:rsidRPr="009E1EA6">
        <w:t xml:space="preserve">, and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D</m:t>
            </m:r>
          </m:sub>
        </m:sSub>
        <m:r>
          <w:rPr>
            <w:rFonts w:ascii="Cambria Math" w:hAnsi="Cambria Math"/>
          </w:rPr>
          <m:t>(d)</m:t>
        </m:r>
      </m:oMath>
      <w:r w:rsidR="000675BC" w:rsidRPr="009E1EA6">
        <w:t xml:space="preserve"> is the pdf for </w:t>
      </w:r>
      <m:oMath>
        <m:r>
          <w:rPr>
            <w:rFonts w:ascii="Cambria Math" w:hAnsi="Cambria Math"/>
          </w:rPr>
          <m:t>D&gt;</m:t>
        </m:r>
        <m:sSub>
          <m:sSubPr>
            <m:ctrlPr>
              <w:rPr>
                <w:rFonts w:ascii="Cambria Math" w:hAnsi="Cambria Math"/>
                <w:i/>
              </w:rPr>
            </m:ctrlPr>
          </m:sSubPr>
          <m:e>
            <m:r>
              <w:rPr>
                <w:rFonts w:ascii="Cambria Math" w:hAnsi="Cambria Math"/>
              </w:rPr>
              <m:t>d</m:t>
            </m:r>
          </m:e>
          <m:sub>
            <m:r>
              <w:rPr>
                <w:rFonts w:ascii="Cambria Math" w:hAnsi="Cambria Math"/>
              </w:rPr>
              <m:t>0</m:t>
            </m:r>
          </m:sub>
        </m:sSub>
      </m:oMath>
      <w:r w:rsidR="000D1FA8" w:rsidRPr="009E1EA6">
        <w:t>.</w:t>
      </w:r>
      <w:r w:rsidR="001929EF" w:rsidRPr="009E1EA6">
        <w:t xml:space="preserve"> </w:t>
      </w:r>
      <w:r w:rsidR="00854046" w:rsidRPr="009E1EA6">
        <w:rPr>
          <w:szCs w:val="24"/>
          <w:shd w:val="clear" w:color="auto" w:fill="FFFFFF"/>
          <w:lang w:eastAsia="es-CL"/>
        </w:rPr>
        <w:t xml:space="preserve">This approach is similar to that used by Travasarou and Bray (2007) for the treatment of residual slope displacements computed from a stick-slip model. Nevertheless, if deemed necessary, other displacement thresholds can be </w:t>
      </w:r>
      <w:r w:rsidR="009C1AF1" w:rsidRPr="009E1EA6">
        <w:rPr>
          <w:szCs w:val="24"/>
          <w:shd w:val="clear" w:color="auto" w:fill="FFFFFF"/>
          <w:lang w:eastAsia="es-CL"/>
        </w:rPr>
        <w:t xml:space="preserve">adopted </w:t>
      </w:r>
      <w:r w:rsidR="00854046" w:rsidRPr="009E1EA6">
        <w:rPr>
          <w:szCs w:val="24"/>
          <w:shd w:val="clear" w:color="auto" w:fill="FFFFFF"/>
          <w:lang w:eastAsia="es-CL"/>
        </w:rPr>
        <w:t xml:space="preserve">within the proposed methodology. </w:t>
      </w:r>
      <w:r w:rsidR="001929EF" w:rsidRPr="009E1EA6">
        <w:t>From Equation (</w:t>
      </w:r>
      <w:r w:rsidR="008B507E" w:rsidRPr="009E1EA6">
        <w:t>10</w:t>
      </w:r>
      <w:r w:rsidR="00B430DB" w:rsidRPr="009E1EA6">
        <w:t>), the probability of exceeding a displacement level</w:t>
      </w:r>
      <m:oMath>
        <m:r>
          <w:rPr>
            <w:rFonts w:ascii="Cambria Math" w:hAnsi="Cambria Math"/>
          </w:rPr>
          <m:t xml:space="preserve"> d</m:t>
        </m:r>
      </m:oMath>
      <w:r w:rsidR="001A3171" w:rsidRPr="009E1EA6">
        <w:t>, i.e.,</w:t>
      </w:r>
      <m:oMath>
        <m:r>
          <w:rPr>
            <w:rFonts w:ascii="Cambria Math" w:hAnsi="Cambria Math"/>
          </w:rPr>
          <m:t xml:space="preserve"> P</m:t>
        </m:r>
        <m:d>
          <m:dPr>
            <m:ctrlPr>
              <w:rPr>
                <w:rFonts w:ascii="Cambria Math" w:hAnsi="Cambria Math"/>
                <w:i/>
              </w:rPr>
            </m:ctrlPr>
          </m:dPr>
          <m:e>
            <m:r>
              <w:rPr>
                <w:rFonts w:ascii="Cambria Math" w:hAnsi="Cambria Math"/>
              </w:rPr>
              <m:t>D&gt;d|y</m:t>
            </m:r>
          </m:e>
        </m:d>
      </m:oMath>
      <w:r w:rsidR="00B74A7C" w:rsidRPr="009E1EA6">
        <w:rPr>
          <w:rFonts w:ascii="Cambria Math" w:hAnsi="Cambria Math"/>
        </w:rPr>
        <w:t>,</w:t>
      </w:r>
      <w:r w:rsidR="001A3171" w:rsidRPr="009E1EA6">
        <w:t xml:space="preserve"> can be easily obtained.</w:t>
      </w:r>
    </w:p>
    <w:p w14:paraId="72A10AF9" w14:textId="77777777" w:rsidR="00C71D01" w:rsidRPr="009E1EA6" w:rsidRDefault="00B74A7C" w:rsidP="00333B77">
      <w:pPr>
        <w:pStyle w:val="Ttulo2"/>
        <w:rPr>
          <w:caps w:val="0"/>
        </w:rPr>
      </w:pPr>
      <w:r w:rsidRPr="009E1EA6">
        <w:rPr>
          <w:caps w:val="0"/>
        </w:rPr>
        <w:t>2.2.2 Maximum absolute block acceleration</w:t>
      </w:r>
    </w:p>
    <w:p w14:paraId="272EDD28" w14:textId="77777777" w:rsidR="00957B16" w:rsidRPr="009E1EA6" w:rsidRDefault="00B74A7C" w:rsidP="00333B77">
      <w:pPr>
        <w:pStyle w:val="Textoindependiente"/>
      </w:pPr>
      <w:r w:rsidRPr="009E1EA6">
        <w:t xml:space="preserve">For simply supported blocks on a fixed base, the maximum absolute block acceleration is </w:t>
      </w:r>
      <m:oMath>
        <m:r>
          <w:rPr>
            <w:rFonts w:ascii="Cambria Math" w:hAnsi="Cambria Math"/>
          </w:rPr>
          <m:t>A=</m:t>
        </m:r>
        <m:func>
          <m:funcPr>
            <m:ctrlPr>
              <w:rPr>
                <w:rFonts w:ascii="Cambria Math" w:hAnsi="Cambria Math"/>
                <w:i/>
              </w:rPr>
            </m:ctrlPr>
          </m:funcPr>
          <m:fName>
            <m:r>
              <m:rPr>
                <m:sty m:val="p"/>
              </m:rPr>
              <w:rPr>
                <w:rFonts w:ascii="Cambria Math" w:hAnsi="Cambria Math"/>
              </w:rPr>
              <m:t>max</m:t>
            </m:r>
          </m:fName>
          <m:e>
            <m:d>
              <m:dPr>
                <m:ctrlPr>
                  <w:rPr>
                    <w:rFonts w:ascii="Cambria Math" w:hAnsi="Cambria Math"/>
                    <w:i/>
                  </w:rPr>
                </m:ctrlPr>
              </m:dPr>
              <m:e>
                <m:d>
                  <m:dPr>
                    <m:begChr m:val="|"/>
                    <m:endChr m:val="|"/>
                    <m:ctrlPr>
                      <w:rPr>
                        <w:rFonts w:ascii="Cambria Math" w:hAnsi="Cambria Math"/>
                        <w:i/>
                      </w:rPr>
                    </m:ctrlPr>
                  </m:dPr>
                  <m:e>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g</m:t>
                        </m:r>
                      </m:sub>
                    </m:sSub>
                  </m:e>
                </m:d>
              </m:e>
            </m:d>
          </m:e>
        </m:func>
      </m:oMath>
      <w:r w:rsidRPr="009E1EA6">
        <w:t xml:space="preserve">. Based on Equation (2), the probability that </w:t>
      </w:r>
      <m:oMath>
        <m:r>
          <w:rPr>
            <w:rFonts w:ascii="Cambria Math" w:hAnsi="Cambria Math"/>
          </w:rPr>
          <m:t>A</m:t>
        </m:r>
      </m:oMath>
      <w:r w:rsidRPr="009E1EA6">
        <w:t xml:space="preserve"> exceeds a test value </w:t>
      </w:r>
      <m:oMath>
        <m:r>
          <w:rPr>
            <w:rFonts w:ascii="Cambria Math" w:hAnsi="Cambria Math"/>
          </w:rPr>
          <m:t>a</m:t>
        </m:r>
      </m:oMath>
      <w:r w:rsidR="009A743B" w:rsidRPr="009E1EA6">
        <w:t xml:space="preserve"> is therefore</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026916B6" w14:textId="77777777" w:rsidTr="00507159">
        <w:tc>
          <w:tcPr>
            <w:tcW w:w="8328" w:type="dxa"/>
            <w:vAlign w:val="center"/>
          </w:tcPr>
          <w:p w14:paraId="4BE7142F" w14:textId="77777777" w:rsidR="00CF4CBB" w:rsidRPr="009E1EA6" w:rsidRDefault="00B74A7C" w:rsidP="00333B77">
            <w:pPr>
              <w:pStyle w:val="Textoindependiente"/>
              <w:ind w:firstLine="0"/>
              <w:rPr>
                <w:szCs w:val="24"/>
                <w:lang w:val="en-US"/>
              </w:rPr>
            </w:pPr>
            <m:oMathPara>
              <m:oMath>
                <m:r>
                  <w:rPr>
                    <w:rFonts w:ascii="Cambria Math" w:hAnsi="Cambria Math"/>
                    <w:lang w:val="en-US"/>
                  </w:rPr>
                  <m:t>P</m:t>
                </m:r>
                <m:d>
                  <m:dPr>
                    <m:ctrlPr>
                      <w:rPr>
                        <w:rFonts w:ascii="Cambria Math" w:hAnsi="Cambria Math"/>
                        <w:i/>
                        <w:iCs/>
                        <w:lang w:val="en-US"/>
                      </w:rPr>
                    </m:ctrlPr>
                  </m:dPr>
                  <m:e>
                    <m:r>
                      <w:rPr>
                        <w:rFonts w:ascii="Cambria Math" w:hAnsi="Cambria Math"/>
                        <w:lang w:val="en-US"/>
                      </w:rPr>
                      <m:t>A&gt;a</m:t>
                    </m:r>
                  </m:e>
                  <m:e>
                    <m:r>
                      <w:rPr>
                        <w:rFonts w:ascii="Cambria Math" w:hAnsi="Cambria Math"/>
                        <w:lang w:val="en-US"/>
                      </w:rPr>
                      <m:t>PGA</m:t>
                    </m:r>
                  </m:e>
                </m:d>
                <m:r>
                  <w:rPr>
                    <w:rFonts w:ascii="Cambria Math" w:hAnsi="Cambria Math"/>
                    <w:lang w:val="en-US"/>
                  </w:rPr>
                  <m:t>=</m:t>
                </m:r>
                <m:d>
                  <m:dPr>
                    <m:begChr m:val="{"/>
                    <m:endChr m:val=""/>
                    <m:ctrlPr>
                      <w:rPr>
                        <w:rFonts w:ascii="Cambria Math" w:hAnsi="Cambria Math"/>
                        <w:i/>
                        <w:iCs/>
                        <w:lang w:val="en-US"/>
                      </w:rPr>
                    </m:ctrlPr>
                  </m:dPr>
                  <m:e>
                    <m:eqArr>
                      <m:eqArrPr>
                        <m:ctrlPr>
                          <w:rPr>
                            <w:rFonts w:ascii="Cambria Math" w:hAnsi="Cambria Math"/>
                            <w:i/>
                            <w:iCs/>
                            <w:lang w:val="en-US"/>
                          </w:rPr>
                        </m:ctrlPr>
                      </m:eqArrPr>
                      <m:e>
                        <m:r>
                          <w:rPr>
                            <w:rFonts w:ascii="Cambria Math" w:hAnsi="Cambria Math"/>
                            <w:lang w:val="en-US"/>
                          </w:rPr>
                          <m:t xml:space="preserve">  H</m:t>
                        </m:r>
                        <m:d>
                          <m:dPr>
                            <m:ctrlPr>
                              <w:rPr>
                                <w:rFonts w:ascii="Cambria Math" w:hAnsi="Cambria Math"/>
                                <w:i/>
                                <w:iCs/>
                                <w:lang w:val="en-US"/>
                              </w:rPr>
                            </m:ctrlPr>
                          </m:dPr>
                          <m:e>
                            <m:r>
                              <w:rPr>
                                <w:rFonts w:ascii="Cambria Math" w:hAnsi="Cambria Math"/>
                                <w:lang w:val="en-US"/>
                              </w:rPr>
                              <m:t>PGA-a</m:t>
                            </m:r>
                          </m:e>
                        </m:d>
                        <m:r>
                          <w:rPr>
                            <w:rFonts w:ascii="Cambria Math" w:hAnsi="Cambria Math"/>
                            <w:lang w:val="en-US"/>
                          </w:rPr>
                          <m:t>   </m:t>
                        </m:r>
                        <m:r>
                          <m:rPr>
                            <m:sty m:val="p"/>
                          </m:rPr>
                          <w:rPr>
                            <w:rFonts w:ascii="Cambria Math" w:hAnsi="Cambria Math"/>
                            <w:lang w:val="en-US"/>
                          </w:rPr>
                          <m:t>if</m:t>
                        </m:r>
                        <m:r>
                          <w:rPr>
                            <w:rFonts w:ascii="Cambria Math" w:hAnsi="Cambria Math"/>
                            <w:lang w:val="en-US"/>
                          </w:rPr>
                          <m:t>  PGA≤</m:t>
                        </m:r>
                        <m:sSub>
                          <m:sSubPr>
                            <m:ctrlPr>
                              <w:rPr>
                                <w:rFonts w:ascii="Cambria Math" w:hAnsi="Cambria Math"/>
                                <w:i/>
                                <w:iCs/>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g</m:t>
                        </m:r>
                      </m:e>
                      <m:e>
                        <m:r>
                          <w:rPr>
                            <w:rFonts w:ascii="Cambria Math" w:hAnsi="Cambria Math"/>
                            <w:lang w:val="en-US"/>
                          </w:rPr>
                          <m:t xml:space="preserve">  H</m:t>
                        </m:r>
                        <m:d>
                          <m:dPr>
                            <m:ctrlPr>
                              <w:rPr>
                                <w:rFonts w:ascii="Cambria Math" w:hAnsi="Cambria Math"/>
                                <w:i/>
                                <w:iCs/>
                                <w:lang w:val="en-US"/>
                              </w:rPr>
                            </m:ctrlPr>
                          </m:dPr>
                          <m:e>
                            <m:sSub>
                              <m:sSubPr>
                                <m:ctrlPr>
                                  <w:rPr>
                                    <w:rFonts w:ascii="Cambria Math" w:hAnsi="Cambria Math"/>
                                    <w:i/>
                                    <w:iCs/>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g-a</m:t>
                            </m:r>
                          </m:e>
                        </m:d>
                        <m:r>
                          <w:rPr>
                            <w:rFonts w:ascii="Cambria Math" w:hAnsi="Cambria Math"/>
                            <w:lang w:val="en-US"/>
                          </w:rPr>
                          <m:t xml:space="preserve">    </m:t>
                        </m:r>
                        <m:r>
                          <m:rPr>
                            <m:sty m:val="p"/>
                          </m:rPr>
                          <w:rPr>
                            <w:rFonts w:ascii="Cambria Math" w:hAnsi="Cambria Math"/>
                            <w:lang w:val="en-US"/>
                          </w:rPr>
                          <m:t xml:space="preserve">otherwise        </m:t>
                        </m:r>
                      </m:e>
                    </m:eqArr>
                  </m:e>
                </m:d>
              </m:oMath>
            </m:oMathPara>
          </w:p>
        </w:tc>
        <w:tc>
          <w:tcPr>
            <w:tcW w:w="903" w:type="dxa"/>
            <w:vAlign w:val="center"/>
          </w:tcPr>
          <w:p w14:paraId="7AFE21F1" w14:textId="77777777" w:rsidR="00CF4CBB" w:rsidRPr="009E1EA6" w:rsidRDefault="00B74A7C" w:rsidP="008B507E">
            <w:pPr>
              <w:pStyle w:val="Textoindependiente"/>
              <w:ind w:firstLine="0"/>
              <w:rPr>
                <w:lang w:val="en-US"/>
              </w:rPr>
            </w:pPr>
            <w:r w:rsidRPr="009E1EA6">
              <w:rPr>
                <w:lang w:val="en-US"/>
              </w:rPr>
              <w:t>(</w:t>
            </w:r>
            <w:r w:rsidR="008B507E" w:rsidRPr="009E1EA6">
              <w:rPr>
                <w:lang w:val="en-US"/>
              </w:rPr>
              <w:t>11</w:t>
            </w:r>
            <w:r w:rsidRPr="009E1EA6">
              <w:rPr>
                <w:lang w:val="en-US"/>
              </w:rPr>
              <w:t>)</w:t>
            </w:r>
          </w:p>
        </w:tc>
      </w:tr>
    </w:tbl>
    <w:p w14:paraId="1498F6D9" w14:textId="25B5EEFD" w:rsidR="00CF4CBB" w:rsidRPr="009E1EA6" w:rsidRDefault="00B74A7C" w:rsidP="00333B77">
      <w:pPr>
        <w:pStyle w:val="Textoindependiente"/>
        <w:ind w:firstLine="0"/>
      </w:pPr>
      <w:r w:rsidRPr="009E1EA6">
        <w:t xml:space="preserve">where </w:t>
      </w:r>
      <m:oMath>
        <m:r>
          <w:rPr>
            <w:rFonts w:ascii="Cambria Math" w:hAnsi="Cambria Math"/>
          </w:rPr>
          <m:t>H(⋅)</m:t>
        </m:r>
      </m:oMath>
      <w:r w:rsidR="009A6B64" w:rsidRPr="009E1EA6">
        <w:t xml:space="preserve"> is the Heaviside function. Equation (11) is also valid for equipment simply supported on an isolated base, except that the maximum block acceleration is </w:t>
      </w:r>
      <m:oMath>
        <m:r>
          <w:rPr>
            <w:rFonts w:ascii="Cambria Math" w:hAnsi="Cambria Math"/>
          </w:rPr>
          <m:t>A=</m:t>
        </m:r>
        <m:func>
          <m:funcPr>
            <m:ctrlPr>
              <w:rPr>
                <w:rFonts w:ascii="Cambria Math" w:hAnsi="Cambria Math"/>
                <w:i/>
              </w:rPr>
            </m:ctrlPr>
          </m:funcPr>
          <m:fName>
            <m:r>
              <m:rPr>
                <m:sty m:val="p"/>
              </m:rPr>
              <w:rPr>
                <w:rFonts w:ascii="Cambria Math" w:hAnsi="Cambria Math"/>
              </w:rPr>
              <m:t>max</m:t>
            </m:r>
          </m:fName>
          <m:e>
            <m:d>
              <m:dPr>
                <m:ctrlPr>
                  <w:rPr>
                    <w:rFonts w:ascii="Cambria Math" w:hAnsi="Cambria Math"/>
                    <w:i/>
                  </w:rPr>
                </m:ctrlPr>
              </m:dPr>
              <m:e>
                <m:d>
                  <m:dPr>
                    <m:begChr m:val="|"/>
                    <m:endChr m:val="|"/>
                    <m:ctrlPr>
                      <w:rPr>
                        <w:rFonts w:ascii="Cambria Math" w:hAnsi="Cambria Math"/>
                        <w:i/>
                      </w:rPr>
                    </m:ctrlPr>
                  </m:dPr>
                  <m:e>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g</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b</m:t>
                        </m:r>
                      </m:sub>
                    </m:sSub>
                  </m:e>
                </m:d>
              </m:e>
            </m:d>
          </m:e>
        </m:func>
      </m:oMath>
      <w:r w:rsidR="001A3171" w:rsidRPr="009E1EA6">
        <w:t xml:space="preserve">. For anchored equipment, the anchors transmit accelerations to the block in excess of </w:t>
      </w:r>
      <m:oMath>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001929EF" w:rsidRPr="009E1EA6">
        <w:rPr>
          <w:iCs/>
        </w:rPr>
        <w:t xml:space="preserve"> and Equation (</w:t>
      </w:r>
      <w:r w:rsidR="008B507E" w:rsidRPr="009E1EA6">
        <w:rPr>
          <w:iCs/>
        </w:rPr>
        <w:t>12</w:t>
      </w:r>
      <w:r w:rsidR="00A6160E" w:rsidRPr="009E1EA6">
        <w:rPr>
          <w:iCs/>
        </w:rPr>
        <w:t xml:space="preserve">) should be used instead. Since no analytical solution exists for </w:t>
      </w:r>
      <m:oMath>
        <m:r>
          <w:rPr>
            <w:rFonts w:ascii="Cambria Math" w:hAnsi="Cambria Math"/>
          </w:rPr>
          <m:t>A</m:t>
        </m:r>
      </m:oMath>
      <w:r w:rsidR="00A6160E" w:rsidRPr="009E1EA6">
        <w:rPr>
          <w:iCs/>
        </w:rPr>
        <w:t xml:space="preserve"> when </w:t>
      </w:r>
      <m:oMath>
        <m:r>
          <w:rPr>
            <w:rFonts w:ascii="Cambria Math" w:hAnsi="Cambria Math"/>
          </w:rPr>
          <m:t>PGA&gt;</m:t>
        </m:r>
        <m:sSub>
          <m:sSubPr>
            <m:ctrlPr>
              <w:rPr>
                <w:rFonts w:ascii="Cambria Math" w:hAnsi="Cambria Math"/>
                <w:i/>
                <w:iCs/>
              </w:rPr>
            </m:ctrlPr>
          </m:sSubPr>
          <m:e>
            <m:r>
              <w:rPr>
                <w:rFonts w:ascii="Cambria Math" w:hAnsi="Cambria Math"/>
              </w:rPr>
              <m:t>μ</m:t>
            </m:r>
          </m:e>
          <m:sub>
            <m:r>
              <w:rPr>
                <w:rFonts w:ascii="Cambria Math" w:hAnsi="Cambria Math"/>
              </w:rPr>
              <m:t>k</m:t>
            </m:r>
          </m:sub>
        </m:sSub>
        <m:d>
          <m:dPr>
            <m:ctrlPr>
              <w:rPr>
                <w:rFonts w:ascii="Cambria Math" w:hAnsi="Cambria Math"/>
                <w:i/>
              </w:rPr>
            </m:ctrlPr>
          </m:dPr>
          <m:e>
            <m:r>
              <w:rPr>
                <w:rFonts w:ascii="Cambria Math" w:eastAsiaTheme="minorEastAsia" w:hAnsi="Cambria Math"/>
                <w:szCs w:val="24"/>
              </w:rPr>
              <m:t>g+</m:t>
            </m:r>
            <m:f>
              <m:fPr>
                <m:ctrlPr>
                  <w:rPr>
                    <w:rFonts w:ascii="Cambria Math" w:eastAsiaTheme="minorEastAsia" w:hAnsi="Cambria Math"/>
                    <w:i/>
                    <w:szCs w:val="24"/>
                  </w:rPr>
                </m:ctrlPr>
              </m:fPr>
              <m:num>
                <m:r>
                  <w:rPr>
                    <w:rFonts w:ascii="Cambria Math" w:eastAsiaTheme="minorEastAsia" w:hAnsi="Cambria Math"/>
                    <w:szCs w:val="24"/>
                  </w:rPr>
                  <m:t>1</m:t>
                </m:r>
              </m:num>
              <m:den>
                <m:r>
                  <w:rPr>
                    <w:rFonts w:ascii="Cambria Math" w:eastAsiaTheme="minorEastAsia" w:hAnsi="Cambria Math"/>
                    <w:szCs w:val="24"/>
                  </w:rPr>
                  <m:t>m</m:t>
                </m:r>
              </m:den>
            </m:f>
            <m:r>
              <w:rPr>
                <w:rFonts w:ascii="Cambria Math" w:eastAsiaTheme="minorEastAsia" w:hAnsi="Cambria Math"/>
                <w:szCs w:val="24"/>
              </w:rPr>
              <m:t>FY</m:t>
            </m:r>
          </m:e>
        </m:d>
      </m:oMath>
      <w:r w:rsidR="00A6160E" w:rsidRPr="009E1EA6">
        <w:t>, the fragility function in this case must be evaluated numerically from IDAs.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535827D6" w14:textId="77777777" w:rsidTr="00507159">
        <w:tc>
          <w:tcPr>
            <w:tcW w:w="8328" w:type="dxa"/>
            <w:vAlign w:val="center"/>
          </w:tcPr>
          <w:p w14:paraId="4B429530" w14:textId="77777777" w:rsidR="006E2919" w:rsidRPr="009E1EA6" w:rsidRDefault="00B74A7C" w:rsidP="00E254AF">
            <w:pPr>
              <w:pStyle w:val="Textoindependiente"/>
              <w:ind w:firstLine="0"/>
              <w:rPr>
                <w:lang w:val="en-US"/>
              </w:rPr>
            </w:pPr>
            <m:oMathPara>
              <m:oMath>
                <m:r>
                  <w:rPr>
                    <w:rFonts w:ascii="Cambria Math" w:hAnsi="Cambria Math"/>
                    <w:lang w:val="en-US"/>
                  </w:rPr>
                  <m:t>P</m:t>
                </m:r>
                <m:d>
                  <m:dPr>
                    <m:ctrlPr>
                      <w:rPr>
                        <w:rFonts w:ascii="Cambria Math" w:hAnsi="Cambria Math"/>
                        <w:i/>
                        <w:iCs/>
                        <w:lang w:val="en-US"/>
                      </w:rPr>
                    </m:ctrlPr>
                  </m:dPr>
                  <m:e>
                    <m:r>
                      <w:rPr>
                        <w:rFonts w:ascii="Cambria Math" w:hAnsi="Cambria Math"/>
                        <w:lang w:val="en-US"/>
                      </w:rPr>
                      <m:t>A&gt;a</m:t>
                    </m:r>
                  </m:e>
                  <m:e>
                    <m:r>
                      <w:rPr>
                        <w:rFonts w:ascii="Cambria Math" w:hAnsi="Cambria Math"/>
                        <w:lang w:val="en-US"/>
                      </w:rPr>
                      <m:t>PGA</m:t>
                    </m:r>
                  </m:e>
                </m:d>
                <m:r>
                  <w:rPr>
                    <w:rFonts w:ascii="Cambria Math" w:hAnsi="Cambria Math"/>
                    <w:lang w:val="en-US"/>
                  </w:rPr>
                  <m:t>=</m:t>
                </m:r>
                <m:d>
                  <m:dPr>
                    <m:begChr m:val="{"/>
                    <m:endChr m:val=""/>
                    <m:ctrlPr>
                      <w:rPr>
                        <w:rFonts w:ascii="Cambria Math" w:hAnsi="Cambria Math"/>
                        <w:i/>
                        <w:iCs/>
                        <w:lang w:val="en-US"/>
                      </w:rPr>
                    </m:ctrlPr>
                  </m:dPr>
                  <m:e>
                    <m:eqArr>
                      <m:eqArrPr>
                        <m:ctrlPr>
                          <w:rPr>
                            <w:rFonts w:ascii="Cambria Math" w:hAnsi="Cambria Math"/>
                            <w:i/>
                            <w:iCs/>
                            <w:lang w:val="en-US"/>
                          </w:rPr>
                        </m:ctrlPr>
                      </m:eqArrPr>
                      <m:e>
                        <m:r>
                          <w:rPr>
                            <w:rFonts w:ascii="Cambria Math" w:hAnsi="Cambria Math"/>
                            <w:lang w:val="en-US"/>
                          </w:rPr>
                          <m:t xml:space="preserve">  H</m:t>
                        </m:r>
                        <m:d>
                          <m:dPr>
                            <m:ctrlPr>
                              <w:rPr>
                                <w:rFonts w:ascii="Cambria Math" w:hAnsi="Cambria Math"/>
                                <w:i/>
                                <w:iCs/>
                                <w:lang w:val="en-US"/>
                              </w:rPr>
                            </m:ctrlPr>
                          </m:dPr>
                          <m:e>
                            <m:r>
                              <w:rPr>
                                <w:rFonts w:ascii="Cambria Math" w:hAnsi="Cambria Math"/>
                                <w:lang w:val="en-US"/>
                              </w:rPr>
                              <m:t>PGA-a</m:t>
                            </m:r>
                          </m:e>
                        </m:d>
                        <m:r>
                          <w:rPr>
                            <w:rFonts w:ascii="Cambria Math" w:hAnsi="Cambria Math"/>
                            <w:lang w:val="en-US"/>
                          </w:rPr>
                          <m:t>   </m:t>
                        </m:r>
                        <m:r>
                          <m:rPr>
                            <m:sty m:val="p"/>
                          </m:rPr>
                          <w:rPr>
                            <w:rFonts w:ascii="Cambria Math" w:hAnsi="Cambria Math"/>
                            <w:lang w:val="en-US"/>
                          </w:rPr>
                          <m:t>if</m:t>
                        </m:r>
                        <m:r>
                          <w:rPr>
                            <w:rFonts w:ascii="Cambria Math" w:hAnsi="Cambria Math"/>
                            <w:lang w:val="en-US"/>
                          </w:rPr>
                          <m:t>  PGA≤</m:t>
                        </m:r>
                        <m:sSub>
                          <m:sSubPr>
                            <m:ctrlPr>
                              <w:rPr>
                                <w:rFonts w:ascii="Cambria Math" w:hAnsi="Cambria Math"/>
                                <w:i/>
                                <w:iCs/>
                                <w:lang w:val="en-US"/>
                              </w:rPr>
                            </m:ctrlPr>
                          </m:sSubPr>
                          <m:e>
                            <m:r>
                              <w:rPr>
                                <w:rFonts w:ascii="Cambria Math" w:hAnsi="Cambria Math"/>
                                <w:lang w:val="en-US"/>
                              </w:rPr>
                              <m:t>μ</m:t>
                            </m:r>
                          </m:e>
                          <m:sub>
                            <m:r>
                              <w:rPr>
                                <w:rFonts w:ascii="Cambria Math" w:hAnsi="Cambria Math"/>
                                <w:lang w:val="en-US"/>
                              </w:rPr>
                              <m:t>k</m:t>
                            </m:r>
                          </m:sub>
                        </m:sSub>
                        <m:d>
                          <m:dPr>
                            <m:ctrlPr>
                              <w:rPr>
                                <w:rFonts w:ascii="Cambria Math" w:hAnsi="Cambria Math"/>
                                <w:i/>
                                <w:lang w:val="en-US"/>
                              </w:rPr>
                            </m:ctrlPr>
                          </m:dPr>
                          <m:e>
                            <m:r>
                              <w:rPr>
                                <w:rFonts w:ascii="Cambria Math" w:hAnsi="Cambria Math"/>
                                <w:lang w:val="en-US"/>
                              </w:rPr>
                              <m:t>g+</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m</m:t>
                                </m:r>
                              </m:den>
                            </m:f>
                            <m:r>
                              <w:rPr>
                                <w:rFonts w:ascii="Cambria Math" w:hAnsi="Cambria Math"/>
                                <w:lang w:val="en-US"/>
                              </w:rPr>
                              <m:t>FY</m:t>
                            </m:r>
                          </m:e>
                        </m:d>
                      </m:e>
                      <m:e>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N</m:t>
                            </m:r>
                            <m:d>
                              <m:dPr>
                                <m:ctrlPr>
                                  <w:rPr>
                                    <w:rFonts w:ascii="Cambria Math" w:hAnsi="Cambria Math"/>
                                    <w:i/>
                                    <w:iCs/>
                                    <w:lang w:val="en-US"/>
                                  </w:rPr>
                                </m:ctrlPr>
                              </m:dPr>
                              <m:e>
                                <m:r>
                                  <w:rPr>
                                    <w:rFonts w:ascii="Cambria Math" w:hAnsi="Cambria Math"/>
                                    <w:lang w:val="en-US"/>
                                  </w:rPr>
                                  <m:t>A&gt;a</m:t>
                                </m:r>
                              </m:e>
                            </m:d>
                          </m:num>
                          <m:den>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t</m:t>
                                </m:r>
                              </m:sub>
                            </m:sSub>
                          </m:den>
                        </m:f>
                        <m:r>
                          <w:rPr>
                            <w:rFonts w:ascii="Cambria Math" w:hAnsi="Cambria Math"/>
                            <w:lang w:val="en-US"/>
                          </w:rPr>
                          <m:t xml:space="preserve"> </m:t>
                        </m:r>
                        <m:r>
                          <m:rPr>
                            <m:sty m:val="p"/>
                          </m:rPr>
                          <w:rPr>
                            <w:rFonts w:ascii="Cambria Math" w:hAnsi="Cambria Math"/>
                            <w:lang w:val="en-US"/>
                          </w:rPr>
                          <m:t xml:space="preserve">otherwise        </m:t>
                        </m:r>
                      </m:e>
                    </m:eqArr>
                  </m:e>
                </m:d>
              </m:oMath>
            </m:oMathPara>
          </w:p>
        </w:tc>
        <w:tc>
          <w:tcPr>
            <w:tcW w:w="903" w:type="dxa"/>
            <w:vAlign w:val="center"/>
          </w:tcPr>
          <w:p w14:paraId="54621F50" w14:textId="77777777" w:rsidR="006E2919" w:rsidRPr="009E1EA6" w:rsidRDefault="00B74A7C" w:rsidP="008B507E">
            <w:pPr>
              <w:pStyle w:val="Textoindependiente"/>
              <w:ind w:firstLine="0"/>
              <w:rPr>
                <w:lang w:val="en-US"/>
              </w:rPr>
            </w:pPr>
            <w:r w:rsidRPr="009E1EA6">
              <w:rPr>
                <w:lang w:val="en-US"/>
              </w:rPr>
              <w:t>(</w:t>
            </w:r>
            <w:r w:rsidR="008B507E" w:rsidRPr="009E1EA6">
              <w:rPr>
                <w:lang w:val="en-US"/>
              </w:rPr>
              <w:t>12</w:t>
            </w:r>
            <w:r w:rsidRPr="009E1EA6">
              <w:rPr>
                <w:lang w:val="en-US"/>
              </w:rPr>
              <w:t>)</w:t>
            </w:r>
          </w:p>
        </w:tc>
      </w:tr>
    </w:tbl>
    <w:p w14:paraId="77FD2C88" w14:textId="1CA77BC2" w:rsidR="00AF742C" w:rsidRPr="009E1EA6" w:rsidRDefault="00B74A7C" w:rsidP="00DB1BC6">
      <w:pPr>
        <w:pStyle w:val="Textoindependiente"/>
      </w:pPr>
      <w:r w:rsidRPr="009E1EA6">
        <w:t>In Equation (</w:t>
      </w:r>
      <w:r w:rsidR="000C6975" w:rsidRPr="009E1EA6">
        <w:t>12</w:t>
      </w:r>
      <w:r w:rsidRPr="009E1EA6">
        <w:t xml:space="preserve">), </w:t>
      </w:r>
      <m:oMath>
        <m:r>
          <w:rPr>
            <w:rFonts w:ascii="Cambria Math" w:hAnsi="Cambria Math"/>
          </w:rPr>
          <m:t>N</m:t>
        </m:r>
        <m:d>
          <m:dPr>
            <m:ctrlPr>
              <w:rPr>
                <w:rFonts w:ascii="Cambria Math" w:hAnsi="Cambria Math"/>
                <w:i/>
                <w:iCs/>
              </w:rPr>
            </m:ctrlPr>
          </m:dPr>
          <m:e>
            <m:r>
              <w:rPr>
                <w:rFonts w:ascii="Cambria Math" w:hAnsi="Cambria Math"/>
              </w:rPr>
              <m:t>A&gt;a</m:t>
            </m:r>
          </m:e>
        </m:d>
      </m:oMath>
      <w:r w:rsidRPr="009E1EA6">
        <w:rPr>
          <w:iCs/>
        </w:rPr>
        <w:t xml:space="preserve"> is the number of simulations in which </w:t>
      </w:r>
      <m:oMath>
        <m:r>
          <w:rPr>
            <w:rFonts w:ascii="Cambria Math" w:hAnsi="Cambria Math"/>
          </w:rPr>
          <m:t>A&gt;a</m:t>
        </m:r>
      </m:oMath>
      <w:r w:rsidRPr="009E1EA6">
        <w:rPr>
          <w:iCs/>
        </w:rPr>
        <w:t xml:space="preserve">, and </w:t>
      </w:r>
      <m:oMath>
        <m:sSub>
          <m:sSubPr>
            <m:ctrlPr>
              <w:rPr>
                <w:rFonts w:ascii="Cambria Math" w:hAnsi="Cambria Math"/>
                <w:i/>
                <w:lang w:eastAsia="es-MX"/>
              </w:rPr>
            </m:ctrlPr>
          </m:sSubPr>
          <m:e>
            <m:r>
              <w:rPr>
                <w:rFonts w:ascii="Cambria Math" w:hAnsi="Cambria Math"/>
              </w:rPr>
              <m:t>N</m:t>
            </m:r>
          </m:e>
          <m:sub>
            <m:r>
              <w:rPr>
                <w:rFonts w:ascii="Cambria Math" w:hAnsi="Cambria Math"/>
              </w:rPr>
              <m:t>t</m:t>
            </m:r>
          </m:sub>
        </m:sSub>
      </m:oMath>
      <w:r w:rsidRPr="009E1EA6">
        <w:rPr>
          <w:lang w:eastAsia="es-MX"/>
        </w:rPr>
        <w:t xml:space="preserve"> is the total number of </w:t>
      </w:r>
      <w:r w:rsidRPr="009E1EA6">
        <w:rPr>
          <w:iCs/>
        </w:rPr>
        <w:t>simulations</w:t>
      </w:r>
      <w:r w:rsidRPr="009E1EA6">
        <w:rPr>
          <w:lang w:eastAsia="es-MX"/>
        </w:rPr>
        <w:t xml:space="preserve">. Computing </w:t>
      </w:r>
      <m:oMath>
        <m:r>
          <w:rPr>
            <w:rFonts w:ascii="Cambria Math" w:hAnsi="Cambria Math"/>
          </w:rPr>
          <m:t>P</m:t>
        </m:r>
        <m:d>
          <m:dPr>
            <m:ctrlPr>
              <w:rPr>
                <w:rFonts w:ascii="Cambria Math" w:hAnsi="Cambria Math"/>
                <w:i/>
                <w:iCs/>
              </w:rPr>
            </m:ctrlPr>
          </m:dPr>
          <m:e>
            <m:r>
              <w:rPr>
                <w:rFonts w:ascii="Cambria Math" w:hAnsi="Cambria Math"/>
              </w:rPr>
              <m:t>A&gt;a</m:t>
            </m:r>
          </m:e>
          <m:e>
            <m:r>
              <w:rPr>
                <w:rFonts w:ascii="Cambria Math" w:hAnsi="Cambria Math"/>
              </w:rPr>
              <m:t>PGA</m:t>
            </m:r>
          </m:e>
        </m:d>
      </m:oMath>
      <w:r w:rsidRPr="009E1EA6">
        <w:rPr>
          <w:iCs/>
        </w:rPr>
        <w:t xml:space="preserve"> according to Equation (</w:t>
      </w:r>
      <w:r w:rsidR="008B507E" w:rsidRPr="009E1EA6">
        <w:rPr>
          <w:iCs/>
        </w:rPr>
        <w:t>11</w:t>
      </w:r>
      <w:r w:rsidRPr="009E1EA6">
        <w:rPr>
          <w:iCs/>
        </w:rPr>
        <w:t>) or (</w:t>
      </w:r>
      <w:r w:rsidR="008B507E" w:rsidRPr="009E1EA6">
        <w:rPr>
          <w:iCs/>
        </w:rPr>
        <w:t>12</w:t>
      </w:r>
      <w:r w:rsidRPr="009E1EA6">
        <w:t xml:space="preserve">) is immediate, and it can be achieved without resorting </w:t>
      </w:r>
      <w:r w:rsidR="000D1FA8" w:rsidRPr="009E1EA6">
        <w:t xml:space="preserve">to </w:t>
      </w:r>
      <w:r w:rsidRPr="009E1EA6">
        <w:t xml:space="preserve">analytical fragility functions. All fragility functions presented herein use PGA as the ground motion intensity measure (IM) because hazard analyses for PGA are widely available in engineering practice and easier to communicate to decision makers. Nevertheless, the same scheme is applicable to other IMs used to predict sliding of rigid blocks </w:t>
      </w:r>
      <w:r w:rsidR="00C1795C" w:rsidRPr="009E1EA6">
        <w:t>(</w:t>
      </w:r>
      <w:r w:rsidRPr="009E1EA6">
        <w:t>e.g., Hutchinson and Chaudhuri 2006, Gelagoti et al. 2012</w:t>
      </w:r>
      <w:r w:rsidR="00C1795C" w:rsidRPr="009E1EA6">
        <w:t>)</w:t>
      </w:r>
      <w:r w:rsidRPr="009E1EA6">
        <w:t>.</w:t>
      </w:r>
    </w:p>
    <w:p w14:paraId="46A25DE8" w14:textId="77777777" w:rsidR="00AF742C" w:rsidRPr="009E1EA6" w:rsidRDefault="00B74A7C" w:rsidP="00333B77">
      <w:pPr>
        <w:pStyle w:val="Ttulo2"/>
      </w:pPr>
      <w:r w:rsidRPr="009E1EA6">
        <w:lastRenderedPageBreak/>
        <w:t>2.3 EVALUATION OF SEISMIC RISK</w:t>
      </w:r>
    </w:p>
    <w:p w14:paraId="5DF97AE6" w14:textId="77777777" w:rsidR="00AF742C" w:rsidRPr="009E1EA6" w:rsidRDefault="00B74A7C" w:rsidP="00507159">
      <w:pPr>
        <w:pStyle w:val="Textoindependiente"/>
        <w:ind w:firstLine="425"/>
      </w:pPr>
      <w:r w:rsidRPr="009E1EA6">
        <w:t xml:space="preserve">The rate of exceedance of the maximum block displacements </w:t>
      </w:r>
      <m:oMath>
        <m:sSub>
          <m:sSubPr>
            <m:ctrlPr>
              <w:rPr>
                <w:rFonts w:ascii="Cambria Math" w:hAnsi="Cambria Math"/>
                <w:i/>
              </w:rPr>
            </m:ctrlPr>
          </m:sSubPr>
          <m:e>
            <m:r>
              <w:rPr>
                <w:rFonts w:ascii="Cambria Math" w:hAnsi="Cambria Math"/>
              </w:rPr>
              <m:t>λ</m:t>
            </m:r>
          </m:e>
          <m:sub>
            <m:r>
              <w:rPr>
                <w:rFonts w:ascii="Cambria Math" w:hAnsi="Cambria Math"/>
              </w:rPr>
              <m:t>D</m:t>
            </m:r>
          </m:sub>
        </m:sSub>
        <m:d>
          <m:dPr>
            <m:ctrlPr>
              <w:rPr>
                <w:rFonts w:ascii="Cambria Math" w:hAnsi="Cambria Math"/>
                <w:i/>
              </w:rPr>
            </m:ctrlPr>
          </m:dPr>
          <m:e>
            <m:r>
              <w:rPr>
                <w:rFonts w:ascii="Cambria Math" w:hAnsi="Cambria Math"/>
              </w:rPr>
              <m:t>d</m:t>
            </m:r>
          </m:e>
        </m:d>
      </m:oMath>
      <w:r w:rsidR="00176B01" w:rsidRPr="009E1EA6">
        <w:t xml:space="preserve"> can be obtained as the convolution of the displacement fragility function </w:t>
      </w:r>
      <m:oMath>
        <m:r>
          <w:rPr>
            <w:rFonts w:ascii="Cambria Math" w:hAnsi="Cambria Math"/>
          </w:rPr>
          <m:t>P</m:t>
        </m:r>
        <m:d>
          <m:dPr>
            <m:endChr m:val="|"/>
            <m:ctrlPr>
              <w:rPr>
                <w:rFonts w:ascii="Cambria Math" w:hAnsi="Cambria Math"/>
                <w:i/>
              </w:rPr>
            </m:ctrlPr>
          </m:dPr>
          <m:e>
            <m:r>
              <w:rPr>
                <w:rFonts w:ascii="Cambria Math" w:hAnsi="Cambria Math"/>
              </w:rPr>
              <m:t xml:space="preserve">D&gt;d </m:t>
            </m:r>
          </m:e>
        </m:d>
        <m:r>
          <w:rPr>
            <w:rFonts w:ascii="Cambria Math" w:hAnsi="Cambria Math"/>
          </w:rPr>
          <m:t xml:space="preserve"> y)</m:t>
        </m:r>
      </m:oMath>
      <w:r w:rsidR="00176B01" w:rsidRPr="009E1EA6">
        <w:t xml:space="preserve"> and the site-specific seismic hazard curve </w:t>
      </w:r>
      <m:oMath>
        <m:sSub>
          <m:sSubPr>
            <m:ctrlPr>
              <w:rPr>
                <w:rFonts w:ascii="Cambria Math" w:hAnsi="Cambria Math"/>
                <w:i/>
                <w:lang w:eastAsia="es-MX"/>
              </w:rPr>
            </m:ctrlPr>
          </m:sSubPr>
          <m:e>
            <m:r>
              <w:rPr>
                <w:rFonts w:ascii="Cambria Math" w:hAnsi="Cambria Math"/>
              </w:rPr>
              <m:t>λ</m:t>
            </m:r>
            <m:ctrlPr>
              <w:rPr>
                <w:rFonts w:ascii="Cambria Math" w:hAnsi="Cambria Math"/>
                <w:i/>
              </w:rPr>
            </m:ctrlPr>
          </m:e>
          <m:sub>
            <m:r>
              <w:rPr>
                <w:rFonts w:ascii="Cambria Math" w:hAnsi="Cambria Math"/>
              </w:rPr>
              <m:t>y</m:t>
            </m:r>
          </m:sub>
        </m:sSub>
        <m:d>
          <m:dPr>
            <m:ctrlPr>
              <w:rPr>
                <w:rFonts w:ascii="Cambria Math" w:hAnsi="Cambria Math"/>
                <w:i/>
              </w:rPr>
            </m:ctrlPr>
          </m:dPr>
          <m:e>
            <m:r>
              <w:rPr>
                <w:rFonts w:ascii="Cambria Math" w:hAnsi="Cambria Math"/>
              </w:rPr>
              <m:t>y</m:t>
            </m:r>
          </m:e>
        </m:d>
      </m:oMath>
      <w:r w:rsidR="00176B01" w:rsidRPr="009E1EA6">
        <w:t xml:space="preserve">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5DDC2CBC" w14:textId="77777777" w:rsidTr="00DF51ED">
        <w:tc>
          <w:tcPr>
            <w:tcW w:w="8328" w:type="dxa"/>
            <w:vAlign w:val="center"/>
          </w:tcPr>
          <w:p w14:paraId="46ECBFCB" w14:textId="77777777" w:rsidR="00AF742C" w:rsidRPr="009E1EA6" w:rsidRDefault="006E3CB7" w:rsidP="00333B77">
            <w:pPr>
              <w:pStyle w:val="Textoindependiente"/>
              <w:ind w:firstLine="0"/>
              <w:rPr>
                <w:szCs w:val="24"/>
                <w:lang w:val="en-US"/>
              </w:rPr>
            </w:pPr>
            <m:oMathPara>
              <m:oMath>
                <m:sSub>
                  <m:sSubPr>
                    <m:ctrlPr>
                      <w:rPr>
                        <w:rFonts w:ascii="Cambria Math" w:hAnsi="Cambria Math"/>
                        <w:i/>
                        <w:lang w:val="en-US"/>
                      </w:rPr>
                    </m:ctrlPr>
                  </m:sSubPr>
                  <m:e>
                    <m:r>
                      <w:rPr>
                        <w:rFonts w:ascii="Cambria Math" w:hAnsi="Cambria Math"/>
                        <w:szCs w:val="24"/>
                        <w:lang w:val="en-US"/>
                      </w:rPr>
                      <m:t>λ</m:t>
                    </m:r>
                  </m:e>
                  <m:sub>
                    <m:r>
                      <w:rPr>
                        <w:rFonts w:ascii="Cambria Math" w:hAnsi="Cambria Math"/>
                        <w:lang w:val="en-US"/>
                      </w:rPr>
                      <m:t>D</m:t>
                    </m:r>
                  </m:sub>
                </m:sSub>
                <m:d>
                  <m:dPr>
                    <m:ctrlPr>
                      <w:rPr>
                        <w:rFonts w:ascii="Cambria Math" w:hAnsi="Cambria Math"/>
                        <w:i/>
                        <w:lang w:val="en-US"/>
                      </w:rPr>
                    </m:ctrlPr>
                  </m:dPr>
                  <m:e>
                    <m:r>
                      <w:rPr>
                        <w:rFonts w:ascii="Cambria Math" w:hAnsi="Cambria Math"/>
                        <w:lang w:val="en-US"/>
                      </w:rPr>
                      <m:t>d</m:t>
                    </m:r>
                  </m:e>
                </m:d>
                <m:r>
                  <w:rPr>
                    <w:rFonts w:ascii="Cambria Math" w:hAnsi="Cambria Math"/>
                    <w:lang w:val="en-US"/>
                  </w:rPr>
                  <m:t>=-</m:t>
                </m:r>
                <m:nary>
                  <m:naryPr>
                    <m:limLoc m:val="subSup"/>
                    <m:ctrlPr>
                      <w:rPr>
                        <w:rFonts w:ascii="Cambria Math" w:hAnsi="Cambria Math"/>
                        <w:i/>
                        <w:lang w:val="en-US"/>
                      </w:rPr>
                    </m:ctrlPr>
                  </m:naryPr>
                  <m:sub>
                    <m:r>
                      <w:rPr>
                        <w:rFonts w:ascii="Cambria Math" w:hAnsi="Cambria Math"/>
                        <w:lang w:val="en-US"/>
                      </w:rPr>
                      <m:t>y</m:t>
                    </m:r>
                  </m:sub>
                  <m:sup/>
                  <m:e>
                    <m:r>
                      <w:rPr>
                        <w:rFonts w:ascii="Cambria Math" w:hAnsi="Cambria Math"/>
                        <w:lang w:val="en-US"/>
                      </w:rPr>
                      <m:t>P</m:t>
                    </m:r>
                    <m:d>
                      <m:dPr>
                        <m:endChr m:val="|"/>
                        <m:ctrlPr>
                          <w:rPr>
                            <w:rFonts w:ascii="Cambria Math" w:hAnsi="Cambria Math"/>
                            <w:i/>
                            <w:lang w:val="en-US"/>
                          </w:rPr>
                        </m:ctrlPr>
                      </m:dPr>
                      <m:e>
                        <m:r>
                          <w:rPr>
                            <w:rFonts w:ascii="Cambria Math" w:hAnsi="Cambria Math"/>
                            <w:lang w:val="en-US"/>
                          </w:rPr>
                          <m:t xml:space="preserve">D&gt;d </m:t>
                        </m:r>
                      </m:e>
                    </m:d>
                    <m:r>
                      <w:rPr>
                        <w:rFonts w:ascii="Cambria Math" w:hAnsi="Cambria Math"/>
                        <w:lang w:val="en-US"/>
                      </w:rPr>
                      <m:t xml:space="preserve"> y)</m:t>
                    </m:r>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y</m:t>
                            </m:r>
                          </m:sub>
                        </m:sSub>
                        <m:r>
                          <w:rPr>
                            <w:rFonts w:ascii="Cambria Math" w:hAnsi="Cambria Math"/>
                            <w:lang w:val="en-US"/>
                          </w:rPr>
                          <m:t>(y)</m:t>
                        </m:r>
                      </m:num>
                      <m:den>
                        <m:r>
                          <w:rPr>
                            <w:rFonts w:ascii="Cambria Math" w:hAnsi="Cambria Math"/>
                            <w:lang w:val="en-US"/>
                          </w:rPr>
                          <m:t>dy</m:t>
                        </m:r>
                      </m:den>
                    </m:f>
                    <m:r>
                      <w:rPr>
                        <w:rFonts w:ascii="Cambria Math" w:hAnsi="Cambria Math"/>
                        <w:lang w:val="en-US"/>
                      </w:rPr>
                      <m:t>dy</m:t>
                    </m:r>
                  </m:e>
                </m:nary>
              </m:oMath>
            </m:oMathPara>
          </w:p>
        </w:tc>
        <w:tc>
          <w:tcPr>
            <w:tcW w:w="903" w:type="dxa"/>
            <w:vAlign w:val="center"/>
          </w:tcPr>
          <w:p w14:paraId="03869A5A" w14:textId="77777777" w:rsidR="00AF742C" w:rsidRPr="009E1EA6" w:rsidRDefault="00B74A7C" w:rsidP="008B507E">
            <w:pPr>
              <w:pStyle w:val="Textoindependiente"/>
              <w:ind w:firstLine="0"/>
              <w:rPr>
                <w:lang w:val="en-US"/>
              </w:rPr>
            </w:pPr>
            <w:r w:rsidRPr="009E1EA6">
              <w:rPr>
                <w:lang w:val="en-US"/>
              </w:rPr>
              <w:t>(</w:t>
            </w:r>
            <w:r w:rsidR="008B507E" w:rsidRPr="009E1EA6">
              <w:rPr>
                <w:lang w:val="en-US"/>
              </w:rPr>
              <w:t>13</w:t>
            </w:r>
            <w:r w:rsidRPr="009E1EA6">
              <w:rPr>
                <w:lang w:val="en-US"/>
              </w:rPr>
              <w:t>)</w:t>
            </w:r>
          </w:p>
        </w:tc>
      </w:tr>
    </w:tbl>
    <w:p w14:paraId="62AD116B" w14:textId="77777777" w:rsidR="00F23DB7" w:rsidRPr="009E1EA6" w:rsidRDefault="00C40E72" w:rsidP="00333B77">
      <w:pPr>
        <w:pStyle w:val="Textoindependiente"/>
        <w:ind w:firstLine="0"/>
      </w:pPr>
      <w:r w:rsidRPr="009E1EA6">
        <w:t xml:space="preserve">A similar approach is used to compute the rate of exceedance of the maximum block acceleration </w:t>
      </w:r>
      <m:oMath>
        <m:sSub>
          <m:sSubPr>
            <m:ctrlPr>
              <w:rPr>
                <w:rFonts w:ascii="Cambria Math" w:hAnsi="Cambria Math"/>
                <w:i/>
              </w:rPr>
            </m:ctrlPr>
          </m:sSubPr>
          <m:e>
            <m:r>
              <w:rPr>
                <w:rFonts w:ascii="Cambria Math" w:hAnsi="Cambria Math"/>
              </w:rPr>
              <m:t>λ</m:t>
            </m:r>
          </m:e>
          <m:sub>
            <m:r>
              <w:rPr>
                <w:rFonts w:ascii="Cambria Math" w:hAnsi="Cambria Math"/>
              </w:rPr>
              <m:t>A</m:t>
            </m:r>
          </m:sub>
        </m:sSub>
        <m:d>
          <m:dPr>
            <m:ctrlPr>
              <w:rPr>
                <w:rFonts w:ascii="Cambria Math" w:hAnsi="Cambria Math"/>
                <w:i/>
              </w:rPr>
            </m:ctrlPr>
          </m:dPr>
          <m:e>
            <m:r>
              <w:rPr>
                <w:rFonts w:ascii="Cambria Math" w:hAnsi="Cambria Math"/>
              </w:rPr>
              <m:t>a</m:t>
            </m:r>
          </m:e>
        </m:d>
      </m:oMath>
      <w:r w:rsidR="001929EF" w:rsidRPr="009E1EA6">
        <w:t>; for simply supported equipment on a fixed base or an isolated base, a close inspection of Equations (</w:t>
      </w:r>
      <w:r w:rsidR="008B507E" w:rsidRPr="009E1EA6">
        <w:t>11</w:t>
      </w:r>
      <w:r w:rsidR="001929EF" w:rsidRPr="009E1EA6">
        <w:t>) and (</w:t>
      </w:r>
      <w:r w:rsidR="008B507E" w:rsidRPr="009E1EA6">
        <w:t>13</w:t>
      </w:r>
      <w:r w:rsidRPr="009E1EA6">
        <w:t>) leads to</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6"/>
        <w:gridCol w:w="905"/>
      </w:tblGrid>
      <w:tr w:rsidR="009E1EA6" w:rsidRPr="009E1EA6" w14:paraId="74E287A5" w14:textId="77777777" w:rsidTr="00176B01">
        <w:tc>
          <w:tcPr>
            <w:tcW w:w="8326" w:type="dxa"/>
            <w:vAlign w:val="center"/>
          </w:tcPr>
          <w:p w14:paraId="24823002" w14:textId="77777777" w:rsidR="00C40E72" w:rsidRPr="009E1EA6" w:rsidRDefault="006E3CB7" w:rsidP="00333B77">
            <w:pPr>
              <w:pStyle w:val="Textoindependiente"/>
              <w:ind w:firstLine="0"/>
              <w:rPr>
                <w:szCs w:val="24"/>
                <w:lang w:val="en-US"/>
              </w:rPr>
            </w:pPr>
            <m:oMathPara>
              <m:oMath>
                <m:sSub>
                  <m:sSubPr>
                    <m:ctrlPr>
                      <w:rPr>
                        <w:rFonts w:ascii="Cambria Math" w:hAnsi="Cambria Math"/>
                        <w:i/>
                        <w:lang w:val="en-US"/>
                      </w:rPr>
                    </m:ctrlPr>
                  </m:sSubPr>
                  <m:e>
                    <m:r>
                      <w:rPr>
                        <w:rFonts w:ascii="Cambria Math" w:hAnsi="Cambria Math"/>
                        <w:szCs w:val="24"/>
                        <w:lang w:val="en-US"/>
                      </w:rPr>
                      <m:t>λ</m:t>
                    </m:r>
                  </m:e>
                  <m:sub>
                    <m:r>
                      <w:rPr>
                        <w:rFonts w:ascii="Cambria Math" w:hAnsi="Cambria Math"/>
                        <w:lang w:val="en-US"/>
                      </w:rPr>
                      <m:t>A</m:t>
                    </m:r>
                  </m:sub>
                </m:sSub>
                <m:d>
                  <m:dPr>
                    <m:ctrlPr>
                      <w:rPr>
                        <w:rFonts w:ascii="Cambria Math" w:hAnsi="Cambria Math"/>
                        <w:i/>
                        <w:lang w:val="en-US"/>
                      </w:rPr>
                    </m:ctrlPr>
                  </m:dPr>
                  <m:e>
                    <m:r>
                      <w:rPr>
                        <w:rFonts w:ascii="Cambria Math" w:hAnsi="Cambria Math"/>
                        <w:lang w:val="en-US"/>
                      </w:rPr>
                      <m:t>a</m:t>
                    </m:r>
                  </m:e>
                </m:d>
                <m:r>
                  <w:rPr>
                    <w:rFonts w:ascii="Cambria Math" w:hAnsi="Cambria Math"/>
                    <w:lang w:val="en-US"/>
                  </w:rPr>
                  <m:t>=</m:t>
                </m:r>
                <m:d>
                  <m:dPr>
                    <m:begChr m:val="{"/>
                    <m:endChr m:val=""/>
                    <m:ctrlPr>
                      <w:rPr>
                        <w:rFonts w:ascii="Cambria Math" w:hAnsi="Cambria Math"/>
                        <w:i/>
                        <w:iCs/>
                        <w:lang w:val="en-US"/>
                      </w:rPr>
                    </m:ctrlPr>
                  </m:dPr>
                  <m:e>
                    <m:eqArr>
                      <m:eqArrPr>
                        <m:ctrlPr>
                          <w:rPr>
                            <w:rFonts w:ascii="Cambria Math" w:hAnsi="Cambria Math"/>
                            <w:i/>
                            <w:iCs/>
                            <w:lang w:val="en-US"/>
                          </w:rPr>
                        </m:ctrlPr>
                      </m:eqArrPr>
                      <m:e>
                        <m:sSub>
                          <m:sSubPr>
                            <m:ctrlPr>
                              <w:rPr>
                                <w:rFonts w:ascii="Cambria Math" w:hAnsi="Cambria Math"/>
                                <w:i/>
                                <w:iCs/>
                                <w:lang w:val="en-US"/>
                              </w:rPr>
                            </m:ctrlPr>
                          </m:sSubPr>
                          <m:e>
                            <m:r>
                              <w:rPr>
                                <w:rFonts w:ascii="Cambria Math" w:hAnsi="Cambria Math"/>
                                <w:lang w:val="en-US"/>
                              </w:rPr>
                              <m:t>λ</m:t>
                            </m:r>
                          </m:e>
                          <m:sub>
                            <m:r>
                              <w:rPr>
                                <w:rFonts w:ascii="Cambria Math" w:hAnsi="Cambria Math"/>
                                <w:lang w:val="en-US"/>
                              </w:rPr>
                              <m:t>y</m:t>
                            </m:r>
                          </m:sub>
                        </m:sSub>
                        <m:d>
                          <m:dPr>
                            <m:ctrlPr>
                              <w:rPr>
                                <w:rFonts w:ascii="Cambria Math" w:hAnsi="Cambria Math"/>
                                <w:i/>
                                <w:iCs/>
                                <w:lang w:val="en-US"/>
                              </w:rPr>
                            </m:ctrlPr>
                          </m:dPr>
                          <m:e>
                            <m:r>
                              <w:rPr>
                                <w:rFonts w:ascii="Cambria Math" w:hAnsi="Cambria Math"/>
                                <w:lang w:val="en-US"/>
                              </w:rPr>
                              <m:t>a</m:t>
                            </m:r>
                          </m:e>
                        </m:d>
                        <m:r>
                          <w:rPr>
                            <w:rFonts w:ascii="Cambria Math" w:hAnsi="Cambria Math"/>
                            <w:lang w:val="en-US"/>
                          </w:rPr>
                          <m:t xml:space="preserve">     </m:t>
                        </m:r>
                        <m:r>
                          <m:rPr>
                            <m:sty m:val="p"/>
                          </m:rPr>
                          <w:rPr>
                            <w:rFonts w:ascii="Cambria Math" w:hAnsi="Cambria Math"/>
                            <w:lang w:val="en-US"/>
                          </w:rPr>
                          <m:t>if</m:t>
                        </m:r>
                        <m:r>
                          <w:rPr>
                            <w:rFonts w:ascii="Cambria Math" w:hAnsi="Cambria Math"/>
                            <w:lang w:val="en-US"/>
                          </w:rPr>
                          <m:t>   a≤</m:t>
                        </m:r>
                        <m:sSub>
                          <m:sSubPr>
                            <m:ctrlPr>
                              <w:rPr>
                                <w:rFonts w:ascii="Cambria Math" w:hAnsi="Cambria Math"/>
                                <w:i/>
                                <w:iCs/>
                                <w:lang w:val="en-US"/>
                              </w:rPr>
                            </m:ctrlPr>
                          </m:sSubPr>
                          <m:e>
                            <m:r>
                              <w:rPr>
                                <w:rFonts w:ascii="Cambria Math" w:hAnsi="Cambria Math"/>
                                <w:lang w:val="en-US"/>
                              </w:rPr>
                              <m:t>μ</m:t>
                            </m:r>
                          </m:e>
                          <m:sub>
                            <m:r>
                              <w:rPr>
                                <w:rFonts w:ascii="Cambria Math" w:hAnsi="Cambria Math"/>
                                <w:lang w:val="en-US"/>
                              </w:rPr>
                              <m:t>k</m:t>
                            </m:r>
                          </m:sub>
                        </m:sSub>
                        <m:r>
                          <w:rPr>
                            <w:rFonts w:ascii="Cambria Math" w:hAnsi="Cambria Math"/>
                            <w:lang w:val="en-US"/>
                          </w:rPr>
                          <m:t>g</m:t>
                        </m:r>
                      </m:e>
                      <m:e>
                        <m:r>
                          <w:rPr>
                            <w:rFonts w:ascii="Cambria Math" w:hAnsi="Cambria Math"/>
                            <w:lang w:val="en-US"/>
                          </w:rPr>
                          <m:t xml:space="preserve">  0             </m:t>
                        </m:r>
                        <m:r>
                          <m:rPr>
                            <m:sty m:val="p"/>
                          </m:rPr>
                          <w:rPr>
                            <w:rFonts w:ascii="Cambria Math" w:hAnsi="Cambria Math"/>
                            <w:lang w:val="en-US"/>
                          </w:rPr>
                          <m:t xml:space="preserve">otherwise   </m:t>
                        </m:r>
                        <m:r>
                          <w:rPr>
                            <w:rFonts w:ascii="Cambria Math" w:hAnsi="Cambria Math"/>
                            <w:lang w:val="en-US"/>
                          </w:rPr>
                          <m:t> </m:t>
                        </m:r>
                      </m:e>
                    </m:eqArr>
                  </m:e>
                </m:d>
              </m:oMath>
            </m:oMathPara>
          </w:p>
        </w:tc>
        <w:tc>
          <w:tcPr>
            <w:tcW w:w="905" w:type="dxa"/>
            <w:vAlign w:val="center"/>
          </w:tcPr>
          <w:p w14:paraId="3178730D" w14:textId="77777777" w:rsidR="00C40E72" w:rsidRPr="009E1EA6" w:rsidRDefault="00B74A7C" w:rsidP="008B507E">
            <w:pPr>
              <w:pStyle w:val="Textoindependiente"/>
              <w:ind w:firstLine="0"/>
              <w:rPr>
                <w:lang w:val="en-US"/>
              </w:rPr>
            </w:pPr>
            <w:r w:rsidRPr="009E1EA6">
              <w:rPr>
                <w:lang w:val="en-US"/>
              </w:rPr>
              <w:t>(</w:t>
            </w:r>
            <w:r w:rsidR="008B507E" w:rsidRPr="009E1EA6">
              <w:rPr>
                <w:lang w:val="en-US"/>
              </w:rPr>
              <w:t>14</w:t>
            </w:r>
            <w:r w:rsidRPr="009E1EA6">
              <w:rPr>
                <w:lang w:val="en-US"/>
              </w:rPr>
              <w:t>)</w:t>
            </w:r>
          </w:p>
        </w:tc>
      </w:tr>
    </w:tbl>
    <w:p w14:paraId="317AC18C" w14:textId="56DF01C4" w:rsidR="00F23DB7" w:rsidRPr="009E1EA6" w:rsidRDefault="00B74A7C" w:rsidP="00333B77">
      <w:pPr>
        <w:pStyle w:val="Textoindependiente"/>
        <w:ind w:firstLine="0"/>
      </w:pPr>
      <w:r w:rsidRPr="009E1EA6">
        <w:t>The first part of this equation (</w:t>
      </w:r>
      <m:oMath>
        <m:r>
          <w:rPr>
            <w:rFonts w:ascii="Cambria Math" w:hAnsi="Cambria Math"/>
          </w:rPr>
          <m:t>a≤</m:t>
        </m:r>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00176B01" w:rsidRPr="009E1EA6">
        <w:t>) corresponds to a no-slip condition, whereas in the second part</w:t>
      </w:r>
      <w:r w:rsidRPr="009E1EA6">
        <w:t>,</w:t>
      </w:r>
      <w:r w:rsidR="00176B01" w:rsidRPr="009E1EA6">
        <w:t xml:space="preserve"> slippage takes place. Importantly, for anchored equipment</w:t>
      </w:r>
      <w:r w:rsidRPr="009E1EA6">
        <w:t>,</w:t>
      </w:r>
      <w:r w:rsidR="00176B01" w:rsidRPr="009E1EA6">
        <w:t xml:space="preserve"> the </w:t>
      </w:r>
      <m:oMath>
        <m:sSub>
          <m:sSubPr>
            <m:ctrlPr>
              <w:rPr>
                <w:rFonts w:ascii="Cambria Math" w:hAnsi="Cambria Math"/>
                <w:i/>
              </w:rPr>
            </m:ctrlPr>
          </m:sSubPr>
          <m:e>
            <m:r>
              <w:rPr>
                <w:rFonts w:ascii="Cambria Math" w:hAnsi="Cambria Math"/>
                <w:szCs w:val="24"/>
              </w:rPr>
              <m:t>λ</m:t>
            </m:r>
          </m:e>
          <m:sub>
            <m:r>
              <w:rPr>
                <w:rFonts w:ascii="Cambria Math" w:hAnsi="Cambria Math"/>
              </w:rPr>
              <m:t>A</m:t>
            </m:r>
          </m:sub>
        </m:sSub>
      </m:oMath>
      <w:r w:rsidR="00176B01" w:rsidRPr="009E1EA6">
        <w:t xml:space="preserve"> values for </w:t>
      </w:r>
      <m:oMath>
        <m:r>
          <w:rPr>
            <w:rFonts w:ascii="Cambria Math" w:hAnsi="Cambria Math"/>
          </w:rPr>
          <m:t>a&gt;</m:t>
        </m:r>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00176B01" w:rsidRPr="009E1EA6">
        <w:t xml:space="preserve"> are </w:t>
      </w:r>
      <w:r w:rsidR="00F558D7" w:rsidRPr="009E1EA6">
        <w:t>nonz</w:t>
      </w:r>
      <w:r w:rsidR="00176B01" w:rsidRPr="009E1EA6">
        <w:t>ero and must be evaluated numerically from IDAs.</w:t>
      </w:r>
    </w:p>
    <w:p w14:paraId="4D5FF465" w14:textId="77777777" w:rsidR="000F586A" w:rsidRPr="009E1EA6" w:rsidRDefault="000F586A" w:rsidP="00333B77">
      <w:pPr>
        <w:pStyle w:val="Textoindependiente"/>
        <w:ind w:firstLine="0"/>
      </w:pPr>
    </w:p>
    <w:p w14:paraId="752FAD0A" w14:textId="77777777" w:rsidR="000578AE" w:rsidRPr="009E1EA6" w:rsidRDefault="00F23DB7" w:rsidP="00333B77">
      <w:pPr>
        <w:pStyle w:val="Textoindependiente"/>
        <w:ind w:firstLine="0"/>
        <w:rPr>
          <w:b/>
        </w:rPr>
      </w:pPr>
      <w:r w:rsidRPr="009E1EA6">
        <w:rPr>
          <w:b/>
        </w:rPr>
        <w:t>3. AN ILLUSTRATIVE EXAMPLE</w:t>
      </w:r>
    </w:p>
    <w:p w14:paraId="410E5D7B" w14:textId="13119957" w:rsidR="000578AE" w:rsidRPr="009E1EA6" w:rsidRDefault="00B74A7C" w:rsidP="00A66B85">
      <w:pPr>
        <w:pStyle w:val="TextIndent"/>
      </w:pPr>
      <w:r w:rsidRPr="009E1EA6">
        <w:t>3.1 EQUIPMENT STUDIED</w:t>
      </w:r>
    </w:p>
    <w:p w14:paraId="5F251378" w14:textId="5E7FE705" w:rsidR="001B49C1" w:rsidRPr="009E1EA6" w:rsidRDefault="008D73D2" w:rsidP="00333B77">
      <w:pPr>
        <w:pStyle w:val="Textoindependiente"/>
        <w:rPr>
          <w:lang w:eastAsia="es-MX"/>
        </w:rPr>
      </w:pPr>
      <w:r w:rsidRPr="009E1EA6">
        <w:rPr>
          <w:szCs w:val="24"/>
        </w:rPr>
        <w:t xml:space="preserve">The present example evaluates the earthquake sliding risk of equipment typically used in Mexican refineries (see Figure 1). The analysis considers a </w:t>
      </w:r>
      <w:r w:rsidR="00F558D7" w:rsidRPr="009E1EA6">
        <w:rPr>
          <w:szCs w:val="24"/>
        </w:rPr>
        <w:t>nons</w:t>
      </w:r>
      <w:r w:rsidRPr="009E1EA6">
        <w:rPr>
          <w:szCs w:val="24"/>
        </w:rPr>
        <w:t xml:space="preserve">lender rectangular block with mass </w:t>
      </w:r>
      <m:oMath>
        <m:r>
          <w:rPr>
            <w:rFonts w:ascii="Cambria Math" w:hAnsi="Cambria Math"/>
            <w:szCs w:val="24"/>
          </w:rPr>
          <m:t>m≈</m:t>
        </m:r>
      </m:oMath>
      <w:r w:rsidRPr="009E1EA6">
        <w:rPr>
          <w:szCs w:val="24"/>
        </w:rPr>
        <w:t xml:space="preserve"> 8.7 kN·s</w:t>
      </w:r>
      <w:r w:rsidRPr="009E1EA6">
        <w:rPr>
          <w:szCs w:val="24"/>
          <w:vertAlign w:val="superscript"/>
        </w:rPr>
        <w:t>2</w:t>
      </w:r>
      <w:r w:rsidR="000F306B" w:rsidRPr="009E1EA6">
        <w:rPr>
          <w:szCs w:val="24"/>
        </w:rPr>
        <w:t xml:space="preserve">/m and three values for the coefficient of kinetic friction: </w:t>
      </w:r>
      <m:oMath>
        <m:sSub>
          <m:sSubPr>
            <m:ctrlPr>
              <w:rPr>
                <w:rFonts w:ascii="Cambria Math" w:hAnsi="Cambria Math"/>
                <w:i/>
                <w:lang w:eastAsia="es-MX"/>
              </w:rPr>
            </m:ctrlPr>
          </m:sSubPr>
          <m:e>
            <m:r>
              <w:rPr>
                <w:rFonts w:ascii="Cambria Math" w:hAnsi="Cambria Math"/>
              </w:rPr>
              <m:t>μ</m:t>
            </m:r>
          </m:e>
          <m:sub>
            <m:r>
              <w:rPr>
                <w:rFonts w:ascii="Cambria Math" w:hAnsi="Cambria Math"/>
              </w:rPr>
              <m:t>k</m:t>
            </m:r>
          </m:sub>
        </m:sSub>
        <m:r>
          <w:rPr>
            <w:rFonts w:ascii="Cambria Math" w:hAnsi="Cambria Math"/>
            <w:lang w:eastAsia="es-MX"/>
          </w:rPr>
          <m:t>=</m:t>
        </m:r>
      </m:oMath>
      <w:r w:rsidR="003204B5" w:rsidRPr="009E1EA6">
        <w:rPr>
          <w:lang w:eastAsia="es-MX"/>
        </w:rPr>
        <w:t>0.10, 0.15, and 0.20.</w:t>
      </w:r>
    </w:p>
    <w:p w14:paraId="2C68CFFE" w14:textId="74789AC4" w:rsidR="00912B26" w:rsidRPr="009E1EA6" w:rsidRDefault="00B74A7C" w:rsidP="00333B77">
      <w:pPr>
        <w:pStyle w:val="Textoindependiente"/>
        <w:rPr>
          <w:szCs w:val="24"/>
        </w:rPr>
      </w:pPr>
      <w:r w:rsidRPr="009E1EA6">
        <w:rPr>
          <w:szCs w:val="24"/>
        </w:rPr>
        <w:t>Anchored blocks were modeled using four PEPB elements with lengths</w:t>
      </w:r>
      <m:oMath>
        <m:r>
          <m:rPr>
            <m:sty m:val="p"/>
          </m:rP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0</m:t>
            </m:r>
          </m:sub>
        </m:sSub>
        <m:r>
          <w:rPr>
            <w:rFonts w:ascii="Cambria Math" w:hAnsi="Cambria Math"/>
            <w:szCs w:val="24"/>
          </w:rPr>
          <m:t>=0.5 m</m:t>
        </m:r>
      </m:oMath>
      <w:r w:rsidRPr="009E1EA6">
        <w:rPr>
          <w:szCs w:val="24"/>
        </w:rPr>
        <w:t xml:space="preserve">, </w:t>
      </w:r>
      <m:oMath>
        <m:sSub>
          <m:sSubPr>
            <m:ctrlPr>
              <w:rPr>
                <w:rFonts w:ascii="Cambria Math" w:hAnsi="Cambria Math"/>
                <w:i/>
                <w:szCs w:val="24"/>
              </w:rPr>
            </m:ctrlPr>
          </m:sSubPr>
          <m:e>
            <m:r>
              <w:rPr>
                <w:rFonts w:ascii="Cambria Math" w:hAnsi="Cambria Math"/>
                <w:szCs w:val="24"/>
              </w:rPr>
              <m:t>y</m:t>
            </m:r>
          </m:e>
          <m:sub>
            <m:r>
              <w:rPr>
                <w:rFonts w:ascii="Cambria Math" w:hAnsi="Cambria Math"/>
                <w:szCs w:val="24"/>
              </w:rPr>
              <m:t>0</m:t>
            </m:r>
          </m:sub>
        </m:sSub>
        <m:r>
          <w:rPr>
            <w:rFonts w:ascii="Cambria Math" w:hAnsi="Cambria Math"/>
            <w:szCs w:val="24"/>
          </w:rPr>
          <m:t>=0</m:t>
        </m:r>
      </m:oMath>
      <w:r w:rsidRPr="009E1EA6">
        <w:rPr>
          <w:szCs w:val="24"/>
        </w:rPr>
        <w:t xml:space="preserve">, and </w:t>
      </w:r>
      <m:oMath>
        <m:sSub>
          <m:sSubPr>
            <m:ctrlPr>
              <w:rPr>
                <w:rFonts w:ascii="Cambria Math" w:hAnsi="Cambria Math"/>
                <w:i/>
                <w:szCs w:val="24"/>
              </w:rPr>
            </m:ctrlPr>
          </m:sSubPr>
          <m:e>
            <m:r>
              <w:rPr>
                <w:rFonts w:ascii="Cambria Math" w:hAnsi="Cambria Math"/>
                <w:szCs w:val="24"/>
              </w:rPr>
              <m:t>z</m:t>
            </m:r>
          </m:e>
          <m:sub>
            <m:r>
              <w:rPr>
                <w:rFonts w:ascii="Cambria Math" w:hAnsi="Cambria Math"/>
                <w:szCs w:val="24"/>
              </w:rPr>
              <m:t>0</m:t>
            </m:r>
          </m:sub>
        </m:sSub>
        <m:r>
          <w:rPr>
            <w:rFonts w:ascii="Cambria Math" w:hAnsi="Cambria Math"/>
            <w:szCs w:val="24"/>
          </w:rPr>
          <m:t>=0.5 m</m:t>
        </m:r>
      </m:oMath>
      <w:r w:rsidR="00C1795C" w:rsidRPr="009E1EA6">
        <w:rPr>
          <w:szCs w:val="24"/>
        </w:rPr>
        <w:t>;</w:t>
      </w:r>
      <w:r w:rsidR="00A843FE" w:rsidRPr="009E1EA6">
        <w:rPr>
          <w:szCs w:val="24"/>
        </w:rPr>
        <w:t xml:space="preserve"> natural period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eq</m:t>
            </m:r>
          </m:sub>
        </m:sSub>
        <m:r>
          <w:rPr>
            <w:rFonts w:ascii="Cambria Math" w:hAnsi="Cambria Math"/>
            <w:szCs w:val="24"/>
          </w:rPr>
          <m:t>=0.1s</m:t>
        </m:r>
      </m:oMath>
      <w:r w:rsidR="009A5F8E" w:rsidRPr="009E1EA6">
        <w:rPr>
          <w:szCs w:val="24"/>
        </w:rPr>
        <w:t xml:space="preserve"> (i.e., </w:t>
      </w:r>
      <m:oMath>
        <m:r>
          <w:rPr>
            <w:rFonts w:ascii="Cambria Math" w:hAnsi="Cambria Math"/>
            <w:szCs w:val="24"/>
          </w:rPr>
          <m:t>K=17,173 kN</m:t>
        </m:r>
      </m:oMath>
      <w:r w:rsidRPr="009E1EA6">
        <w:rPr>
          <w:szCs w:val="24"/>
        </w:rPr>
        <w:t>)</w:t>
      </w:r>
      <w:r w:rsidR="00C1795C" w:rsidRPr="009E1EA6">
        <w:rPr>
          <w:szCs w:val="24"/>
        </w:rPr>
        <w:t>;</w:t>
      </w:r>
      <w:r w:rsidRPr="009E1EA6">
        <w:rPr>
          <w:szCs w:val="24"/>
        </w:rPr>
        <w:t xml:space="preserve"> and ductility ratio </w:t>
      </w:r>
      <m:oMath>
        <m:r>
          <w:rPr>
            <w:rFonts w:ascii="Cambria Math" w:hAnsi="Cambria Math"/>
            <w:szCs w:val="24"/>
          </w:rPr>
          <m:t>μ=2.0</m:t>
        </m:r>
      </m:oMath>
      <w:r w:rsidR="00A843FE" w:rsidRPr="009E1EA6">
        <w:t xml:space="preserve">. A parametric analysis considered anchor </w:t>
      </w:r>
      <w:r w:rsidRPr="009E1EA6">
        <w:t>strength</w:t>
      </w:r>
      <w:r w:rsidR="00A843FE" w:rsidRPr="009E1EA6">
        <w:t xml:space="preserve"> ratios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m:t>
        </m:r>
      </m:oMath>
      <w:r w:rsidR="001B49C1" w:rsidRPr="009E1EA6">
        <w:t xml:space="preserve"> 0.2, 0.3 and 0.4 with no </w:t>
      </w:r>
      <w:r w:rsidR="00F558D7" w:rsidRPr="009E1EA6">
        <w:t>pres</w:t>
      </w:r>
      <w:r w:rsidR="001B49C1" w:rsidRPr="009E1EA6">
        <w:t xml:space="preserve">tress load. This combination of anchor stiffness and strengths corresponds to yield deformations of </w:t>
      </w:r>
      <m:oMath>
        <m:sSub>
          <m:sSubPr>
            <m:ctrlPr>
              <w:rPr>
                <w:rFonts w:ascii="Cambria Math" w:hAnsi="Cambria Math"/>
                <w:i/>
              </w:rPr>
            </m:ctrlPr>
          </m:sSubPr>
          <m:e>
            <m:r>
              <w:rPr>
                <w:rFonts w:ascii="Cambria Math" w:hAnsi="Cambria Math"/>
              </w:rPr>
              <m:t>v</m:t>
            </m:r>
          </m:e>
          <m:sub>
            <m:r>
              <w:rPr>
                <w:rFonts w:ascii="Cambria Math" w:hAnsi="Cambria Math"/>
              </w:rPr>
              <m:t>y</m:t>
            </m:r>
          </m:sub>
        </m:sSub>
        <m:r>
          <w:rPr>
            <w:rFonts w:ascii="Cambria Math" w:hAnsi="Cambria Math"/>
          </w:rPr>
          <m:t>=</m:t>
        </m:r>
      </m:oMath>
      <w:r w:rsidR="009A5F8E" w:rsidRPr="009E1EA6">
        <w:t xml:space="preserve">1.0, 1.5 and 2.0 mm. In addition, setting the anchor strength at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/W=0.2</m:t>
        </m:r>
      </m:oMath>
      <w:r w:rsidR="00C1795C" w:rsidRPr="009E1EA6">
        <w:t>,</w:t>
      </w:r>
      <w:r w:rsidR="00A843FE" w:rsidRPr="009E1EA6">
        <w:t xml:space="preserve"> the influence of the </w:t>
      </w:r>
      <w:r w:rsidR="00F558D7" w:rsidRPr="009E1EA6">
        <w:t>pres</w:t>
      </w:r>
      <w:r w:rsidR="00A843FE" w:rsidRPr="009E1EA6">
        <w:t xml:space="preserve">tress load was studied for ratios </w:t>
      </w:r>
      <m:oMath>
        <m:sSub>
          <m:sSubPr>
            <m:ctrlPr>
              <w:rPr>
                <w:rFonts w:ascii="Cambria Math" w:hAnsi="Cambria Math"/>
                <w:i/>
              </w:rPr>
            </m:ctrlPr>
          </m:sSubPr>
          <m:e>
            <m:r>
              <w:rPr>
                <w:rFonts w:ascii="Cambria Math" w:hAnsi="Cambria Math"/>
              </w:rPr>
              <m:t>T</m:t>
            </m:r>
          </m:e>
          <m:sub>
            <m:r>
              <w:rPr>
                <w:rFonts w:ascii="Cambria Math" w:hAnsi="Cambria Math"/>
              </w:rPr>
              <m:t>0</m:t>
            </m:r>
          </m:sub>
        </m:sSub>
        <m:r>
          <w:rPr>
            <w:rFonts w:ascii="Cambria Math" w:hAnsi="Cambria Math"/>
          </w:rPr>
          <m:t xml:space="preserve">/W= </m:t>
        </m:r>
      </m:oMath>
      <w:r w:rsidR="003204B5" w:rsidRPr="009E1EA6">
        <w:t xml:space="preserve">0.05, 0.10, and 0.15 (i.e., equivalent to 25%, 50%, and 75% of </w:t>
      </w:r>
      <m:oMath>
        <m:sSub>
          <m:sSubPr>
            <m:ctrlPr>
              <w:rPr>
                <w:rFonts w:ascii="Cambria Math" w:hAnsi="Cambria Math"/>
                <w:i/>
              </w:rPr>
            </m:ctrlPr>
          </m:sSubPr>
          <m:e>
            <m:r>
              <w:rPr>
                <w:rFonts w:ascii="Cambria Math" w:hAnsi="Cambria Math"/>
              </w:rPr>
              <m:t>F</m:t>
            </m:r>
          </m:e>
          <m:sub>
            <m:r>
              <w:rPr>
                <w:rFonts w:ascii="Cambria Math" w:hAnsi="Cambria Math"/>
              </w:rPr>
              <m:t>u</m:t>
            </m:r>
          </m:sub>
        </m:sSub>
      </m:oMath>
      <w:r w:rsidR="00A843FE" w:rsidRPr="009E1EA6">
        <w:t>).</w:t>
      </w:r>
    </w:p>
    <w:p w14:paraId="4BFFFE3E" w14:textId="3B100A6E" w:rsidR="00DB4F1D" w:rsidRPr="009E1EA6" w:rsidRDefault="00912B26" w:rsidP="00333B77">
      <w:pPr>
        <w:pStyle w:val="Textoindependiente"/>
      </w:pPr>
      <w:r w:rsidRPr="009E1EA6">
        <w:lastRenderedPageBreak/>
        <w:t xml:space="preserve">For the linear viscoelastic and SCSS base-isolated systems, the analyses were conducted for a mass ratio </w:t>
      </w:r>
      <m:oMath>
        <m:r>
          <w:rPr>
            <w:rFonts w:ascii="Cambria Math" w:hAnsi="Cambria Math"/>
            <w:szCs w:val="24"/>
          </w:rPr>
          <m:t>γ</m:t>
        </m:r>
        <m:r>
          <w:rPr>
            <w:rFonts w:ascii="Cambria Math" w:hAnsi="Cambria Math"/>
            <w:lang w:eastAsia="es-MX"/>
          </w:rPr>
          <m:t>=</m:t>
        </m:r>
        <m:f>
          <m:fPr>
            <m:type m:val="lin"/>
            <m:ctrlPr>
              <w:rPr>
                <w:rFonts w:ascii="Cambria Math" w:hAnsi="Cambria Math"/>
                <w:i/>
                <w:lang w:eastAsia="es-MX"/>
              </w:rPr>
            </m:ctrlPr>
          </m:fPr>
          <m:num>
            <m:r>
              <w:rPr>
                <w:rFonts w:ascii="Cambria Math" w:hAnsi="Cambria Math"/>
                <w:lang w:eastAsia="es-MX"/>
              </w:rPr>
              <m:t>m</m:t>
            </m:r>
          </m:num>
          <m:den>
            <m:d>
              <m:dPr>
                <m:ctrlPr>
                  <w:rPr>
                    <w:rFonts w:ascii="Cambria Math" w:hAnsi="Cambria Math"/>
                    <w:i/>
                    <w:lang w:eastAsia="es-MX"/>
                  </w:rPr>
                </m:ctrlPr>
              </m:dPr>
              <m:e>
                <m:sSub>
                  <m:sSubPr>
                    <m:ctrlPr>
                      <w:rPr>
                        <w:rFonts w:ascii="Cambria Math" w:hAnsi="Cambria Math"/>
                        <w:i/>
                        <w:lang w:eastAsia="es-MX"/>
                      </w:rPr>
                    </m:ctrlPr>
                  </m:sSubPr>
                  <m:e>
                    <m:r>
                      <w:rPr>
                        <w:rFonts w:ascii="Cambria Math" w:hAnsi="Cambria Math"/>
                      </w:rPr>
                      <m:t>m</m:t>
                    </m:r>
                  </m:e>
                  <m:sub>
                    <m:r>
                      <w:rPr>
                        <w:rFonts w:ascii="Cambria Math" w:hAnsi="Cambria Math"/>
                      </w:rPr>
                      <m:t>b</m:t>
                    </m:r>
                  </m:sub>
                </m:sSub>
                <m:r>
                  <w:rPr>
                    <w:rFonts w:ascii="Cambria Math" w:hAnsi="Cambria Math"/>
                    <w:lang w:eastAsia="es-MX"/>
                  </w:rPr>
                  <m:t>+m</m:t>
                </m:r>
              </m:e>
            </m:d>
          </m:den>
        </m:f>
        <m:r>
          <w:rPr>
            <w:rFonts w:ascii="Cambria Math" w:hAnsi="Cambria Math"/>
            <w:lang w:eastAsia="es-MX"/>
          </w:rPr>
          <m:t>=0.1</m:t>
        </m:r>
      </m:oMath>
      <w:r w:rsidR="006B16F0" w:rsidRPr="009E1EA6">
        <w:t xml:space="preserve">. The lateral stiffness of the isolation system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b</m:t>
            </m:r>
          </m:sub>
        </m:sSub>
        <m:r>
          <w:rPr>
            <w:rFonts w:ascii="Cambria Math" w:hAnsi="Cambria Math"/>
            <w:szCs w:val="24"/>
          </w:rPr>
          <m:t>=4</m:t>
        </m:r>
        <m:sSup>
          <m:sSupPr>
            <m:ctrlPr>
              <w:rPr>
                <w:rFonts w:ascii="Cambria Math" w:hAnsi="Cambria Math"/>
                <w:i/>
                <w:szCs w:val="24"/>
              </w:rPr>
            </m:ctrlPr>
          </m:sSupPr>
          <m:e>
            <m:r>
              <w:rPr>
                <w:rFonts w:ascii="Cambria Math" w:hAnsi="Cambria Math"/>
                <w:szCs w:val="24"/>
              </w:rPr>
              <m:t>π</m:t>
            </m:r>
          </m:e>
          <m:sup>
            <m:r>
              <w:rPr>
                <w:rFonts w:ascii="Cambria Math" w:hAnsi="Cambria Math"/>
                <w:szCs w:val="24"/>
              </w:rPr>
              <m:t>2</m:t>
            </m:r>
          </m:sup>
        </m:sSup>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b</m:t>
            </m:r>
          </m:sub>
        </m:sSub>
        <m:r>
          <w:rPr>
            <w:rFonts w:ascii="Cambria Math" w:hAnsi="Cambria Math"/>
            <w:szCs w:val="24"/>
          </w:rPr>
          <m:t>+m)/</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b</m:t>
            </m:r>
          </m:sub>
          <m:sup>
            <m:r>
              <w:rPr>
                <w:rFonts w:ascii="Cambria Math" w:hAnsi="Cambria Math"/>
                <w:szCs w:val="24"/>
              </w:rPr>
              <m:t>2</m:t>
            </m:r>
          </m:sup>
        </m:sSubSup>
      </m:oMath>
      <w:r w:rsidR="006B16F0" w:rsidRPr="009E1EA6">
        <w:rPr>
          <w:szCs w:val="24"/>
          <w:lang w:eastAsia="es-MX"/>
        </w:rPr>
        <w:t xml:space="preserve"> </w:t>
      </w:r>
      <w:r w:rsidR="006B16F0" w:rsidRPr="009E1EA6">
        <w:t xml:space="preserve">was computed assuming natural periods of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m:t>
        </m:r>
      </m:oMath>
      <w:r w:rsidR="00F20088" w:rsidRPr="009E1EA6">
        <w:t xml:space="preserve">1.0, </w:t>
      </w:r>
      <w:r w:rsidR="004442B8" w:rsidRPr="009E1EA6">
        <w:t xml:space="preserve">and </w:t>
      </w:r>
      <w:r w:rsidR="00F20088" w:rsidRPr="009E1EA6">
        <w:t xml:space="preserve">2.0 s. In the case of a bilinear isolation system, the sliding friction coefficient </w:t>
      </w:r>
      <m:oMath>
        <m:sSub>
          <m:sSubPr>
            <m:ctrlPr>
              <w:rPr>
                <w:rFonts w:ascii="Cambria Math" w:hAnsi="Cambria Math"/>
                <w:i/>
                <w:szCs w:val="24"/>
              </w:rPr>
            </m:ctrlPr>
          </m:sSubPr>
          <m:e>
            <m:r>
              <w:rPr>
                <w:rFonts w:ascii="Cambria Math" w:hAnsi="Cambria Math"/>
                <w:szCs w:val="24"/>
              </w:rPr>
              <m:t>ξ</m:t>
            </m:r>
          </m:e>
          <m:sub>
            <m:r>
              <w:rPr>
                <w:rFonts w:ascii="Cambria Math" w:hAnsi="Cambria Math"/>
                <w:szCs w:val="24"/>
              </w:rPr>
              <m:t>b</m:t>
            </m:r>
          </m:sub>
        </m:sSub>
        <m:r>
          <w:rPr>
            <w:rFonts w:ascii="Cambria Math" w:hAnsi="Cambria Math"/>
            <w:szCs w:val="24"/>
          </w:rPr>
          <m:t>=0.25</m:t>
        </m:r>
      </m:oMath>
      <w:r w:rsidR="00F20088" w:rsidRPr="009E1EA6">
        <w:t xml:space="preserve"> and yield displacement </w:t>
      </w:r>
      <m:oMath>
        <m:sSub>
          <m:sSubPr>
            <m:ctrlPr>
              <w:rPr>
                <w:rFonts w:ascii="Cambria Math" w:hAnsi="Cambria Math"/>
                <w:i/>
                <w:szCs w:val="24"/>
              </w:rPr>
            </m:ctrlPr>
          </m:sSubPr>
          <m:e>
            <m:r>
              <w:rPr>
                <w:rFonts w:ascii="Cambria Math" w:hAnsi="Cambria Math"/>
                <w:szCs w:val="24"/>
              </w:rPr>
              <m:t>u</m:t>
            </m:r>
          </m:e>
          <m:sub>
            <m:r>
              <w:rPr>
                <w:rFonts w:ascii="Cambria Math" w:hAnsi="Cambria Math"/>
                <w:szCs w:val="24"/>
              </w:rPr>
              <m:t>y</m:t>
            </m:r>
          </m:sub>
        </m:sSub>
        <m:r>
          <w:rPr>
            <w:rFonts w:ascii="Cambria Math" w:hAnsi="Cambria Math"/>
            <w:szCs w:val="24"/>
          </w:rPr>
          <m:t xml:space="preserve">=0.25 </m:t>
        </m:r>
        <m:r>
          <m:rPr>
            <m:sty m:val="p"/>
          </m:rPr>
          <w:rPr>
            <w:rFonts w:ascii="Cambria Math" w:hAnsi="Cambria Math"/>
            <w:szCs w:val="24"/>
          </w:rPr>
          <m:t>mm</m:t>
        </m:r>
      </m:oMath>
      <w:r w:rsidR="00172F9A" w:rsidRPr="009E1EA6">
        <w:rPr>
          <w:szCs w:val="24"/>
        </w:rPr>
        <w:t xml:space="preserve"> were set after Vassiliou and Makris (2012)</w:t>
      </w:r>
      <w:r w:rsidR="00B74A7C" w:rsidRPr="009E1EA6">
        <w:rPr>
          <w:szCs w:val="24"/>
        </w:rPr>
        <w:t>,</w:t>
      </w:r>
      <w:r w:rsidR="00172F9A" w:rsidRPr="009E1EA6">
        <w:rPr>
          <w:szCs w:val="24"/>
        </w:rPr>
        <w:t xml:space="preserve"> and the Bouc-Wen parameters</w:t>
      </w:r>
      <w:r w:rsidR="00172F9A" w:rsidRPr="009E1EA6">
        <w:rPr>
          <w:i/>
          <w:szCs w:val="24"/>
        </w:rPr>
        <w:t xml:space="preserve"> </w:t>
      </w:r>
      <m:oMath>
        <m:r>
          <w:rPr>
            <w:rFonts w:ascii="Cambria Math" w:hAnsi="Cambria Math"/>
            <w:szCs w:val="24"/>
          </w:rPr>
          <m:t>ζ=β=n=1</m:t>
        </m:r>
      </m:oMath>
      <w:r w:rsidR="00172F9A" w:rsidRPr="009E1EA6">
        <w:rPr>
          <w:i/>
          <w:szCs w:val="24"/>
        </w:rPr>
        <w:t xml:space="preserve"> </w:t>
      </w:r>
      <w:r w:rsidR="00172F9A" w:rsidRPr="009E1EA6">
        <w:rPr>
          <w:szCs w:val="24"/>
        </w:rPr>
        <w:t xml:space="preserve">were used after Jaimes and Candia </w:t>
      </w:r>
      <w:r w:rsidR="00C1795C" w:rsidRPr="009E1EA6">
        <w:rPr>
          <w:szCs w:val="24"/>
        </w:rPr>
        <w:t>(</w:t>
      </w:r>
      <w:r w:rsidR="00172F9A" w:rsidRPr="009E1EA6">
        <w:rPr>
          <w:szCs w:val="24"/>
        </w:rPr>
        <w:t>2018</w:t>
      </w:r>
      <w:r w:rsidR="00C1795C" w:rsidRPr="009E1EA6">
        <w:rPr>
          <w:szCs w:val="24"/>
        </w:rPr>
        <w:t>)</w:t>
      </w:r>
      <w:r w:rsidR="00172F9A" w:rsidRPr="009E1EA6">
        <w:rPr>
          <w:szCs w:val="24"/>
        </w:rPr>
        <w:t>.</w:t>
      </w:r>
    </w:p>
    <w:p w14:paraId="36C9687D" w14:textId="77777777" w:rsidR="000C02A9" w:rsidRPr="009E1EA6" w:rsidRDefault="000C02A9" w:rsidP="00534B7B">
      <w:pPr>
        <w:pStyle w:val="Textoindependiente"/>
        <w:ind w:firstLine="0"/>
      </w:pPr>
    </w:p>
    <w:p w14:paraId="67BA66B0" w14:textId="1FB086F0" w:rsidR="00D55191" w:rsidRPr="009E1EA6" w:rsidRDefault="00B74A7C" w:rsidP="00A66B85">
      <w:pPr>
        <w:pStyle w:val="TextIndent"/>
      </w:pPr>
      <w:r w:rsidRPr="009E1EA6">
        <w:t>3.2 SEISMIC HAZARD AND GROUND MOTION SELECTION</w:t>
      </w:r>
    </w:p>
    <w:p w14:paraId="750261A0" w14:textId="77777777" w:rsidR="00D55191" w:rsidRPr="009E1EA6" w:rsidRDefault="00B74A7C" w:rsidP="00333B77">
      <w:pPr>
        <w:pStyle w:val="Ttulo2"/>
        <w:rPr>
          <w:caps w:val="0"/>
        </w:rPr>
      </w:pPr>
      <w:r w:rsidRPr="009E1EA6">
        <w:rPr>
          <w:caps w:val="0"/>
        </w:rPr>
        <w:t>3.2.1 Seismic Hazard</w:t>
      </w:r>
    </w:p>
    <w:p w14:paraId="77682258" w14:textId="1EDD45FE" w:rsidR="00D55191" w:rsidRPr="009E1EA6" w:rsidRDefault="00922D66" w:rsidP="00333B77">
      <w:pPr>
        <w:pStyle w:val="Textoindependiente"/>
      </w:pPr>
      <w:r w:rsidRPr="009E1EA6">
        <w:t xml:space="preserve">To evaluate the influence of near-source and far-field ground motions, sliding risk analysis was conducted for equipment hypothetically placed at or near the ground motion stations SCRU (near-source, Site 1) and CU (far-field, Site 2). Station SCRU (16.187°N, 95.209°W) is located on a rock outcrop at the Oaxaca </w:t>
      </w:r>
      <w:r w:rsidR="009C5DC9" w:rsidRPr="009E1EA6">
        <w:t>subduction zone</w:t>
      </w:r>
      <w:r w:rsidRPr="009E1EA6">
        <w:t xml:space="preserve">, just 120 km northwest of the epicenter of the great Mw 8.2 Chiapas earthquake of 2017. Analogously, </w:t>
      </w:r>
      <w:r w:rsidR="007E3B70" w:rsidRPr="009E1EA6">
        <w:t xml:space="preserve">station </w:t>
      </w:r>
      <w:r w:rsidRPr="009E1EA6">
        <w:t xml:space="preserve">CU is located in Mexico City (19.330°N, 99.181°W) over thick deposits of basaltic lava flows at a distance of ~300 km west of the Michoacán </w:t>
      </w:r>
      <w:r w:rsidR="009C5DC9" w:rsidRPr="009E1EA6">
        <w:t>subduction zone</w:t>
      </w:r>
      <w:r w:rsidRPr="009E1EA6">
        <w:t xml:space="preserve"> and 110 km northwest of the Mw 7.1 2017 Puebla earthquake. Both stations are located on class B sites according to ASCE/SEI 7-10 (2010).</w:t>
      </w:r>
    </w:p>
    <w:p w14:paraId="70FA8779" w14:textId="6003D09B" w:rsidR="001B64F4" w:rsidRPr="009E1EA6" w:rsidRDefault="00165225" w:rsidP="007F5639">
      <w:pPr>
        <w:pStyle w:val="Textoindependiente"/>
      </w:pPr>
      <w:r w:rsidRPr="009E1EA6">
        <w:t xml:space="preserve">The rate of exceedance of PGA at each location was computed through a standard </w:t>
      </w:r>
      <w:r w:rsidR="009C5DC9" w:rsidRPr="009E1EA6">
        <w:t xml:space="preserve">probabilistic seismic hazard analysis </w:t>
      </w:r>
      <w:r w:rsidRPr="009E1EA6">
        <w:t>(PSHA). Three seismic source types were considered along the Pacific coast of Mexico</w:t>
      </w:r>
      <w:r w:rsidR="00B74A7C" w:rsidRPr="009E1EA6">
        <w:t>,</w:t>
      </w:r>
      <w:r w:rsidRPr="009E1EA6">
        <w:t xml:space="preserve"> as shown in Figure </w:t>
      </w:r>
      <w:r w:rsidR="00C57472" w:rsidRPr="009E1EA6">
        <w:t>7</w:t>
      </w:r>
      <w:r w:rsidRPr="009E1EA6">
        <w:t xml:space="preserve"> (Ordaz and Reyes 1999; Jaimes and Reinoso 2006), each with specific ground motion models (GMMs). The ground motion models used within each source type are summarized in Table 1; for additional details of the seismic hazard model used, refer to Jaimes and Candia </w:t>
      </w:r>
      <w:r w:rsidR="009C5DC9" w:rsidRPr="009E1EA6">
        <w:t>(</w:t>
      </w:r>
      <w:r w:rsidRPr="009E1EA6">
        <w:t>2018</w:t>
      </w:r>
      <w:r w:rsidR="009C5DC9" w:rsidRPr="009E1EA6">
        <w:t>)</w:t>
      </w:r>
      <w:r w:rsidRPr="009E1EA6">
        <w:t>.</w:t>
      </w:r>
    </w:p>
    <w:p w14:paraId="562C1063" w14:textId="45F301B0" w:rsidR="007F5639" w:rsidRPr="009E1EA6" w:rsidRDefault="00B74A7C" w:rsidP="007F5639">
      <w:pPr>
        <w:pStyle w:val="Textoindependiente"/>
      </w:pPr>
      <w:r w:rsidRPr="009E1EA6">
        <w:t xml:space="preserve">Table 1 – Ground </w:t>
      </w:r>
      <w:r w:rsidR="009C5DC9" w:rsidRPr="009E1EA6">
        <w:t xml:space="preserve">motion models </w:t>
      </w:r>
      <w:r w:rsidRPr="009E1EA6">
        <w:t>(GMMs) used in the seismic hazard computation</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3313"/>
        <w:gridCol w:w="3002"/>
      </w:tblGrid>
      <w:tr w:rsidR="009E1EA6" w:rsidRPr="009E1EA6" w14:paraId="643FAE6B" w14:textId="77777777" w:rsidTr="007F5639">
        <w:tc>
          <w:tcPr>
            <w:tcW w:w="2689" w:type="dxa"/>
          </w:tcPr>
          <w:p w14:paraId="737D814D" w14:textId="77777777" w:rsidR="007F5639" w:rsidRPr="009E1EA6" w:rsidRDefault="00B74A7C" w:rsidP="007F5639">
            <w:pPr>
              <w:pStyle w:val="Textoindependiente"/>
              <w:spacing w:after="0" w:line="240" w:lineRule="auto"/>
              <w:ind w:firstLine="0"/>
              <w:jc w:val="center"/>
              <w:rPr>
                <w:b/>
                <w:lang w:val="en-US"/>
              </w:rPr>
            </w:pPr>
            <w:r w:rsidRPr="009E1EA6">
              <w:rPr>
                <w:b/>
                <w:lang w:val="en-US"/>
              </w:rPr>
              <w:t>Source type</w:t>
            </w:r>
          </w:p>
        </w:tc>
        <w:tc>
          <w:tcPr>
            <w:tcW w:w="3313" w:type="dxa"/>
          </w:tcPr>
          <w:p w14:paraId="30D650EC" w14:textId="77777777" w:rsidR="007F5639" w:rsidRPr="009E1EA6" w:rsidRDefault="00B74A7C" w:rsidP="007F5639">
            <w:pPr>
              <w:pStyle w:val="Textoindependiente"/>
              <w:spacing w:after="0" w:line="240" w:lineRule="auto"/>
              <w:ind w:firstLine="0"/>
              <w:jc w:val="center"/>
              <w:rPr>
                <w:b/>
                <w:lang w:val="en-US"/>
              </w:rPr>
            </w:pPr>
            <w:r w:rsidRPr="009E1EA6">
              <w:rPr>
                <w:b/>
                <w:lang w:val="en-US"/>
              </w:rPr>
              <w:t>SRCU sites (near-source)</w:t>
            </w:r>
          </w:p>
        </w:tc>
        <w:tc>
          <w:tcPr>
            <w:tcW w:w="3002" w:type="dxa"/>
          </w:tcPr>
          <w:p w14:paraId="28EB4195" w14:textId="77777777" w:rsidR="007F5639" w:rsidRPr="009E1EA6" w:rsidRDefault="00B74A7C" w:rsidP="007F5639">
            <w:pPr>
              <w:pStyle w:val="Textoindependiente"/>
              <w:spacing w:after="0" w:line="240" w:lineRule="auto"/>
              <w:ind w:firstLine="0"/>
              <w:jc w:val="center"/>
              <w:rPr>
                <w:b/>
                <w:lang w:val="en-US"/>
              </w:rPr>
            </w:pPr>
            <w:r w:rsidRPr="009E1EA6">
              <w:rPr>
                <w:b/>
                <w:lang w:val="en-US"/>
              </w:rPr>
              <w:t>CU sites (far-field)</w:t>
            </w:r>
          </w:p>
        </w:tc>
      </w:tr>
      <w:tr w:rsidR="009E1EA6" w:rsidRPr="009E1EA6" w14:paraId="60B24394" w14:textId="77777777" w:rsidTr="007F5639">
        <w:tc>
          <w:tcPr>
            <w:tcW w:w="2689" w:type="dxa"/>
          </w:tcPr>
          <w:p w14:paraId="7A132F09" w14:textId="77777777" w:rsidR="007F5639" w:rsidRPr="009E1EA6" w:rsidRDefault="00B74A7C" w:rsidP="007F5639">
            <w:pPr>
              <w:pStyle w:val="Textoindependiente"/>
              <w:spacing w:after="0" w:line="240" w:lineRule="auto"/>
              <w:ind w:firstLine="0"/>
              <w:jc w:val="left"/>
              <w:rPr>
                <w:lang w:val="en-US"/>
              </w:rPr>
            </w:pPr>
            <w:r w:rsidRPr="009E1EA6">
              <w:rPr>
                <w:lang w:val="en-US"/>
              </w:rPr>
              <w:t>Interface</w:t>
            </w:r>
          </w:p>
        </w:tc>
        <w:tc>
          <w:tcPr>
            <w:tcW w:w="3313" w:type="dxa"/>
          </w:tcPr>
          <w:p w14:paraId="4D006940" w14:textId="77777777" w:rsidR="007F5639" w:rsidRPr="009E1EA6" w:rsidRDefault="00B74A7C" w:rsidP="007F5639">
            <w:pPr>
              <w:pStyle w:val="Textoindependiente"/>
              <w:spacing w:after="0" w:line="240" w:lineRule="auto"/>
              <w:ind w:firstLine="0"/>
              <w:jc w:val="center"/>
              <w:rPr>
                <w:lang w:val="en-US"/>
              </w:rPr>
            </w:pPr>
            <w:r w:rsidRPr="009E1EA6">
              <w:rPr>
                <w:lang w:val="en-US"/>
              </w:rPr>
              <w:t>Arroyo et al. (2010)</w:t>
            </w:r>
          </w:p>
        </w:tc>
        <w:tc>
          <w:tcPr>
            <w:tcW w:w="3002" w:type="dxa"/>
          </w:tcPr>
          <w:p w14:paraId="23D29531" w14:textId="77777777" w:rsidR="007F5639" w:rsidRPr="009E1EA6" w:rsidRDefault="00B74A7C" w:rsidP="007F5639">
            <w:pPr>
              <w:pStyle w:val="Textoindependiente"/>
              <w:spacing w:after="0" w:line="240" w:lineRule="auto"/>
              <w:ind w:firstLine="0"/>
              <w:jc w:val="center"/>
              <w:rPr>
                <w:lang w:val="en-US"/>
              </w:rPr>
            </w:pPr>
            <w:r w:rsidRPr="009E1EA6">
              <w:rPr>
                <w:lang w:val="en-US"/>
              </w:rPr>
              <w:t>Jaimes et al. (2006)</w:t>
            </w:r>
          </w:p>
        </w:tc>
      </w:tr>
      <w:tr w:rsidR="009E1EA6" w:rsidRPr="009E1EA6" w14:paraId="2360A96C" w14:textId="77777777" w:rsidTr="007F5639">
        <w:tc>
          <w:tcPr>
            <w:tcW w:w="2689" w:type="dxa"/>
          </w:tcPr>
          <w:p w14:paraId="31D7693F" w14:textId="77777777" w:rsidR="007F5639" w:rsidRPr="009E1EA6" w:rsidRDefault="00B74A7C" w:rsidP="007F5639">
            <w:pPr>
              <w:pStyle w:val="Textoindependiente"/>
              <w:spacing w:after="0" w:line="240" w:lineRule="auto"/>
              <w:ind w:firstLine="0"/>
              <w:jc w:val="left"/>
              <w:rPr>
                <w:lang w:val="en-US"/>
              </w:rPr>
            </w:pPr>
            <w:r w:rsidRPr="009E1EA6">
              <w:rPr>
                <w:lang w:val="en-US"/>
              </w:rPr>
              <w:t>Intermediate depth (slab)</w:t>
            </w:r>
          </w:p>
        </w:tc>
        <w:tc>
          <w:tcPr>
            <w:tcW w:w="3313" w:type="dxa"/>
          </w:tcPr>
          <w:p w14:paraId="2FED5F9E" w14:textId="77777777" w:rsidR="007F5639" w:rsidRPr="009E1EA6" w:rsidRDefault="00B74A7C" w:rsidP="007F5639">
            <w:pPr>
              <w:pStyle w:val="Textoindependiente"/>
              <w:spacing w:after="0" w:line="240" w:lineRule="auto"/>
              <w:ind w:firstLine="0"/>
              <w:jc w:val="center"/>
              <w:rPr>
                <w:lang w:val="en-US"/>
              </w:rPr>
            </w:pPr>
            <w:r w:rsidRPr="009E1EA6">
              <w:rPr>
                <w:lang w:val="en-US"/>
              </w:rPr>
              <w:t>Garcia et al. (2005)</w:t>
            </w:r>
          </w:p>
        </w:tc>
        <w:tc>
          <w:tcPr>
            <w:tcW w:w="3002" w:type="dxa"/>
          </w:tcPr>
          <w:p w14:paraId="407A000C" w14:textId="77777777" w:rsidR="007F5639" w:rsidRPr="009E1EA6" w:rsidRDefault="00B74A7C" w:rsidP="007F5639">
            <w:pPr>
              <w:pStyle w:val="Textoindependiente"/>
              <w:spacing w:after="0" w:line="240" w:lineRule="auto"/>
              <w:ind w:firstLine="0"/>
              <w:jc w:val="center"/>
              <w:rPr>
                <w:lang w:val="en-US"/>
              </w:rPr>
            </w:pPr>
            <w:r w:rsidRPr="009E1EA6">
              <w:rPr>
                <w:lang w:val="en-US"/>
              </w:rPr>
              <w:t>Jaimes et al. (2015)</w:t>
            </w:r>
          </w:p>
        </w:tc>
      </w:tr>
      <w:tr w:rsidR="00CF0538" w:rsidRPr="009E1EA6" w14:paraId="29FEB047" w14:textId="77777777" w:rsidTr="007F5639">
        <w:tc>
          <w:tcPr>
            <w:tcW w:w="2689" w:type="dxa"/>
          </w:tcPr>
          <w:p w14:paraId="4E505EA3" w14:textId="77777777" w:rsidR="007F5639" w:rsidRPr="009E1EA6" w:rsidRDefault="00B74A7C" w:rsidP="007F5639">
            <w:pPr>
              <w:pStyle w:val="Textoindependiente"/>
              <w:spacing w:after="0" w:line="240" w:lineRule="auto"/>
              <w:ind w:firstLine="0"/>
              <w:jc w:val="left"/>
              <w:rPr>
                <w:lang w:val="en-US"/>
              </w:rPr>
            </w:pPr>
            <w:r w:rsidRPr="009E1EA6">
              <w:rPr>
                <w:lang w:val="en-US"/>
              </w:rPr>
              <w:t>Shallow crustal</w:t>
            </w:r>
          </w:p>
        </w:tc>
        <w:tc>
          <w:tcPr>
            <w:tcW w:w="3313" w:type="dxa"/>
          </w:tcPr>
          <w:p w14:paraId="7C4B7B36" w14:textId="77777777" w:rsidR="007F5639" w:rsidRPr="009E1EA6" w:rsidRDefault="00B74A7C" w:rsidP="007F5639">
            <w:pPr>
              <w:pStyle w:val="Textoindependiente"/>
              <w:spacing w:after="0" w:line="240" w:lineRule="auto"/>
              <w:ind w:firstLine="0"/>
              <w:jc w:val="center"/>
              <w:rPr>
                <w:lang w:val="en-US"/>
              </w:rPr>
            </w:pPr>
            <w:r w:rsidRPr="009E1EA6">
              <w:rPr>
                <w:lang w:val="en-US"/>
              </w:rPr>
              <w:t>Abrahamson and Silva (1997)</w:t>
            </w:r>
          </w:p>
        </w:tc>
        <w:tc>
          <w:tcPr>
            <w:tcW w:w="3002" w:type="dxa"/>
          </w:tcPr>
          <w:p w14:paraId="76C2CB50" w14:textId="77777777" w:rsidR="007F5639" w:rsidRPr="009E1EA6" w:rsidRDefault="00B74A7C" w:rsidP="007F5639">
            <w:pPr>
              <w:pStyle w:val="Textoindependiente"/>
              <w:spacing w:after="0" w:line="240" w:lineRule="auto"/>
              <w:ind w:firstLine="0"/>
              <w:jc w:val="center"/>
              <w:rPr>
                <w:lang w:val="en-US"/>
              </w:rPr>
            </w:pPr>
            <w:r w:rsidRPr="009E1EA6">
              <w:rPr>
                <w:lang w:val="en-US"/>
              </w:rPr>
              <w:t>Jaimes et al. (2016)</w:t>
            </w:r>
          </w:p>
        </w:tc>
      </w:tr>
    </w:tbl>
    <w:p w14:paraId="2ABD6325" w14:textId="77777777" w:rsidR="007F5639" w:rsidRPr="009E1EA6" w:rsidRDefault="007F5639" w:rsidP="00165225">
      <w:pPr>
        <w:pStyle w:val="Textoindependiente"/>
      </w:pPr>
    </w:p>
    <w:p w14:paraId="3E9143A1" w14:textId="7B79D001" w:rsidR="00E254AF" w:rsidRPr="009E1EA6" w:rsidRDefault="00B74A7C" w:rsidP="00E254AF">
      <w:pPr>
        <w:pStyle w:val="Textoindependiente"/>
      </w:pPr>
      <w:r w:rsidRPr="009E1EA6">
        <w:lastRenderedPageBreak/>
        <w:t xml:space="preserve">The seismic hazard was implemented in </w:t>
      </w:r>
      <w:r w:rsidR="00757568" w:rsidRPr="009E1EA6">
        <w:t xml:space="preserve">the software </w:t>
      </w:r>
      <w:r w:rsidRPr="009E1EA6">
        <w:t>SeismicHazard</w:t>
      </w:r>
      <w:r w:rsidR="009C5DC9" w:rsidRPr="009E1EA6">
        <w:t xml:space="preserve"> </w:t>
      </w:r>
      <w:r w:rsidRPr="009E1EA6">
        <w:t xml:space="preserve">(Candia et al. 2019), and the results are shown in Figure 8 in terms of the mean annual rate of exceedance of PGA, </w:t>
      </w:r>
      <m:oMath>
        <m:sSub>
          <m:sSubPr>
            <m:ctrlPr>
              <w:rPr>
                <w:rFonts w:ascii="Cambria Math" w:hAnsi="Cambria Math"/>
                <w:i/>
              </w:rPr>
            </m:ctrlPr>
          </m:sSubPr>
          <m:e>
            <m:r>
              <w:rPr>
                <w:rFonts w:ascii="Cambria Math" w:hAnsi="Cambria Math"/>
              </w:rPr>
              <m:t>λ</m:t>
            </m:r>
          </m:e>
          <m:sub>
            <m:r>
              <w:rPr>
                <w:rFonts w:ascii="Cambria Math" w:hAnsi="Cambria Math"/>
              </w:rPr>
              <m:t>y</m:t>
            </m:r>
          </m:sub>
        </m:sSub>
      </m:oMath>
      <w:r w:rsidRPr="009E1EA6">
        <w:t>.</w:t>
      </w:r>
    </w:p>
    <w:p w14:paraId="65DC5260" w14:textId="77777777" w:rsidR="00E254AF" w:rsidRPr="009E1EA6" w:rsidRDefault="00E254AF" w:rsidP="00165225">
      <w:pPr>
        <w:pStyle w:val="Textoindependiente"/>
      </w:pPr>
    </w:p>
    <w:p w14:paraId="50511360" w14:textId="6FE621C3" w:rsidR="00AA266A" w:rsidRPr="009E1EA6" w:rsidRDefault="00B74A7C" w:rsidP="00333B77">
      <w:pPr>
        <w:pStyle w:val="Textoindependiente"/>
      </w:pPr>
      <w:r w:rsidRPr="009E1EA6">
        <w:rPr>
          <w:noProof/>
          <w:lang w:val="es-CL" w:eastAsia="es-CL"/>
        </w:rPr>
        <w:drawing>
          <wp:inline distT="0" distB="0" distL="0" distR="0" wp14:anchorId="3A93FAAA" wp14:editId="5A042F1D">
            <wp:extent cx="5198400" cy="3168000"/>
            <wp:effectExtent l="0" t="0" r="2540" b="0"/>
            <wp:docPr id="75692219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681368" name="Figure 6 - MexicanSeismicSource.tif"/>
                    <pic:cNvPicPr/>
                  </pic:nvPicPr>
                  <pic:blipFill>
                    <a:blip r:embed="rId14">
                      <a:extLst>
                        <a:ext uri="{28A0092B-C50C-407E-A947-70E740481C1C}">
                          <a14:useLocalDpi xmlns:a14="http://schemas.microsoft.com/office/drawing/2010/main" val="0"/>
                        </a:ext>
                      </a:extLst>
                    </a:blip>
                    <a:srcRect t="5827"/>
                    <a:stretch>
                      <a:fillRect/>
                    </a:stretch>
                  </pic:blipFill>
                  <pic:spPr bwMode="auto">
                    <a:xfrm>
                      <a:off x="0" y="0"/>
                      <a:ext cx="5198400" cy="3168000"/>
                    </a:xfrm>
                    <a:prstGeom prst="rect">
                      <a:avLst/>
                    </a:prstGeom>
                    <a:ln>
                      <a:noFill/>
                    </a:ln>
                    <a:extLst>
                      <a:ext uri="{53640926-AAD7-44D8-BBD7-CCE9431645EC}">
                        <a14:shadowObscured xmlns:a14="http://schemas.microsoft.com/office/drawing/2010/main"/>
                      </a:ext>
                    </a:extLst>
                  </pic:spPr>
                </pic:pic>
              </a:graphicData>
            </a:graphic>
          </wp:inline>
        </w:drawing>
      </w:r>
    </w:p>
    <w:p w14:paraId="5161364C" w14:textId="77777777" w:rsidR="00EA50F5" w:rsidRPr="009E1EA6" w:rsidRDefault="008B507E" w:rsidP="00333B77">
      <w:pPr>
        <w:pStyle w:val="FigureCaption"/>
        <w:spacing w:line="360" w:lineRule="auto"/>
        <w:ind w:left="720" w:hanging="720"/>
      </w:pPr>
      <w:r w:rsidRPr="009E1EA6">
        <w:rPr>
          <w:b/>
        </w:rPr>
        <w:t>Figure 7</w:t>
      </w:r>
      <w:r w:rsidR="00B74A7C" w:rsidRPr="009E1EA6">
        <w:rPr>
          <w:b/>
        </w:rPr>
        <w:t>.</w:t>
      </w:r>
      <w:r w:rsidR="00B74A7C" w:rsidRPr="009E1EA6">
        <w:t xml:space="preserve"> Mexican seismic sources after (Ordaz and Reyes 1999, Jaimes and Reinoso 2006).</w:t>
      </w:r>
    </w:p>
    <w:p w14:paraId="196CD515" w14:textId="0B2DB72B" w:rsidR="00752EC3" w:rsidRPr="009E1EA6" w:rsidRDefault="00A60AEB" w:rsidP="00333B77">
      <w:pPr>
        <w:pStyle w:val="Textoindependiente"/>
        <w:ind w:firstLine="0"/>
        <w:jc w:val="center"/>
      </w:pPr>
      <w:r w:rsidRPr="009E1EA6">
        <w:rPr>
          <w:noProof/>
          <w:lang w:val="es-CL" w:eastAsia="es-CL"/>
        </w:rPr>
        <w:drawing>
          <wp:inline distT="0" distB="0" distL="0" distR="0" wp14:anchorId="46070EAC" wp14:editId="41DA11F1">
            <wp:extent cx="4045306" cy="2414866"/>
            <wp:effectExtent l="0" t="0" r="0" b="508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59141" cy="2423125"/>
                    </a:xfrm>
                    <a:prstGeom prst="rect">
                      <a:avLst/>
                    </a:prstGeom>
                    <a:noFill/>
                    <a:ln>
                      <a:noFill/>
                    </a:ln>
                  </pic:spPr>
                </pic:pic>
              </a:graphicData>
            </a:graphic>
          </wp:inline>
        </w:drawing>
      </w:r>
    </w:p>
    <w:p w14:paraId="7F374770" w14:textId="4473E1EA" w:rsidR="00AA266A" w:rsidRPr="009E1EA6" w:rsidRDefault="00C57472" w:rsidP="00333B77">
      <w:pPr>
        <w:pStyle w:val="FigureCaption"/>
        <w:spacing w:line="360" w:lineRule="auto"/>
        <w:ind w:left="720" w:hanging="720"/>
      </w:pPr>
      <w:r w:rsidRPr="009E1EA6">
        <w:rPr>
          <w:b/>
        </w:rPr>
        <w:t>Figure 8</w:t>
      </w:r>
      <w:r w:rsidR="00B74A7C" w:rsidRPr="009E1EA6">
        <w:rPr>
          <w:b/>
        </w:rPr>
        <w:t>.</w:t>
      </w:r>
      <w:r w:rsidR="00B74A7C" w:rsidRPr="009E1EA6">
        <w:t xml:space="preserve"> Annual rate of exceedance </w:t>
      </w:r>
      <w:r w:rsidR="009C5DC9" w:rsidRPr="009E1EA6">
        <w:t xml:space="preserve">of </w:t>
      </w:r>
      <w:r w:rsidR="00B74A7C" w:rsidRPr="009E1EA6">
        <w:t>PGA at site 1 (near-source) and site 2 (far-field).</w:t>
      </w:r>
    </w:p>
    <w:p w14:paraId="06BC9877" w14:textId="77777777" w:rsidR="00D55191" w:rsidRPr="009E1EA6" w:rsidRDefault="00E46C5D" w:rsidP="00333B77">
      <w:pPr>
        <w:pStyle w:val="Ttulo2"/>
        <w:rPr>
          <w:caps w:val="0"/>
        </w:rPr>
      </w:pPr>
      <w:r w:rsidRPr="009E1EA6">
        <w:rPr>
          <w:caps w:val="0"/>
        </w:rPr>
        <w:lastRenderedPageBreak/>
        <w:t>3.2.2 Ground motions</w:t>
      </w:r>
    </w:p>
    <w:p w14:paraId="0C31BB9D" w14:textId="65CD231C" w:rsidR="00016BE7" w:rsidRPr="009E1EA6" w:rsidRDefault="00B74A7C" w:rsidP="00A651A3">
      <w:pPr>
        <w:pStyle w:val="Textoindependiente"/>
      </w:pPr>
      <w:r w:rsidRPr="009E1EA6">
        <w:t xml:space="preserve">The dynamic response of sliding equipment is highly sensitive to PGA, peak ground velocity (PGV), and frequency content, among other IMs. To capture the influence of the frequency content </w:t>
      </w:r>
      <w:r w:rsidR="009C5DC9" w:rsidRPr="009E1EA6">
        <w:t xml:space="preserve">of the ground motion </w:t>
      </w:r>
      <w:r w:rsidRPr="009E1EA6">
        <w:t>on the sliding response, this study uses different criteria to obtain either near-source or far-field ground motions.</w:t>
      </w:r>
    </w:p>
    <w:p w14:paraId="6AF73A38" w14:textId="526EB8A0" w:rsidR="00283987" w:rsidRPr="009E1EA6" w:rsidRDefault="00A651A3" w:rsidP="00D14A92">
      <w:pPr>
        <w:pStyle w:val="Textoindependiente"/>
      </w:pPr>
      <w:r w:rsidRPr="009E1EA6">
        <w:t xml:space="preserve">In the first case (i.e., near-source ground motions), a dataset of 12 Mexican earthquakes (6 ≤ Mw ≤ 8.2) containing 32 near-source ground motions was selected (Table 1A). The near-source ground motions have an average period </w:t>
      </w:r>
      <m:oMath>
        <m:sSub>
          <m:sSubPr>
            <m:ctrlPr>
              <w:rPr>
                <w:rFonts w:ascii="Cambria Math" w:hAnsi="Cambria Math"/>
                <w:i/>
              </w:rPr>
            </m:ctrlPr>
          </m:sSubPr>
          <m:e>
            <m:r>
              <w:rPr>
                <w:rFonts w:ascii="Cambria Math" w:hAnsi="Cambria Math"/>
              </w:rPr>
              <m:t>T</m:t>
            </m:r>
          </m:e>
          <m:sub>
            <m:r>
              <w:rPr>
                <w:rFonts w:ascii="Cambria Math" w:hAnsi="Cambria Math"/>
              </w:rPr>
              <m:t>ave</m:t>
            </m:r>
          </m:sub>
        </m:sSub>
      </m:oMath>
      <w:r w:rsidR="00AF6E1D" w:rsidRPr="009E1EA6">
        <w:t xml:space="preserve"> (Rathje et al. 1998) between 0.02</w:t>
      </w:r>
      <w:r w:rsidR="009C5DC9" w:rsidRPr="009E1EA6">
        <w:t xml:space="preserve"> s and </w:t>
      </w:r>
      <w:r w:rsidR="00AF6E1D" w:rsidRPr="009E1EA6">
        <w:t>0.56 s (i.e., high frequency content)</w:t>
      </w:r>
      <w:r w:rsidR="00B74A7C" w:rsidRPr="009E1EA6">
        <w:t>,</w:t>
      </w:r>
      <w:r w:rsidR="00AF6E1D" w:rsidRPr="009E1EA6">
        <w:t xml:space="preserve"> as shown in Figure 9</w:t>
      </w:r>
      <w:r w:rsidR="00D14A92" w:rsidRPr="009E1EA6">
        <w:t>. Watson-Lamprey &amp; Abrahamson (2005) showed that scaling factors as high as 20 introduce no bias in the median response of rigid sliding blocks. Herein, the 32 selected ground motions required maximum linear scaling factors (SFs) of 10 to cover the range of intensities needed to develop the fragility functions and the hazard levels of interest.</w:t>
      </w:r>
    </w:p>
    <w:p w14:paraId="29815B6C" w14:textId="32F26E63" w:rsidR="00C57472" w:rsidRPr="009E1EA6" w:rsidRDefault="00B74A7C" w:rsidP="00C57472">
      <w:pPr>
        <w:pStyle w:val="Textoindependiente"/>
        <w:jc w:val="center"/>
      </w:pPr>
      <w:r w:rsidRPr="009E1EA6">
        <w:rPr>
          <w:noProof/>
          <w:lang w:val="es-CL" w:eastAsia="es-CL"/>
        </w:rPr>
        <w:drawing>
          <wp:inline distT="0" distB="0" distL="0" distR="0" wp14:anchorId="242FF258" wp14:editId="5E70DDDA">
            <wp:extent cx="3477895" cy="1804670"/>
            <wp:effectExtent l="0" t="0" r="8255" b="5080"/>
            <wp:docPr id="148384195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887624" name="Picture 1"/>
                    <pic:cNvPicPr>
                      <a:picLocks noChangeAspect="1" noChangeArrowheads="1"/>
                    </pic:cNvPicPr>
                  </pic:nvPicPr>
                  <pic:blipFill>
                    <a:blip r:embed="rId16">
                      <a:extLst>
                        <a:ext uri="{28A0092B-C50C-407E-A947-70E740481C1C}">
                          <a14:useLocalDpi xmlns:a14="http://schemas.microsoft.com/office/drawing/2010/main" val="0"/>
                        </a:ext>
                      </a:extLst>
                    </a:blip>
                    <a:srcRect t="4051"/>
                    <a:stretch>
                      <a:fillRect/>
                    </a:stretch>
                  </pic:blipFill>
                  <pic:spPr bwMode="auto">
                    <a:xfrm>
                      <a:off x="0" y="0"/>
                      <a:ext cx="3477895" cy="1804670"/>
                    </a:xfrm>
                    <a:prstGeom prst="rect">
                      <a:avLst/>
                    </a:prstGeom>
                    <a:noFill/>
                    <a:ln>
                      <a:noFill/>
                    </a:ln>
                    <a:extLst>
                      <a:ext uri="{53640926-AAD7-44D8-BBD7-CCE9431645EC}">
                        <a14:shadowObscured xmlns:a14="http://schemas.microsoft.com/office/drawing/2010/main"/>
                      </a:ext>
                    </a:extLst>
                  </pic:spPr>
                </pic:pic>
              </a:graphicData>
            </a:graphic>
          </wp:inline>
        </w:drawing>
      </w:r>
    </w:p>
    <w:p w14:paraId="629D196C" w14:textId="77777777" w:rsidR="00C57472" w:rsidRPr="009E1EA6" w:rsidRDefault="00B74A7C" w:rsidP="00C57472">
      <w:pPr>
        <w:pStyle w:val="FigureCaption"/>
        <w:spacing w:line="360" w:lineRule="auto"/>
        <w:ind w:left="720" w:hanging="720"/>
      </w:pPr>
      <w:r w:rsidRPr="009E1EA6">
        <w:rPr>
          <w:b/>
        </w:rPr>
        <w:t xml:space="preserve">Figure 9. </w:t>
      </w:r>
      <w:r w:rsidRPr="009E1EA6">
        <w:t>Average period of input ground motions considered for risk analysis</w:t>
      </w:r>
    </w:p>
    <w:p w14:paraId="3FE5203F" w14:textId="06183094" w:rsidR="00D14A92" w:rsidRPr="009E1EA6" w:rsidRDefault="00B74A7C" w:rsidP="00D14A92">
      <w:pPr>
        <w:pStyle w:val="Textoindependiente"/>
      </w:pPr>
      <w:r w:rsidRPr="009E1EA6">
        <w:t xml:space="preserve">A summary of the earthquake parameters is shown in Table </w:t>
      </w:r>
      <w:r w:rsidR="00C57472" w:rsidRPr="009E1EA6">
        <w:t>B1 in Appendix B</w:t>
      </w:r>
      <w:r w:rsidRPr="009E1EA6">
        <w:t xml:space="preserve">; the location of </w:t>
      </w:r>
      <w:r w:rsidR="009C5DC9" w:rsidRPr="009E1EA6">
        <w:t xml:space="preserve">the </w:t>
      </w:r>
      <w:r w:rsidRPr="009E1EA6">
        <w:t xml:space="preserve">epicenters and the ground motion stations is presented in </w:t>
      </w:r>
      <w:r w:rsidR="00C57472" w:rsidRPr="009E1EA6">
        <w:t>Figure 10</w:t>
      </w:r>
      <w:r w:rsidRPr="009E1EA6">
        <w:t>.</w:t>
      </w:r>
    </w:p>
    <w:p w14:paraId="5412ECD3" w14:textId="3551A585" w:rsidR="00C57472" w:rsidRPr="009E1EA6" w:rsidRDefault="00B74A7C" w:rsidP="00C57472">
      <w:pPr>
        <w:pStyle w:val="Textoindependiente"/>
      </w:pPr>
      <w:r w:rsidRPr="009E1EA6">
        <w:t>In the second case (i.e., far-field ground motions), we adopted a set of 48 synthetic ground motions computed in accordance with the 2017 Mexico City Seismic Design Provisions (NTCD-2017; 24 ground motions due to intermediate depth intraslab mechanism and the remaining due to subduction mechanism). The seed ground motions were obtained from the September 19, 2017</w:t>
      </w:r>
      <w:r w:rsidR="00512F02" w:rsidRPr="009E1EA6">
        <w:t>,</w:t>
      </w:r>
      <w:r w:rsidRPr="009E1EA6">
        <w:t xml:space="preserve"> Mw</w:t>
      </w:r>
      <w:r w:rsidR="00512F02" w:rsidRPr="009E1EA6">
        <w:t xml:space="preserve"> </w:t>
      </w:r>
      <w:r w:rsidRPr="009E1EA6">
        <w:t>7.1 intermediate depth instraslab earthquake, and the September 19, 1985</w:t>
      </w:r>
      <w:r w:rsidR="00512F02" w:rsidRPr="009E1EA6">
        <w:t>,</w:t>
      </w:r>
      <w:r w:rsidRPr="009E1EA6">
        <w:t xml:space="preserve"> Mw</w:t>
      </w:r>
      <w:r w:rsidR="00512F02" w:rsidRPr="009E1EA6">
        <w:t xml:space="preserve"> </w:t>
      </w:r>
      <w:r w:rsidRPr="009E1EA6">
        <w:t xml:space="preserve">8.1 subduction interface earthquake, both recorded at </w:t>
      </w:r>
      <w:r w:rsidR="00512F02" w:rsidRPr="009E1EA6">
        <w:t xml:space="preserve">station </w:t>
      </w:r>
      <w:r w:rsidRPr="009E1EA6">
        <w:t xml:space="preserve">CU. These ground motions preserve the main characteristics of the seed records; for instance, the average period </w:t>
      </w:r>
      <w:r w:rsidRPr="009E1EA6">
        <w:lastRenderedPageBreak/>
        <w:t xml:space="preserve">of the synthetic ground motions are scattered between 0.13 s </w:t>
      </w:r>
      <w:r w:rsidR="00512F02" w:rsidRPr="009E1EA6">
        <w:t xml:space="preserve">and </w:t>
      </w:r>
      <w:r w:rsidRPr="009E1EA6">
        <w:t>2.2 s, which is the typical distribution of the average period observed in actual CU records.</w:t>
      </w:r>
    </w:p>
    <w:p w14:paraId="75142F9E" w14:textId="6034960C" w:rsidR="00D14A92" w:rsidRPr="009E1EA6" w:rsidRDefault="00B74A7C" w:rsidP="00D14A92">
      <w:pPr>
        <w:pStyle w:val="Textoindependiente"/>
      </w:pPr>
      <w:r w:rsidRPr="009E1EA6">
        <w:rPr>
          <w:noProof/>
          <w:lang w:val="es-CL" w:eastAsia="es-CL"/>
        </w:rPr>
        <w:drawing>
          <wp:inline distT="0" distB="0" distL="0" distR="0" wp14:anchorId="4E20EB3B" wp14:editId="5FED2494">
            <wp:extent cx="5220000" cy="2862000"/>
            <wp:effectExtent l="0" t="0" r="0" b="0"/>
            <wp:docPr id="97740496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055029" name="Figure 8- Epicentres and Stations.tif"/>
                    <pic:cNvPicPr/>
                  </pic:nvPicPr>
                  <pic:blipFill>
                    <a:blip r:embed="rId17">
                      <a:extLst>
                        <a:ext uri="{28A0092B-C50C-407E-A947-70E740481C1C}">
                          <a14:useLocalDpi xmlns:a14="http://schemas.microsoft.com/office/drawing/2010/main" val="0"/>
                        </a:ext>
                      </a:extLst>
                    </a:blip>
                    <a:srcRect l="1357" t="4096" r="4124" b="28809"/>
                    <a:stretch>
                      <a:fillRect/>
                    </a:stretch>
                  </pic:blipFill>
                  <pic:spPr bwMode="auto">
                    <a:xfrm>
                      <a:off x="0" y="0"/>
                      <a:ext cx="5220000" cy="2862000"/>
                    </a:xfrm>
                    <a:prstGeom prst="rect">
                      <a:avLst/>
                    </a:prstGeom>
                    <a:ln>
                      <a:noFill/>
                    </a:ln>
                    <a:extLst>
                      <a:ext uri="{53640926-AAD7-44D8-BBD7-CCE9431645EC}">
                        <a14:shadowObscured xmlns:a14="http://schemas.microsoft.com/office/drawing/2010/main"/>
                      </a:ext>
                    </a:extLst>
                  </pic:spPr>
                </pic:pic>
              </a:graphicData>
            </a:graphic>
          </wp:inline>
        </w:drawing>
      </w:r>
    </w:p>
    <w:p w14:paraId="2273BFDB" w14:textId="77777777" w:rsidR="00D14A92" w:rsidRPr="009E1EA6" w:rsidRDefault="00C57472" w:rsidP="00D14A92">
      <w:pPr>
        <w:pStyle w:val="FigureCaption"/>
        <w:spacing w:line="360" w:lineRule="auto"/>
        <w:ind w:left="720" w:hanging="720"/>
      </w:pPr>
      <w:r w:rsidRPr="009E1EA6">
        <w:rPr>
          <w:b/>
        </w:rPr>
        <w:t>Figure 10</w:t>
      </w:r>
      <w:r w:rsidR="00B74A7C" w:rsidRPr="009E1EA6">
        <w:rPr>
          <w:b/>
        </w:rPr>
        <w:t>.</w:t>
      </w:r>
      <w:r w:rsidR="00B74A7C" w:rsidRPr="009E1EA6">
        <w:t xml:space="preserve"> Epicenters of selected earthquakes and location of ground motion stations.</w:t>
      </w:r>
    </w:p>
    <w:p w14:paraId="4D93E6FC" w14:textId="4BA42ABC" w:rsidR="00501BBF" w:rsidRPr="009E1EA6" w:rsidRDefault="00B74A7C" w:rsidP="00501BBF">
      <w:pPr>
        <w:pStyle w:val="Textoindependiente"/>
      </w:pPr>
      <w:r w:rsidRPr="009E1EA6">
        <w:t xml:space="preserve">The reason for using synthetic - and not actual - ground motions is the limited number of events recorded at </w:t>
      </w:r>
      <w:r w:rsidR="00512F02" w:rsidRPr="009E1EA6">
        <w:t xml:space="preserve">station </w:t>
      </w:r>
      <w:r w:rsidRPr="009E1EA6">
        <w:t xml:space="preserve">CU that </w:t>
      </w:r>
      <w:r w:rsidR="00086A1F" w:rsidRPr="009E1EA6">
        <w:t xml:space="preserve">result in scaling factors less than </w:t>
      </w:r>
      <w:r w:rsidR="00AE608D" w:rsidRPr="009E1EA6">
        <w:t>10 (only four records from events 1 and 12 in Table B1</w:t>
      </w:r>
      <w:r w:rsidR="00E03D1A" w:rsidRPr="009E1EA6">
        <w:t xml:space="preserve">). These design provisions incorporate the use of an intensity-based assessment approach (i.e., spectra matching, Kiureghian and Neuenhofer 1992) to undertake rigorous nonlinear analysis of structural systems and a site-specific uniform hazard spectra (UHS) for the generation and scaling of ground motions. Since the ground motions must collectively represent the design earthquakes, it is required that the source mechanism of the seed records be representative of the local seismicity and that their frequency and energy content be compatible with those observed in real records. Based on seismic hazard deaggregation studies, the recent design provisions establish that the design earthquakes within Mexico City must be mainly controlled by two seismic scenarios (NTCD-2017): (1) an intermediate depth instraslab event with a magnitude Mw=7.5 at a rupture distance of 150 km and (2) a subduction event with magnitude Mw=7.8 at a distance of 265 km. In this regard, linear scaling factors less than 10 were used to cover the range of intensities needed to develop the fragility functions. </w:t>
      </w:r>
      <w:r w:rsidR="00174072" w:rsidRPr="009E1EA6">
        <w:rPr>
          <w:szCs w:val="24"/>
          <w:bdr w:val="none" w:sz="0" w:space="0" w:color="auto" w:frame="1"/>
          <w:lang w:eastAsia="es-CL"/>
        </w:rPr>
        <w:t>R</w:t>
      </w:r>
      <w:r w:rsidR="00473D11" w:rsidRPr="009E1EA6">
        <w:rPr>
          <w:szCs w:val="24"/>
          <w:lang w:eastAsia="es-CL"/>
        </w:rPr>
        <w:t>esearch is underway to assess the consequences of linearly scaling ground motions within the context of an incremental dynamic analysis of sliding rigid bodies.</w:t>
      </w:r>
    </w:p>
    <w:p w14:paraId="3E1134C1" w14:textId="77777777" w:rsidR="00727680" w:rsidRPr="009E1EA6" w:rsidRDefault="00B74A7C" w:rsidP="00333B77">
      <w:pPr>
        <w:pStyle w:val="Ttulo2"/>
        <w:rPr>
          <w:sz w:val="24"/>
          <w:szCs w:val="24"/>
        </w:rPr>
      </w:pPr>
      <w:r w:rsidRPr="009E1EA6">
        <w:rPr>
          <w:sz w:val="24"/>
          <w:szCs w:val="24"/>
        </w:rPr>
        <w:lastRenderedPageBreak/>
        <w:t>3.3 Seismic RESPONSE OF ELECTRICAL EQUIPMENT</w:t>
      </w:r>
    </w:p>
    <w:p w14:paraId="35219679" w14:textId="568B568A" w:rsidR="003D3789" w:rsidRPr="009E1EA6" w:rsidRDefault="00E325E1" w:rsidP="00AB7DF1">
      <w:pPr>
        <w:pStyle w:val="Textoindependiente"/>
        <w:ind w:firstLine="425"/>
      </w:pPr>
      <w:r w:rsidRPr="009E1EA6">
        <w:t>For each support condition (freestanding, anchored, or base isolated), the response of the equipment due to the 32 near-source and 48 far-ﬁeld ground motions was computed numerically. Ground motions were scaled to PGA between 0.05 and 1.</w:t>
      </w:r>
      <w:r w:rsidR="00B74A7C" w:rsidRPr="009E1EA6">
        <w:t>2g</w:t>
      </w:r>
      <w:r w:rsidRPr="009E1EA6">
        <w:t xml:space="preserve"> (near-source), in 0.</w:t>
      </w:r>
      <w:r w:rsidR="00B74A7C" w:rsidRPr="009E1EA6">
        <w:t>05g</w:t>
      </w:r>
      <w:r w:rsidRPr="009E1EA6">
        <w:t xml:space="preserve"> increments and between 0.05 and 0.</w:t>
      </w:r>
      <w:r w:rsidR="00B74A7C" w:rsidRPr="009E1EA6">
        <w:t>35g</w:t>
      </w:r>
      <w:r w:rsidRPr="009E1EA6">
        <w:t xml:space="preserve"> (far-ﬁeld), in 0.</w:t>
      </w:r>
      <w:r w:rsidR="00B74A7C" w:rsidRPr="009E1EA6">
        <w:t>02g</w:t>
      </w:r>
      <w:r w:rsidRPr="009E1EA6">
        <w:t xml:space="preserve"> increments, from which fragility functions were developed. The next examples discuss the sliding response of three identical blocks with different support conditions: simply supported, linear viscoelastic base-isolated (</w:t>
      </w:r>
      <m:oMath>
        <m:r>
          <w:rPr>
            <w:rFonts w:ascii="Cambria Math" w:hAnsi="Cambria Math"/>
            <w:szCs w:val="24"/>
          </w:rPr>
          <m:t>γ</m:t>
        </m:r>
        <m:r>
          <w:rPr>
            <w:rFonts w:ascii="Cambria Math" w:hAnsi="Cambria Math"/>
            <w:lang w:eastAsia="es-MX"/>
          </w:rPr>
          <m:t>=0.1</m:t>
        </m:r>
      </m:oMath>
      <w:r w:rsidR="004E5959" w:rsidRPr="009E1EA6">
        <w:rPr>
          <w:lang w:eastAsia="es-MX"/>
        </w:rPr>
        <w:t xml:space="preserve">,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=2π/</m:t>
        </m:r>
        <m:sSub>
          <m:sSubPr>
            <m:ctrlPr>
              <w:rPr>
                <w:rFonts w:ascii="Cambria Math" w:hAnsi="Cambria Math"/>
                <w:i/>
              </w:rPr>
            </m:ctrlPr>
          </m:sSubPr>
          <m:e>
            <m:r>
              <w:rPr>
                <w:rFonts w:ascii="Cambria Math" w:hAnsi="Cambria Math"/>
              </w:rPr>
              <m:t>ω</m:t>
            </m:r>
          </m:e>
          <m:sub>
            <m:r>
              <w:rPr>
                <w:rFonts w:ascii="Cambria Math" w:hAnsi="Cambria Math"/>
              </w:rPr>
              <m:t>b</m:t>
            </m:r>
          </m:sub>
        </m:sSub>
        <m:r>
          <w:rPr>
            <w:rFonts w:ascii="Cambria Math" w:hAnsi="Cambria Math"/>
          </w:rPr>
          <m:t xml:space="preserve">=2.5 </m:t>
        </m:r>
        <m:r>
          <m:rPr>
            <m:sty m:val="p"/>
          </m:rPr>
          <w:rPr>
            <w:rFonts w:ascii="Cambria Math" w:hAnsi="Cambria Math"/>
          </w:rPr>
          <m:t>s</m:t>
        </m:r>
      </m:oMath>
      <w:r w:rsidRPr="009E1EA6">
        <w:t xml:space="preserve">, and </w:t>
      </w:r>
      <m:oMath>
        <m:sSub>
          <m:sSubPr>
            <m:ctrlPr>
              <w:rPr>
                <w:rFonts w:ascii="Cambria Math" w:hAnsi="Cambria Math"/>
                <w:i/>
              </w:rPr>
            </m:ctrlPr>
          </m:sSubPr>
          <m:e>
            <m:r>
              <w:rPr>
                <w:rFonts w:ascii="Cambria Math" w:hAnsi="Cambria Math"/>
                <w:szCs w:val="24"/>
              </w:rPr>
              <m:t>ξ</m:t>
            </m:r>
          </m:e>
          <m:sub>
            <m:r>
              <w:rPr>
                <w:rFonts w:ascii="Cambria Math" w:hAnsi="Cambria Math"/>
              </w:rPr>
              <m:t>b</m:t>
            </m:r>
          </m:sub>
        </m:sSub>
      </m:oMath>
      <w:r w:rsidR="00E76990" w:rsidRPr="009E1EA6">
        <w:t>=0.25), and anchored to a fixed base (</w:t>
      </w:r>
      <m:oMath>
        <m:sSub>
          <m:sSubPr>
            <m:ctrlPr>
              <w:rPr>
                <w:rFonts w:ascii="Cambria Math" w:hAnsi="Cambria Math"/>
                <w:i/>
              </w:rPr>
            </m:ctrlPr>
          </m:sSubPr>
          <m:e>
            <m:r>
              <w:rPr>
                <w:rFonts w:ascii="Cambria Math" w:hAnsi="Cambria Math"/>
              </w:rPr>
              <m:t>T</m:t>
            </m:r>
          </m:e>
          <m:sub>
            <m:r>
              <w:rPr>
                <w:rFonts w:ascii="Cambria Math" w:hAnsi="Cambria Math"/>
              </w:rPr>
              <m:t>eq</m:t>
            </m:r>
          </m:sub>
        </m:sSub>
      </m:oMath>
      <w:r w:rsidR="00E76990" w:rsidRPr="009E1EA6">
        <w:t>=0.1 s</w:t>
      </w:r>
      <w:r w:rsidR="00971EE8" w:rsidRPr="009E1EA6">
        <w:t xml:space="preserve">,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/W=0.3</m:t>
        </m:r>
      </m:oMath>
      <w:r w:rsidR="00971EE8" w:rsidRPr="009E1EA6">
        <w:t xml:space="preserve">, </w:t>
      </w:r>
      <m:oMath>
        <m:sSub>
          <m:sSubPr>
            <m:ctrlPr>
              <w:rPr>
                <w:rFonts w:ascii="Cambria Math" w:hAnsi="Cambria Math"/>
                <w:i/>
              </w:rPr>
            </m:ctrlPr>
          </m:sSubPr>
          <m:e>
            <m:r>
              <w:rPr>
                <w:rFonts w:ascii="Cambria Math" w:hAnsi="Cambria Math"/>
              </w:rPr>
              <m:t>T</m:t>
            </m:r>
          </m:e>
          <m:sub>
            <m:r>
              <w:rPr>
                <w:rFonts w:ascii="Cambria Math" w:hAnsi="Cambria Math"/>
              </w:rPr>
              <m:t>0</m:t>
            </m:r>
          </m:sub>
        </m:sSub>
        <m:r>
          <w:rPr>
            <w:rFonts w:ascii="Cambria Math" w:hAnsi="Cambria Math"/>
          </w:rPr>
          <m:t>=0</m:t>
        </m:r>
      </m:oMath>
      <w:r w:rsidR="00971EE8" w:rsidRPr="009E1EA6">
        <w:t xml:space="preserve">, </w:t>
      </w:r>
      <m:oMath>
        <m:r>
          <w:rPr>
            <w:rFonts w:ascii="Cambria Math" w:hAnsi="Cambria Math"/>
          </w:rPr>
          <m:t>μ=2</m:t>
        </m:r>
      </m:oMath>
      <w:r w:rsidR="002B5CB8" w:rsidRPr="009E1EA6">
        <w:t xml:space="preserve">). For the three blocks, a friction coefficient of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=0.1</m:t>
        </m:r>
      </m:oMath>
      <w:r w:rsidR="002B5CB8" w:rsidRPr="009E1EA6">
        <w:t xml:space="preserve"> was considered at the support.</w:t>
      </w:r>
    </w:p>
    <w:p w14:paraId="649668EF" w14:textId="45A32792" w:rsidR="00FF0EC5" w:rsidRPr="009E1EA6" w:rsidRDefault="008C15EB" w:rsidP="007F65E4">
      <w:pPr>
        <w:pStyle w:val="Textoindependiente"/>
        <w:ind w:firstLine="425"/>
      </w:pPr>
      <w:r w:rsidRPr="009E1EA6">
        <w:t xml:space="preserve">In the first example, consider three blocks subjected to the </w:t>
      </w:r>
      <w:r w:rsidR="00512F02" w:rsidRPr="009E1EA6">
        <w:t>east</w:t>
      </w:r>
      <w:r w:rsidRPr="009E1EA6">
        <w:t>-</w:t>
      </w:r>
      <w:r w:rsidR="00512F02" w:rsidRPr="009E1EA6">
        <w:t xml:space="preserve">west </w:t>
      </w:r>
      <w:r w:rsidRPr="009E1EA6">
        <w:t xml:space="preserve">component of the ground motion recorded at </w:t>
      </w:r>
      <w:r w:rsidR="00512F02" w:rsidRPr="009E1EA6">
        <w:t xml:space="preserve">station </w:t>
      </w:r>
      <w:r w:rsidRPr="009E1EA6">
        <w:t>SCRU during the Mw</w:t>
      </w:r>
      <w:r w:rsidR="00512F02" w:rsidRPr="009E1EA6">
        <w:t xml:space="preserve"> </w:t>
      </w:r>
      <w:r w:rsidRPr="009E1EA6">
        <w:t xml:space="preserve">8.2 Chiapas earthquake of 2017. A factor of 4.3 was used to scale PGA to 1.0g. The ground acceleration and the block response histories are presented in </w:t>
      </w:r>
      <w:r w:rsidR="00C57472" w:rsidRPr="009E1EA6">
        <w:t>Figure 11</w:t>
      </w:r>
      <w:r w:rsidR="00976A8A" w:rsidRPr="009E1EA6">
        <w:t>. This plot shows that in the simply supported equipment (left) and the linear viscoelastic base-isolated equipment (middle)</w:t>
      </w:r>
      <w:r w:rsidR="00B74A7C" w:rsidRPr="009E1EA6">
        <w:t>,</w:t>
      </w:r>
      <w:r w:rsidR="00976A8A" w:rsidRPr="009E1EA6">
        <w:t xml:space="preserve"> the maximum block acceleration is</w:t>
      </w:r>
      <m:oMath>
        <m:r>
          <m:rPr>
            <m:sty m:val="p"/>
          </m:rPr>
          <w:rPr>
            <w:rFonts w:ascii="Cambria Math" w:hAnsi="Cambria Math"/>
          </w:rPr>
          <m:t xml:space="preserve"> </m:t>
        </m:r>
        <m:r>
          <w:rPr>
            <w:rFonts w:ascii="Cambria Math" w:hAnsi="Cambria Math"/>
          </w:rPr>
          <m:t>A=</m:t>
        </m:r>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g=0.1 g</m:t>
        </m:r>
      </m:oMath>
      <w:r w:rsidR="006E426C" w:rsidRPr="009E1EA6">
        <w:t xml:space="preserve">, i.e., the mobilization of </w:t>
      </w:r>
      <w:r w:rsidR="00512F02" w:rsidRPr="009E1EA6">
        <w:t xml:space="preserve">the </w:t>
      </w:r>
      <w:r w:rsidR="006E426C" w:rsidRPr="009E1EA6">
        <w:t xml:space="preserve">shear strength at the support prevents the block from developing larger acceleration values. In contrast, the anchored equipment (right) develops large accelerations in the early phase of the ground motion, as the restrainers transmit acceleration pulses to the equipment in excess of </w:t>
      </w:r>
      <m:oMath>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00822F17" w:rsidRPr="009E1EA6">
        <w:t>. After the anchor’s fracture (</w:t>
      </w:r>
      <m:oMath>
        <m:r>
          <w:rPr>
            <w:rFonts w:ascii="Cambria Math" w:hAnsi="Cambria Math"/>
          </w:rPr>
          <m:t>t≈24 s</m:t>
        </m:r>
      </m:oMath>
      <w:r w:rsidR="00EF3EC4" w:rsidRPr="009E1EA6">
        <w:t xml:space="preserve">), the </w:t>
      </w:r>
      <w:r w:rsidR="00971EE8" w:rsidRPr="009E1EA6">
        <w:t>block behaves as a freestanding block</w:t>
      </w:r>
      <w:r w:rsidR="00B74A7C" w:rsidRPr="009E1EA6">
        <w:t>,</w:t>
      </w:r>
      <w:r w:rsidR="00971EE8" w:rsidRPr="009E1EA6">
        <w:t xml:space="preserve"> and the maximum accelerations remain bounded by </w:t>
      </w:r>
      <m:oMath>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005114FB" w:rsidRPr="009E1EA6">
        <w:t xml:space="preserve">. On the other hand, the maximum displacement </w:t>
      </w:r>
      <m:oMath>
        <m:r>
          <w:rPr>
            <w:rFonts w:ascii="Cambria Math" w:hAnsi="Cambria Math"/>
          </w:rPr>
          <m:t>D</m:t>
        </m:r>
      </m:oMath>
      <w:r w:rsidR="005114FB" w:rsidRPr="009E1EA6">
        <w:t xml:space="preserve"> is nearly identical for the simply supported and anchored equipment (</w:t>
      </w:r>
      <m:oMath>
        <m:r>
          <w:rPr>
            <w:rFonts w:ascii="Cambria Math" w:hAnsi="Cambria Math"/>
          </w:rPr>
          <m:t>D ~0.25 m</m:t>
        </m:r>
      </m:oMath>
      <w:r w:rsidR="00165225" w:rsidRPr="009E1EA6">
        <w:t xml:space="preserve">) and slightly lower in the linear viscoelastic </w:t>
      </w:r>
      <w:r w:rsidR="00512F02" w:rsidRPr="009E1EA6">
        <w:t>base-</w:t>
      </w:r>
      <w:r w:rsidR="00165225" w:rsidRPr="009E1EA6">
        <w:t>isolated equipment (</w:t>
      </w:r>
      <m:oMath>
        <m:r>
          <w:rPr>
            <w:rFonts w:ascii="Cambria Math" w:hAnsi="Cambria Math"/>
          </w:rPr>
          <m:t>D ~0.23 m</m:t>
        </m:r>
      </m:oMath>
      <w:r w:rsidR="00A42A50" w:rsidRPr="009E1EA6">
        <w:t xml:space="preserve">). Finally, note that the residual displacement in the simply supported anchored blocks is approximately </w:t>
      </w:r>
      <w:r w:rsidR="004618AB" w:rsidRPr="009E1EA6">
        <w:t>0.09</w:t>
      </w:r>
      <w:r w:rsidR="005114FB" w:rsidRPr="009E1EA6">
        <w:t xml:space="preserve"> m, almost twice that computed in the linear viscoelastic base-isolated block (0.046 cm). This level of permanent displacement during strong ground shaking may render equipment unusable or significantly damaged.</w:t>
      </w:r>
    </w:p>
    <w:p w14:paraId="794495E0" w14:textId="1F31E8A8" w:rsidR="007227A6" w:rsidRPr="009E1EA6" w:rsidRDefault="00B74A7C" w:rsidP="007227A6">
      <w:pPr>
        <w:pStyle w:val="Textoindependiente"/>
        <w:ind w:firstLine="357"/>
      </w:pPr>
      <w:r w:rsidRPr="009E1EA6">
        <w:t>In th</w:t>
      </w:r>
      <w:r w:rsidR="005F595C" w:rsidRPr="009E1EA6">
        <w:t>e</w:t>
      </w:r>
      <w:r w:rsidRPr="009E1EA6">
        <w:t xml:space="preserve"> second example, the same three blocks were subjected to the </w:t>
      </w:r>
      <w:r w:rsidR="00512F02" w:rsidRPr="009E1EA6">
        <w:t xml:space="preserve">east-west </w:t>
      </w:r>
      <w:r w:rsidRPr="009E1EA6">
        <w:t xml:space="preserve">component of the ground motion recorded at </w:t>
      </w:r>
      <w:r w:rsidR="00512F02" w:rsidRPr="009E1EA6">
        <w:t xml:space="preserve">station </w:t>
      </w:r>
      <w:r w:rsidRPr="009E1EA6">
        <w:t xml:space="preserve">CU (far-ﬁeld) during the 2017 Puebla earthquake. A scale factor of 6.2 was applied to yield a PGA of 0.35g; results from these analyses are shown in </w:t>
      </w:r>
      <w:r w:rsidR="00C57472" w:rsidRPr="009E1EA6">
        <w:t>Figure 12</w:t>
      </w:r>
      <w:r w:rsidRPr="009E1EA6">
        <w:t xml:space="preserve">. Similar to example 1, the maximum block acceleration is bounded by </w:t>
      </w:r>
      <m:oMath>
        <m:sSub>
          <m:sSubPr>
            <m:ctrlPr>
              <w:rPr>
                <w:rFonts w:ascii="Cambria Math" w:hAnsi="Cambria Math"/>
                <w:i/>
                <w:iCs/>
              </w:rPr>
            </m:ctrlPr>
          </m:sSubPr>
          <m:e>
            <m:r>
              <w:rPr>
                <w:rFonts w:ascii="Cambria Math" w:hAnsi="Cambria Math"/>
              </w:rPr>
              <m:t>μ</m:t>
            </m:r>
          </m:e>
          <m:sub>
            <m:r>
              <w:rPr>
                <w:rFonts w:ascii="Cambria Math" w:hAnsi="Cambria Math"/>
              </w:rPr>
              <m:t>k</m:t>
            </m:r>
          </m:sub>
        </m:sSub>
        <m:r>
          <w:rPr>
            <w:rFonts w:ascii="Cambria Math" w:hAnsi="Cambria Math"/>
          </w:rPr>
          <m:t>g</m:t>
        </m:r>
      </m:oMath>
      <w:r w:rsidRPr="009E1EA6">
        <w:t xml:space="preserve"> in the simply supported blocks</w:t>
      </w:r>
      <w:r w:rsidR="00160CAF" w:rsidRPr="009E1EA6">
        <w:t>. In contrast, the anchors did not fail</w:t>
      </w:r>
      <w:r w:rsidRPr="009E1EA6">
        <w:t>,</w:t>
      </w:r>
      <w:r w:rsidR="00160CAF" w:rsidRPr="009E1EA6">
        <w:t xml:space="preserve"> and the anchored block developed a maximum acceleration of </w:t>
      </w:r>
      <m:oMath>
        <m:r>
          <w:rPr>
            <w:rFonts w:ascii="Cambria Math" w:hAnsi="Cambria Math"/>
          </w:rPr>
          <m:t>A≈0.58g</m:t>
        </m:r>
      </m:oMath>
      <w:r w:rsidR="00376BCE" w:rsidRPr="009E1EA6">
        <w:t xml:space="preserve">. In terms of maximum displacements </w:t>
      </w:r>
      <m:oMath>
        <m:r>
          <w:rPr>
            <w:rFonts w:ascii="Cambria Math" w:hAnsi="Cambria Math"/>
          </w:rPr>
          <m:t>D</m:t>
        </m:r>
      </m:oMath>
      <w:r w:rsidR="00376BCE" w:rsidRPr="009E1EA6">
        <w:t xml:space="preserve">, the </w:t>
      </w:r>
      <w:r w:rsidR="00376BCE" w:rsidRPr="009E1EA6">
        <w:lastRenderedPageBreak/>
        <w:t xml:space="preserve">freestanding block reached </w:t>
      </w:r>
      <m:oMath>
        <m:r>
          <w:rPr>
            <w:rFonts w:ascii="Cambria Math" w:hAnsi="Cambria Math"/>
          </w:rPr>
          <m:t>5.4 cm</m:t>
        </m:r>
      </m:oMath>
      <w:r w:rsidR="00376BCE" w:rsidRPr="009E1EA6">
        <w:t xml:space="preserve">, whereas the </w:t>
      </w:r>
      <w:r w:rsidR="00512F02" w:rsidRPr="009E1EA6">
        <w:t>base-</w:t>
      </w:r>
      <w:r w:rsidR="00376BCE" w:rsidRPr="009E1EA6">
        <w:t xml:space="preserve">isolated block and the anchored block developed </w:t>
      </w:r>
      <m:oMath>
        <m:r>
          <w:rPr>
            <w:rFonts w:ascii="Cambria Math" w:hAnsi="Cambria Math"/>
          </w:rPr>
          <m:t>D</m:t>
        </m:r>
      </m:oMath>
      <w:r w:rsidRPr="009E1EA6">
        <w:t xml:space="preserve"> values close to zero. The permanent displacement in the three support conditions studied was less than 1 cm. Despite the large ground motion intensity, the benefits of displacement mitigation measures are not evident from this example. A proper assessment of these demand parameters is critical for retrofitting and designing sensitive equipment because they provide the basis for risk-based decision making.</w:t>
      </w:r>
    </w:p>
    <w:p w14:paraId="5736B8A5" w14:textId="1A5DF2D6" w:rsidR="008C4020" w:rsidRPr="009E1EA6" w:rsidRDefault="00B74A7C" w:rsidP="005114FB">
      <w:pPr>
        <w:pStyle w:val="Textoindependiente"/>
        <w:spacing w:after="0" w:line="240" w:lineRule="auto"/>
        <w:ind w:firstLine="0"/>
        <w:jc w:val="center"/>
      </w:pPr>
      <w:r w:rsidRPr="009E1EA6">
        <w:rPr>
          <w:noProof/>
          <w:lang w:val="es-CL" w:eastAsia="es-CL"/>
        </w:rPr>
        <w:drawing>
          <wp:inline distT="0" distB="0" distL="0" distR="0" wp14:anchorId="1A0023EB" wp14:editId="126EBED9">
            <wp:extent cx="5723255" cy="2889504"/>
            <wp:effectExtent l="0" t="0" r="0" b="6350"/>
            <wp:docPr id="49041703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721777" name="Picture 1"/>
                    <pic:cNvPicPr>
                      <a:picLocks noChangeAspect="1" noChangeArrowheads="1"/>
                    </pic:cNvPicPr>
                  </pic:nvPicPr>
                  <pic:blipFill>
                    <a:blip r:embed="rId18">
                      <a:extLst>
                        <a:ext uri="{28A0092B-C50C-407E-A947-70E740481C1C}">
                          <a14:useLocalDpi xmlns:a14="http://schemas.microsoft.com/office/drawing/2010/main" val="0"/>
                        </a:ext>
                      </a:extLst>
                    </a:blip>
                    <a:srcRect b="1377"/>
                    <a:stretch>
                      <a:fillRect/>
                    </a:stretch>
                  </pic:blipFill>
                  <pic:spPr bwMode="auto">
                    <a:xfrm>
                      <a:off x="0" y="0"/>
                      <a:ext cx="5723890" cy="2889825"/>
                    </a:xfrm>
                    <a:prstGeom prst="rect">
                      <a:avLst/>
                    </a:prstGeom>
                    <a:noFill/>
                    <a:ln>
                      <a:noFill/>
                    </a:ln>
                    <a:extLst>
                      <a:ext uri="{53640926-AAD7-44D8-BBD7-CCE9431645EC}">
                        <a14:shadowObscured xmlns:a14="http://schemas.microsoft.com/office/drawing/2010/main"/>
                      </a:ext>
                    </a:extLst>
                  </pic:spPr>
                </pic:pic>
              </a:graphicData>
            </a:graphic>
          </wp:inline>
        </w:drawing>
      </w:r>
    </w:p>
    <w:p w14:paraId="69567EF6" w14:textId="47700509" w:rsidR="00BB1B3D" w:rsidRPr="009E1EA6" w:rsidRDefault="00C57472" w:rsidP="007227A6">
      <w:pPr>
        <w:pStyle w:val="FigureCaption"/>
        <w:spacing w:after="100" w:line="360" w:lineRule="auto"/>
        <w:rPr>
          <w:b/>
        </w:rPr>
      </w:pPr>
      <w:r w:rsidRPr="009E1EA6">
        <w:rPr>
          <w:b/>
        </w:rPr>
        <w:t>Figure 11</w:t>
      </w:r>
      <w:r w:rsidR="00B74A7C" w:rsidRPr="009E1EA6">
        <w:rPr>
          <w:b/>
        </w:rPr>
        <w:t xml:space="preserve">. </w:t>
      </w:r>
      <w:r w:rsidR="002540EF" w:rsidRPr="009E1EA6">
        <w:t>Seismic response of equipment to the September 7</w:t>
      </w:r>
      <w:r w:rsidR="00512F02" w:rsidRPr="009E1EA6">
        <w:t>,</w:t>
      </w:r>
      <w:r w:rsidR="002540EF" w:rsidRPr="009E1EA6">
        <w:t xml:space="preserve"> 2017</w:t>
      </w:r>
      <w:r w:rsidR="00512F02" w:rsidRPr="009E1EA6">
        <w:t>,</w:t>
      </w:r>
      <w:r w:rsidR="002540EF" w:rsidRPr="009E1EA6">
        <w:t xml:space="preserve"> Mw</w:t>
      </w:r>
      <w:r w:rsidR="00512F02" w:rsidRPr="009E1EA6">
        <w:t xml:space="preserve"> </w:t>
      </w:r>
      <w:r w:rsidR="002540EF" w:rsidRPr="009E1EA6">
        <w:t xml:space="preserve">8.2 earthquake recorded at </w:t>
      </w:r>
      <w:r w:rsidR="00512F02" w:rsidRPr="009E1EA6">
        <w:t xml:space="preserve">the </w:t>
      </w:r>
      <w:r w:rsidR="002540EF" w:rsidRPr="009E1EA6">
        <w:t>SCRU station (near source) scaled to PGA=1.0g. Left: equipment simply supported on a fixed base; middle: equipment supported on a linear viscoelastic isolation system;</w:t>
      </w:r>
      <w:r w:rsidR="00512F02" w:rsidRPr="009E1EA6">
        <w:t xml:space="preserve"> and</w:t>
      </w:r>
      <w:r w:rsidR="002540EF" w:rsidRPr="009E1EA6">
        <w:t xml:space="preserve"> right: equipment anchored to a fixed base.</w:t>
      </w:r>
    </w:p>
    <w:p w14:paraId="36518839" w14:textId="4AF4654E" w:rsidR="001D56AD" w:rsidRPr="009E1EA6" w:rsidRDefault="00B74A7C" w:rsidP="001D56AD">
      <w:pPr>
        <w:pStyle w:val="Textoindependiente"/>
        <w:ind w:firstLine="0"/>
      </w:pPr>
      <w:r w:rsidRPr="009E1EA6">
        <w:rPr>
          <w:noProof/>
          <w:lang w:val="es-CL" w:eastAsia="es-CL"/>
        </w:rPr>
        <w:drawing>
          <wp:inline distT="0" distB="0" distL="0" distR="0" wp14:anchorId="2F002B4F" wp14:editId="348A53A9">
            <wp:extent cx="5722620" cy="2711303"/>
            <wp:effectExtent l="0" t="0" r="0" b="0"/>
            <wp:docPr id="96757747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565579" name="Picture 2"/>
                    <pic:cNvPicPr>
                      <a:picLocks noChangeAspect="1" noChangeArrowheads="1"/>
                    </pic:cNvPicPr>
                  </pic:nvPicPr>
                  <pic:blipFill>
                    <a:blip r:embed="rId19">
                      <a:extLst>
                        <a:ext uri="{28A0092B-C50C-407E-A947-70E740481C1C}">
                          <a14:useLocalDpi xmlns:a14="http://schemas.microsoft.com/office/drawing/2010/main" val="0"/>
                        </a:ext>
                      </a:extLst>
                    </a:blip>
                    <a:srcRect t="4735" b="2394"/>
                    <a:stretch>
                      <a:fillRect/>
                    </a:stretch>
                  </pic:blipFill>
                  <pic:spPr bwMode="auto">
                    <a:xfrm>
                      <a:off x="0" y="0"/>
                      <a:ext cx="5723890" cy="2711905"/>
                    </a:xfrm>
                    <a:prstGeom prst="rect">
                      <a:avLst/>
                    </a:prstGeom>
                    <a:noFill/>
                    <a:ln>
                      <a:noFill/>
                    </a:ln>
                    <a:extLst>
                      <a:ext uri="{53640926-AAD7-44D8-BBD7-CCE9431645EC}">
                        <a14:shadowObscured xmlns:a14="http://schemas.microsoft.com/office/drawing/2010/main"/>
                      </a:ext>
                    </a:extLst>
                  </pic:spPr>
                </pic:pic>
              </a:graphicData>
            </a:graphic>
          </wp:inline>
        </w:drawing>
      </w:r>
    </w:p>
    <w:p w14:paraId="70E3B8EA" w14:textId="2A248056" w:rsidR="002540EF" w:rsidRPr="009E1EA6" w:rsidRDefault="00C57472" w:rsidP="00333B77">
      <w:pPr>
        <w:pStyle w:val="FigureCaption"/>
        <w:spacing w:line="360" w:lineRule="auto"/>
      </w:pPr>
      <w:r w:rsidRPr="009E1EA6">
        <w:rPr>
          <w:b/>
        </w:rPr>
        <w:lastRenderedPageBreak/>
        <w:t>Figure 12</w:t>
      </w:r>
      <w:r w:rsidR="00934D39" w:rsidRPr="009E1EA6">
        <w:t>. Seismic response of equipment to the September 19</w:t>
      </w:r>
      <w:r w:rsidR="00537889" w:rsidRPr="009E1EA6">
        <w:t>,</w:t>
      </w:r>
      <w:r w:rsidR="00B74A7C" w:rsidRPr="009E1EA6">
        <w:t xml:space="preserve"> 2017</w:t>
      </w:r>
      <w:r w:rsidR="00537889" w:rsidRPr="009E1EA6">
        <w:t>,</w:t>
      </w:r>
      <w:r w:rsidR="00B74A7C" w:rsidRPr="009E1EA6">
        <w:t xml:space="preserve"> Mw</w:t>
      </w:r>
      <w:r w:rsidR="00537889" w:rsidRPr="009E1EA6">
        <w:t xml:space="preserve"> </w:t>
      </w:r>
      <w:r w:rsidR="00B74A7C" w:rsidRPr="009E1EA6">
        <w:t xml:space="preserve">7.1 earthquake recorded at </w:t>
      </w:r>
      <w:r w:rsidR="00537889" w:rsidRPr="009E1EA6">
        <w:t xml:space="preserve">the </w:t>
      </w:r>
      <w:r w:rsidR="00B74A7C" w:rsidRPr="009E1EA6">
        <w:t xml:space="preserve">CU station (far-ﬁeld) scaled to PGA=0.35g. Left: equipment simply supported on a fixed base; middle: equipment supported on a linear viscoelastic isolation system; </w:t>
      </w:r>
      <w:r w:rsidR="00537889" w:rsidRPr="009E1EA6">
        <w:t xml:space="preserve">and </w:t>
      </w:r>
      <w:r w:rsidR="00B74A7C" w:rsidRPr="009E1EA6">
        <w:t>right: equipment restrained to a fixed base.</w:t>
      </w:r>
    </w:p>
    <w:p w14:paraId="6B39CA6A" w14:textId="77777777" w:rsidR="00520A41" w:rsidRPr="009E1EA6" w:rsidRDefault="00B74A7C" w:rsidP="00520A41">
      <w:pPr>
        <w:pStyle w:val="Ttulo2"/>
        <w:rPr>
          <w:sz w:val="24"/>
          <w:szCs w:val="24"/>
        </w:rPr>
      </w:pPr>
      <w:r w:rsidRPr="009E1EA6">
        <w:rPr>
          <w:sz w:val="24"/>
          <w:szCs w:val="24"/>
        </w:rPr>
        <w:t>3.4 FRAGILITY FUNCTIONS</w:t>
      </w:r>
    </w:p>
    <w:p w14:paraId="23172372" w14:textId="75BDE93E" w:rsidR="00405360" w:rsidRPr="009E1EA6" w:rsidRDefault="00B74A7C" w:rsidP="00243AD7">
      <w:pPr>
        <w:pStyle w:val="Textoindependiente"/>
        <w:ind w:firstLine="425"/>
      </w:pPr>
      <w:r w:rsidRPr="009E1EA6">
        <w:t xml:space="preserve">After running the IDAs, the fragility functions for the maximum block displacement </w:t>
      </w:r>
      <m:oMath>
        <m:r>
          <w:rPr>
            <w:rFonts w:ascii="Cambria Math" w:hAnsi="Cambria Math"/>
          </w:rPr>
          <m:t>D</m:t>
        </m:r>
      </m:oMath>
      <w:r w:rsidRPr="009E1EA6">
        <w:t xml:space="preserve"> and the maximum block acceleration </w:t>
      </w:r>
      <m:oMath>
        <m:r>
          <w:rPr>
            <w:rFonts w:ascii="Cambria Math" w:hAnsi="Cambria Math"/>
          </w:rPr>
          <m:t>A</m:t>
        </m:r>
      </m:oMath>
      <w:r w:rsidRPr="009E1EA6">
        <w:t xml:space="preserve"> are computed for each block configuration as described in Section 2.2.</w:t>
      </w:r>
    </w:p>
    <w:p w14:paraId="49B78549" w14:textId="539E43D9" w:rsidR="002C65BD" w:rsidRPr="009E1EA6" w:rsidRDefault="004F589C" w:rsidP="00243AD7">
      <w:pPr>
        <w:pStyle w:val="Textoindependiente"/>
        <w:ind w:firstLine="425"/>
      </w:pPr>
      <w:r w:rsidRPr="009E1EA6">
        <w:rPr>
          <w:szCs w:val="24"/>
        </w:rPr>
        <w:t xml:space="preserve">To </w:t>
      </w:r>
      <w:r w:rsidR="00B74A7C" w:rsidRPr="009E1EA6">
        <w:rPr>
          <w:szCs w:val="24"/>
        </w:rPr>
        <w:t xml:space="preserve">illustrate </w:t>
      </w:r>
      <w:r w:rsidRPr="009E1EA6">
        <w:rPr>
          <w:szCs w:val="24"/>
        </w:rPr>
        <w:t xml:space="preserve">the effects of the ground motion variability on the displacement </w:t>
      </w:r>
      <m:oMath>
        <m:r>
          <w:rPr>
            <w:rFonts w:ascii="Cambria Math" w:hAnsi="Cambria Math"/>
            <w:szCs w:val="24"/>
          </w:rPr>
          <m:t>D</m:t>
        </m:r>
      </m:oMath>
      <w:r w:rsidRPr="009E1EA6">
        <w:rPr>
          <w:szCs w:val="24"/>
        </w:rPr>
        <w:t xml:space="preserve">, the next </w:t>
      </w:r>
      <w:r w:rsidR="00B74A7C" w:rsidRPr="009E1EA6">
        <w:rPr>
          <w:szCs w:val="24"/>
        </w:rPr>
        <w:t xml:space="preserve">example </w:t>
      </w:r>
      <w:r w:rsidRPr="009E1EA6">
        <w:rPr>
          <w:szCs w:val="24"/>
        </w:rPr>
        <w:t>shows a cross section of the</w:t>
      </w:r>
      <w:r w:rsidR="004B0AF6" w:rsidRPr="009E1EA6">
        <w:rPr>
          <w:szCs w:val="24"/>
        </w:rPr>
        <w:t xml:space="preserve"> </w:t>
      </w:r>
      <w:r w:rsidR="00B74A7C" w:rsidRPr="009E1EA6">
        <w:rPr>
          <w:szCs w:val="24"/>
        </w:rPr>
        <w:t>fragility function</w:t>
      </w:r>
      <w:r w:rsidRPr="009E1EA6">
        <w:rPr>
          <w:szCs w:val="24"/>
        </w:rPr>
        <w:t xml:space="preserve"> </w:t>
      </w:r>
      <m:oMath>
        <m:r>
          <w:rPr>
            <w:rFonts w:ascii="Cambria Math" w:hAnsi="Cambria Math"/>
            <w:szCs w:val="24"/>
          </w:rPr>
          <m:t>P(D&gt;d|PGA)</m:t>
        </m:r>
      </m:oMath>
      <w:r w:rsidR="00B74A7C" w:rsidRPr="009E1EA6">
        <w:rPr>
          <w:szCs w:val="24"/>
        </w:rPr>
        <w:t xml:space="preserve"> </w:t>
      </w:r>
      <w:r w:rsidRPr="009E1EA6">
        <w:rPr>
          <w:szCs w:val="24"/>
        </w:rPr>
        <w:t xml:space="preserve">for fixed values of the </w:t>
      </w:r>
      <w:r w:rsidR="00B74A7C" w:rsidRPr="009E1EA6">
        <w:rPr>
          <w:szCs w:val="24"/>
        </w:rPr>
        <w:t>ground shaking intensities</w:t>
      </w:r>
      <w:r w:rsidR="00E11C0B" w:rsidRPr="009E1EA6">
        <w:rPr>
          <w:szCs w:val="24"/>
        </w:rPr>
        <w:t>:</w:t>
      </w:r>
      <w:r w:rsidR="00B74A7C" w:rsidRPr="009E1EA6">
        <w:rPr>
          <w:i/>
          <w:szCs w:val="24"/>
        </w:rPr>
        <w:t xml:space="preserve"> </w:t>
      </w:r>
      <m:oMath>
        <m:r>
          <w:rPr>
            <w:rFonts w:ascii="Cambria Math" w:hAnsi="Cambria Math"/>
            <w:szCs w:val="24"/>
          </w:rPr>
          <m:t>y=0.3, 0.5</m:t>
        </m:r>
      </m:oMath>
      <w:r w:rsidR="00B74A7C" w:rsidRPr="009E1EA6">
        <w:rPr>
          <w:i/>
          <w:szCs w:val="24"/>
        </w:rPr>
        <w:t xml:space="preserve"> </w:t>
      </w:r>
      <w:r w:rsidR="00B74A7C" w:rsidRPr="009E1EA6">
        <w:rPr>
          <w:szCs w:val="24"/>
        </w:rPr>
        <w:t>and</w:t>
      </w:r>
      <w:r w:rsidR="00B74A7C" w:rsidRPr="009E1EA6">
        <w:rPr>
          <w:i/>
          <w:szCs w:val="24"/>
        </w:rPr>
        <w:t xml:space="preserve"> </w:t>
      </w:r>
      <m:oMath>
        <m:r>
          <w:rPr>
            <w:rFonts w:ascii="Cambria Math" w:hAnsi="Cambria Math"/>
            <w:szCs w:val="24"/>
          </w:rPr>
          <m:t>1</m:t>
        </m:r>
        <m:r>
          <m:rPr>
            <m:sty m:val="p"/>
          </m:rPr>
          <w:rPr>
            <w:rFonts w:ascii="Cambria Math" w:hAnsi="Cambria Math"/>
            <w:szCs w:val="24"/>
          </w:rPr>
          <m:t>g</m:t>
        </m:r>
      </m:oMath>
      <w:r w:rsidR="00B74A7C" w:rsidRPr="009E1EA6">
        <w:rPr>
          <w:i/>
          <w:szCs w:val="24"/>
        </w:rPr>
        <w:t xml:space="preserve"> </w:t>
      </w:r>
      <w:r w:rsidR="00F432FB" w:rsidRPr="009E1EA6">
        <w:t xml:space="preserve">(near source, left) and </w:t>
      </w:r>
      <m:oMath>
        <m:r>
          <w:rPr>
            <w:rFonts w:ascii="Cambria Math" w:hAnsi="Cambria Math"/>
            <w:szCs w:val="24"/>
          </w:rPr>
          <m:t>y=0.15, 0.25</m:t>
        </m:r>
      </m:oMath>
      <w:r w:rsidR="00F432FB" w:rsidRPr="009E1EA6">
        <w:rPr>
          <w:i/>
          <w:szCs w:val="24"/>
        </w:rPr>
        <w:t xml:space="preserve"> </w:t>
      </w:r>
      <w:r w:rsidR="00F432FB" w:rsidRPr="009E1EA6">
        <w:rPr>
          <w:szCs w:val="24"/>
        </w:rPr>
        <w:t>and</w:t>
      </w:r>
      <w:r w:rsidR="00F432FB" w:rsidRPr="009E1EA6">
        <w:rPr>
          <w:i/>
          <w:szCs w:val="24"/>
        </w:rPr>
        <w:t xml:space="preserve"> </w:t>
      </w:r>
      <m:oMath>
        <m:r>
          <w:rPr>
            <w:rFonts w:ascii="Cambria Math" w:hAnsi="Cambria Math"/>
            <w:szCs w:val="24"/>
          </w:rPr>
          <m:t>0.35</m:t>
        </m:r>
        <m:r>
          <m:rPr>
            <m:sty m:val="p"/>
          </m:rPr>
          <w:rPr>
            <w:rFonts w:ascii="Cambria Math" w:hAnsi="Cambria Math"/>
            <w:szCs w:val="24"/>
          </w:rPr>
          <m:t>g</m:t>
        </m:r>
      </m:oMath>
      <w:r w:rsidR="00F432FB" w:rsidRPr="009E1EA6">
        <w:rPr>
          <w:i/>
          <w:szCs w:val="24"/>
        </w:rPr>
        <w:t xml:space="preserve"> </w:t>
      </w:r>
      <w:r w:rsidR="00C119A7" w:rsidRPr="009E1EA6">
        <w:t>(far-field, right)</w:t>
      </w:r>
      <w:r w:rsidRPr="009E1EA6">
        <w:t>, and displacement values up to 2 m.</w:t>
      </w:r>
      <w:r w:rsidR="00C119A7" w:rsidRPr="009E1EA6">
        <w:t xml:space="preserve"> </w:t>
      </w:r>
      <w:r w:rsidRPr="009E1EA6">
        <w:t xml:space="preserve">The results </w:t>
      </w:r>
      <w:r w:rsidR="00C119A7" w:rsidRPr="009E1EA6">
        <w:t xml:space="preserve">in Figure 13 </w:t>
      </w:r>
      <w:r w:rsidRPr="009E1EA6">
        <w:t xml:space="preserve">consider </w:t>
      </w:r>
      <w:r w:rsidR="00B74A7C" w:rsidRPr="009E1EA6">
        <w:rPr>
          <w:szCs w:val="24"/>
        </w:rPr>
        <w:t xml:space="preserve">equipment </w:t>
      </w:r>
      <w:r w:rsidRPr="009E1EA6">
        <w:rPr>
          <w:szCs w:val="24"/>
        </w:rPr>
        <w:t xml:space="preserve">with </w:t>
      </w:r>
      <w:r w:rsidR="00B74A7C" w:rsidRPr="009E1EA6">
        <w:rPr>
          <w:szCs w:val="24"/>
        </w:rPr>
        <w:t>four support conditions on the foundation: a) freestanding, b) anchored</w:t>
      </w:r>
      <w:r w:rsidR="00B74A7C" w:rsidRPr="009E1EA6">
        <w:rPr>
          <w:i/>
          <w:szCs w:val="24"/>
        </w:rPr>
        <w:t xml:space="preserve"> </w:t>
      </w:r>
      <w:r w:rsidR="00C119A7" w:rsidRPr="009E1EA6">
        <w:t>(</w:t>
      </w:r>
      <m:oMath>
        <m:sSub>
          <m:sSubPr>
            <m:ctrlPr>
              <w:rPr>
                <w:rFonts w:ascii="Cambria Math" w:hAnsi="Cambria Math"/>
                <w:i/>
              </w:rPr>
            </m:ctrlPr>
          </m:sSubPr>
          <m:e>
            <m:r>
              <w:rPr>
                <w:rFonts w:ascii="Cambria Math" w:hAnsi="Cambria Math"/>
              </w:rPr>
              <m:t>T</m:t>
            </m:r>
          </m:e>
          <m:sub>
            <m:r>
              <w:rPr>
                <w:rFonts w:ascii="Cambria Math" w:hAnsi="Cambria Math"/>
              </w:rPr>
              <m:t>eq</m:t>
            </m:r>
          </m:sub>
        </m:sSub>
        <m:r>
          <w:rPr>
            <w:rFonts w:ascii="Cambria Math" w:hAnsi="Cambria Math"/>
          </w:rPr>
          <m:t>=0.1 s</m:t>
        </m:r>
      </m:oMath>
      <w:r w:rsidR="00C119A7" w:rsidRPr="009E1EA6">
        <w:t xml:space="preserve">,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/W=0.3</m:t>
        </m:r>
      </m:oMath>
      <w:r w:rsidR="00C119A7" w:rsidRPr="009E1EA6">
        <w:t xml:space="preserve">, </w:t>
      </w:r>
      <m:oMath>
        <m:r>
          <w:rPr>
            <w:rFonts w:ascii="Cambria Math" w:hAnsi="Cambria Math"/>
          </w:rPr>
          <m:t>μ=2</m:t>
        </m:r>
      </m:oMath>
      <w:r w:rsidR="00C119A7" w:rsidRPr="009E1EA6">
        <w:t xml:space="preserve">, </w:t>
      </w:r>
      <m:oMath>
        <m:sSub>
          <m:sSubPr>
            <m:ctrlPr>
              <w:rPr>
                <w:rFonts w:ascii="Cambria Math" w:hAnsi="Cambria Math"/>
                <w:i/>
              </w:rPr>
            </m:ctrlPr>
          </m:sSubPr>
          <m:e>
            <m:r>
              <w:rPr>
                <w:rFonts w:ascii="Cambria Math" w:hAnsi="Cambria Math"/>
              </w:rPr>
              <m:t>T</m:t>
            </m:r>
          </m:e>
          <m:sub>
            <m:r>
              <w:rPr>
                <w:rFonts w:ascii="Cambria Math" w:hAnsi="Cambria Math"/>
              </w:rPr>
              <m:t>0</m:t>
            </m:r>
          </m:sub>
        </m:sSub>
        <m:r>
          <w:rPr>
            <w:rFonts w:ascii="Cambria Math" w:hAnsi="Cambria Math"/>
          </w:rPr>
          <m:t>/W=0</m:t>
        </m:r>
      </m:oMath>
      <w:r w:rsidR="00B74A7C" w:rsidRPr="009E1EA6">
        <w:rPr>
          <w:szCs w:val="24"/>
        </w:rPr>
        <w:t>), c) linear viscoelastic isolation system (</w:t>
      </w:r>
      <m:oMath>
        <m:r>
          <w:rPr>
            <w:rFonts w:ascii="Cambria Math" w:hAnsi="Cambria Math"/>
            <w:szCs w:val="24"/>
          </w:rPr>
          <m:t>γ</m:t>
        </m:r>
        <m:r>
          <m:rPr>
            <m:sty m:val="p"/>
          </m:rPr>
          <w:rPr>
            <w:rFonts w:ascii="Cambria Math" w:hAnsi="Cambria Math"/>
            <w:szCs w:val="24"/>
            <w:lang w:eastAsia="es-MX"/>
          </w:rPr>
          <m:t>=0.1</m:t>
        </m:r>
      </m:oMath>
      <w:r w:rsidR="00B74A7C" w:rsidRPr="009E1EA6">
        <w:rPr>
          <w:szCs w:val="24"/>
          <w:lang w:eastAsia="es-MX"/>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b</m:t>
            </m:r>
          </m:sub>
        </m:sSub>
        <m:r>
          <m:rPr>
            <m:sty m:val="p"/>
          </m:rPr>
          <w:rPr>
            <w:rFonts w:ascii="Cambria Math" w:hAnsi="Cambria Math"/>
            <w:szCs w:val="24"/>
          </w:rPr>
          <m:t>=2π/</m:t>
        </m:r>
        <m:sSub>
          <m:sSubPr>
            <m:ctrlPr>
              <w:rPr>
                <w:rFonts w:ascii="Cambria Math" w:hAnsi="Cambria Math"/>
                <w:szCs w:val="24"/>
              </w:rPr>
            </m:ctrlPr>
          </m:sSubPr>
          <m:e>
            <m:r>
              <m:rPr>
                <m:sty m:val="p"/>
              </m:rPr>
              <w:rPr>
                <w:rFonts w:ascii="Cambria Math" w:hAnsi="Cambria Math"/>
                <w:szCs w:val="24"/>
              </w:rPr>
              <m:t>ω</m:t>
            </m:r>
          </m:e>
          <m:sub>
            <m:r>
              <m:rPr>
                <m:sty m:val="p"/>
              </m:rPr>
              <w:rPr>
                <w:rFonts w:ascii="Cambria Math" w:hAnsi="Cambria Math"/>
                <w:szCs w:val="24"/>
              </w:rPr>
              <m:t>b</m:t>
            </m:r>
          </m:sub>
        </m:sSub>
        <m:r>
          <m:rPr>
            <m:sty m:val="p"/>
          </m:rPr>
          <w:rPr>
            <w:rFonts w:ascii="Cambria Math" w:hAnsi="Cambria Math"/>
            <w:szCs w:val="24"/>
          </w:rPr>
          <m:t>=2 s</m:t>
        </m:r>
      </m:oMath>
      <w:r w:rsidR="00B74A7C" w:rsidRPr="009E1EA6">
        <w:rPr>
          <w:szCs w:val="24"/>
        </w:rPr>
        <w:t xml:space="preserve">, and </w:t>
      </w:r>
      <m:oMath>
        <m:sSub>
          <m:sSubPr>
            <m:ctrlPr>
              <w:rPr>
                <w:rFonts w:ascii="Cambria Math" w:hAnsi="Cambria Math"/>
                <w:i/>
                <w:szCs w:val="24"/>
              </w:rPr>
            </m:ctrlPr>
          </m:sSubPr>
          <m:e>
            <m:r>
              <w:rPr>
                <w:rFonts w:ascii="Cambria Math" w:hAnsi="Cambria Math"/>
                <w:szCs w:val="24"/>
              </w:rPr>
              <m:t>ξ</m:t>
            </m:r>
          </m:e>
          <m:sub>
            <m:r>
              <w:rPr>
                <w:rFonts w:ascii="Cambria Math" w:hAnsi="Cambria Math"/>
                <w:szCs w:val="24"/>
              </w:rPr>
              <m:t>b</m:t>
            </m:r>
          </m:sub>
        </m:sSub>
      </m:oMath>
      <w:r w:rsidR="00B74A7C" w:rsidRPr="009E1EA6">
        <w:rPr>
          <w:szCs w:val="24"/>
        </w:rPr>
        <w:t>=0.25), and d) SCSS isolation system (</w:t>
      </w:r>
      <m:oMath>
        <m:r>
          <w:rPr>
            <w:rFonts w:ascii="Cambria Math" w:hAnsi="Cambria Math"/>
            <w:szCs w:val="24"/>
          </w:rPr>
          <m:t>γ</m:t>
        </m:r>
        <m:r>
          <m:rPr>
            <m:sty m:val="p"/>
          </m:rPr>
          <w:rPr>
            <w:rFonts w:ascii="Cambria Math" w:hAnsi="Cambria Math"/>
            <w:szCs w:val="24"/>
            <w:lang w:eastAsia="es-MX"/>
          </w:rPr>
          <m:t>=0.1</m:t>
        </m:r>
      </m:oMath>
      <w:r w:rsidR="00B74A7C" w:rsidRPr="009E1EA6">
        <w:rPr>
          <w:szCs w:val="24"/>
          <w:lang w:eastAsia="es-MX"/>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b</m:t>
            </m:r>
          </m:sub>
        </m:sSub>
        <m:r>
          <m:rPr>
            <m:sty m:val="p"/>
          </m:rPr>
          <w:rPr>
            <w:rFonts w:ascii="Cambria Math" w:hAnsi="Cambria Math"/>
            <w:szCs w:val="24"/>
          </w:rPr>
          <m:t>=2π/</m:t>
        </m:r>
        <m:sSub>
          <m:sSubPr>
            <m:ctrlPr>
              <w:rPr>
                <w:rFonts w:ascii="Cambria Math" w:hAnsi="Cambria Math"/>
                <w:szCs w:val="24"/>
              </w:rPr>
            </m:ctrlPr>
          </m:sSubPr>
          <m:e>
            <m:r>
              <m:rPr>
                <m:sty m:val="p"/>
              </m:rPr>
              <w:rPr>
                <w:rFonts w:ascii="Cambria Math" w:hAnsi="Cambria Math"/>
                <w:szCs w:val="24"/>
              </w:rPr>
              <m:t>ω</m:t>
            </m:r>
          </m:e>
          <m:sub>
            <m:r>
              <m:rPr>
                <m:sty m:val="p"/>
              </m:rPr>
              <w:rPr>
                <w:rFonts w:ascii="Cambria Math" w:hAnsi="Cambria Math"/>
                <w:szCs w:val="24"/>
              </w:rPr>
              <m:t>b</m:t>
            </m:r>
          </m:sub>
        </m:sSub>
        <m:r>
          <m:rPr>
            <m:sty m:val="p"/>
          </m:rPr>
          <w:rPr>
            <w:rFonts w:ascii="Cambria Math" w:hAnsi="Cambria Math"/>
            <w:szCs w:val="24"/>
          </w:rPr>
          <m:t>=2.0 s</m:t>
        </m:r>
      </m:oMath>
      <w:r w:rsidR="00B74A7C" w:rsidRPr="009E1EA6">
        <w:rPr>
          <w:szCs w:val="24"/>
        </w:rPr>
        <w:t xml:space="preserve">, and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b</m:t>
            </m:r>
          </m:sub>
        </m:sSub>
      </m:oMath>
      <w:r w:rsidR="00B74A7C" w:rsidRPr="009E1EA6">
        <w:rPr>
          <w:szCs w:val="24"/>
        </w:rPr>
        <w:t>=0.25). In all cases, two friction coefficients were considered at the support</w:t>
      </w:r>
      <w:r w:rsidRPr="009E1EA6">
        <w:rPr>
          <w:szCs w:val="24"/>
        </w:rPr>
        <w:t>:</w:t>
      </w:r>
      <w:r w:rsidR="00B74A7C" w:rsidRPr="009E1EA6">
        <w:rPr>
          <w:szCs w:val="24"/>
        </w:rPr>
        <w:t xml:space="preserve">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k</m:t>
            </m:r>
          </m:sub>
        </m:sSub>
        <m:r>
          <w:rPr>
            <w:rFonts w:ascii="Cambria Math" w:hAnsi="Cambria Math"/>
            <w:szCs w:val="24"/>
          </w:rPr>
          <m:t>=</m:t>
        </m:r>
        <m:r>
          <m:rPr>
            <m:sty m:val="p"/>
          </m:rPr>
          <w:rPr>
            <w:rFonts w:ascii="Cambria Math" w:hAnsi="Cambria Math"/>
            <w:szCs w:val="24"/>
          </w:rPr>
          <m:t>0.1</m:t>
        </m:r>
      </m:oMath>
      <w:r w:rsidR="00B74A7C" w:rsidRPr="009E1EA6">
        <w:rPr>
          <w:szCs w:val="24"/>
        </w:rPr>
        <w:t xml:space="preserve"> (solid line) and </w:t>
      </w:r>
      <m:oMath>
        <m:r>
          <m:rPr>
            <m:sty m:val="p"/>
          </m:rPr>
          <w:rPr>
            <w:rFonts w:ascii="Cambria Math" w:hAnsi="Cambria Math"/>
            <w:szCs w:val="24"/>
          </w:rPr>
          <m:t>0.3</m:t>
        </m:r>
      </m:oMath>
      <w:r w:rsidR="00B74A7C" w:rsidRPr="009E1EA6">
        <w:t xml:space="preserve"> (dotted line). The </w:t>
      </w:r>
      <w:r w:rsidR="00320884" w:rsidRPr="009E1EA6">
        <w:t xml:space="preserve">complementary cumulative distribution </w:t>
      </w:r>
      <w:r w:rsidR="00B74A7C" w:rsidRPr="009E1EA6">
        <w:t xml:space="preserve">functions </w:t>
      </w:r>
      <w:r w:rsidR="00320884" w:rsidRPr="009E1EA6">
        <w:t xml:space="preserve">(CCDF) </w:t>
      </w:r>
      <w:r w:rsidR="00B74A7C" w:rsidRPr="009E1EA6">
        <w:t xml:space="preserve">in </w:t>
      </w:r>
      <w:r w:rsidR="00A76623" w:rsidRPr="009E1EA6">
        <w:t>Figure 13</w:t>
      </w:r>
      <w:r w:rsidR="00B74A7C" w:rsidRPr="009E1EA6">
        <w:rPr>
          <w:szCs w:val="24"/>
        </w:rPr>
        <w:t xml:space="preserve"> are from near-source motions (left column plots) and far-field motions (right column plots). This example illustrates that as the friction coefficient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k</m:t>
            </m:r>
          </m:sub>
        </m:sSub>
      </m:oMath>
      <w:r w:rsidR="00B74A7C" w:rsidRPr="009E1EA6">
        <w:rPr>
          <w:szCs w:val="24"/>
        </w:rPr>
        <w:t xml:space="preserve"> decreases, the probabilities of maximum block displacements become higher, which holds for both sites and the four support conditions studied. This example also shows that the frequency content</w:t>
      </w:r>
      <w:r w:rsidR="004B0AF6" w:rsidRPr="009E1EA6">
        <w:rPr>
          <w:szCs w:val="24"/>
        </w:rPr>
        <w:t xml:space="preserve"> of the ground motion</w:t>
      </w:r>
      <w:r w:rsidR="00B74A7C" w:rsidRPr="009E1EA6">
        <w:rPr>
          <w:szCs w:val="24"/>
        </w:rPr>
        <w:t xml:space="preserve"> has a significant impact on the displacement </w:t>
      </w:r>
      <w:r w:rsidR="00320884" w:rsidRPr="009E1EA6">
        <w:rPr>
          <w:szCs w:val="24"/>
        </w:rPr>
        <w:t>CCDFs</w:t>
      </w:r>
      <w:r w:rsidR="00B74A7C" w:rsidRPr="009E1EA6">
        <w:rPr>
          <w:szCs w:val="24"/>
        </w:rPr>
        <w:t xml:space="preserve">. For instance, with the exception of </w:t>
      </w:r>
      <w:r w:rsidR="004B0AF6" w:rsidRPr="009E1EA6">
        <w:rPr>
          <w:szCs w:val="24"/>
        </w:rPr>
        <w:t xml:space="preserve">the </w:t>
      </w:r>
      <w:r w:rsidR="00B74A7C" w:rsidRPr="009E1EA6">
        <w:rPr>
          <w:szCs w:val="24"/>
        </w:rPr>
        <w:t xml:space="preserve">anchored blocks, it can be observed that the conditional probabilities </w:t>
      </w:r>
      <m:oMath>
        <m:r>
          <w:rPr>
            <w:rFonts w:ascii="Cambria Math" w:hAnsi="Cambria Math"/>
            <w:szCs w:val="24"/>
          </w:rPr>
          <m:t>P(D&gt;d|PGA)</m:t>
        </m:r>
      </m:oMath>
      <w:r w:rsidR="00B74A7C" w:rsidRPr="009E1EA6">
        <w:rPr>
          <w:szCs w:val="24"/>
        </w:rPr>
        <w:t xml:space="preserve"> are higher at the far-field site (i.e., </w:t>
      </w:r>
      <w:r w:rsidR="004B0AF6" w:rsidRPr="009E1EA6">
        <w:rPr>
          <w:szCs w:val="24"/>
        </w:rPr>
        <w:t>low-</w:t>
      </w:r>
      <w:r w:rsidR="00B74A7C" w:rsidRPr="009E1EA6">
        <w:rPr>
          <w:szCs w:val="24"/>
        </w:rPr>
        <w:t xml:space="preserve">frequency ground motions) than at the near-source site (i.e., </w:t>
      </w:r>
      <w:r w:rsidR="004B0AF6" w:rsidRPr="009E1EA6">
        <w:rPr>
          <w:szCs w:val="24"/>
        </w:rPr>
        <w:t>high-</w:t>
      </w:r>
      <w:r w:rsidR="00B74A7C" w:rsidRPr="009E1EA6">
        <w:rPr>
          <w:szCs w:val="24"/>
        </w:rPr>
        <w:t>frequency ground motions).</w:t>
      </w:r>
    </w:p>
    <w:p w14:paraId="20811631" w14:textId="41F0B00F" w:rsidR="00507081" w:rsidRPr="009E1EA6" w:rsidRDefault="00320884" w:rsidP="00E11C0B">
      <w:pPr>
        <w:pStyle w:val="Textoindependiente"/>
        <w:ind w:firstLine="425"/>
        <w:rPr>
          <w:szCs w:val="24"/>
        </w:rPr>
      </w:pPr>
      <w:r w:rsidRPr="009E1EA6">
        <w:rPr>
          <w:szCs w:val="24"/>
        </w:rPr>
        <w:t xml:space="preserve">Similarly, Figure 14 shows cross sections of </w:t>
      </w:r>
      <w:r w:rsidR="00405360" w:rsidRPr="009E1EA6">
        <w:rPr>
          <w:szCs w:val="24"/>
        </w:rPr>
        <w:t xml:space="preserve">the fragility functions for </w:t>
      </w:r>
      <w:r w:rsidR="004B0AF6" w:rsidRPr="009E1EA6">
        <w:rPr>
          <w:szCs w:val="24"/>
        </w:rPr>
        <w:t xml:space="preserve">the </w:t>
      </w:r>
      <w:r w:rsidR="00405360" w:rsidRPr="009E1EA6">
        <w:rPr>
          <w:szCs w:val="24"/>
        </w:rPr>
        <w:t xml:space="preserve">maximum block acceleration </w:t>
      </w:r>
      <m:oMath>
        <m:r>
          <w:rPr>
            <w:rFonts w:ascii="Cambria Math" w:hAnsi="Cambria Math"/>
            <w:szCs w:val="24"/>
          </w:rPr>
          <m:t>A</m:t>
        </m:r>
      </m:oMath>
      <w:r w:rsidR="002D5FB8" w:rsidRPr="009E1EA6">
        <w:rPr>
          <w:szCs w:val="24"/>
        </w:rPr>
        <w:t xml:space="preserve"> </w:t>
      </w:r>
      <w:r w:rsidRPr="009E1EA6">
        <w:rPr>
          <w:szCs w:val="24"/>
        </w:rPr>
        <w:t xml:space="preserve">for three fixed </w:t>
      </w:r>
      <w:r w:rsidR="002D5FB8" w:rsidRPr="009E1EA6">
        <w:rPr>
          <w:szCs w:val="24"/>
        </w:rPr>
        <w:t xml:space="preserve">PGA </w:t>
      </w:r>
      <w:r w:rsidRPr="009E1EA6">
        <w:rPr>
          <w:szCs w:val="24"/>
        </w:rPr>
        <w:t xml:space="preserve">values and increasing </w:t>
      </w:r>
      <m:oMath>
        <m:r>
          <w:rPr>
            <w:rFonts w:ascii="Cambria Math" w:hAnsi="Cambria Math"/>
            <w:szCs w:val="24"/>
          </w:rPr>
          <m:t>a</m:t>
        </m:r>
      </m:oMath>
      <w:r w:rsidRPr="009E1EA6">
        <w:rPr>
          <w:szCs w:val="24"/>
        </w:rPr>
        <w:t xml:space="preserve"> values</w:t>
      </w:r>
      <w:r w:rsidR="00405360" w:rsidRPr="009E1EA6">
        <w:rPr>
          <w:szCs w:val="24"/>
        </w:rPr>
        <w:t>. This example considers an equipment anchored to a fixed base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eq</m:t>
            </m:r>
          </m:sub>
        </m:sSub>
        <m:r>
          <w:rPr>
            <w:rFonts w:ascii="Cambria Math" w:hAnsi="Cambria Math"/>
            <w:szCs w:val="24"/>
          </w:rPr>
          <m:t>=</m:t>
        </m:r>
        <m:r>
          <m:rPr>
            <m:sty m:val="p"/>
          </m:rPr>
          <w:rPr>
            <w:rFonts w:ascii="Cambria Math" w:hAnsi="Cambria Math"/>
            <w:szCs w:val="24"/>
          </w:rPr>
          <m:t>0.1 s</m:t>
        </m:r>
      </m:oMath>
      <w:r w:rsidR="00405360" w:rsidRPr="009E1EA6">
        <w:rPr>
          <w:szCs w:val="24"/>
        </w:rPr>
        <w:t xml:space="preserve">,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u</m:t>
            </m:r>
          </m:sub>
        </m:sSub>
        <m:r>
          <w:rPr>
            <w:rFonts w:ascii="Cambria Math" w:hAnsi="Cambria Math"/>
            <w:szCs w:val="24"/>
          </w:rPr>
          <m:t>/W</m:t>
        </m:r>
        <m:r>
          <m:rPr>
            <m:sty m:val="p"/>
          </m:rPr>
          <w:rPr>
            <w:rFonts w:ascii="Cambria Math" w:hAnsi="Cambria Math"/>
            <w:szCs w:val="24"/>
          </w:rPr>
          <m:t>=0.3</m:t>
        </m:r>
      </m:oMath>
      <w:r w:rsidR="00405360" w:rsidRPr="009E1EA6">
        <w:rPr>
          <w:szCs w:val="24"/>
        </w:rPr>
        <w:t xml:space="preserve">, </w:t>
      </w:r>
      <m:oMath>
        <m:r>
          <w:rPr>
            <w:rFonts w:ascii="Cambria Math" w:hAnsi="Cambria Math"/>
            <w:szCs w:val="24"/>
          </w:rPr>
          <m:t>μ</m:t>
        </m:r>
        <m:r>
          <m:rPr>
            <m:sty m:val="p"/>
          </m:rPr>
          <w:rPr>
            <w:rFonts w:ascii="Cambria Math" w:hAnsi="Cambria Math"/>
            <w:szCs w:val="24"/>
          </w:rPr>
          <m:t>=2</m:t>
        </m:r>
      </m:oMath>
      <w:r w:rsidR="00405360" w:rsidRPr="009E1EA6">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m:t>
            </m:r>
          </m:sub>
        </m:sSub>
        <m:r>
          <w:rPr>
            <w:rFonts w:ascii="Cambria Math" w:hAnsi="Cambria Math"/>
            <w:szCs w:val="24"/>
          </w:rPr>
          <m:t>/W</m:t>
        </m:r>
        <m:r>
          <m:rPr>
            <m:sty m:val="p"/>
          </m:rPr>
          <w:rPr>
            <w:rFonts w:ascii="Cambria Math" w:hAnsi="Cambria Math"/>
            <w:szCs w:val="24"/>
          </w:rPr>
          <m:t>=0</m:t>
        </m:r>
      </m:oMath>
      <w:r w:rsidR="00405360" w:rsidRPr="009E1EA6">
        <w:rPr>
          <w:szCs w:val="24"/>
        </w:rPr>
        <w:t xml:space="preserve">) and two friction coefficients: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k</m:t>
            </m:r>
          </m:sub>
        </m:sSub>
        <m:r>
          <w:rPr>
            <w:rFonts w:ascii="Cambria Math" w:hAnsi="Cambria Math"/>
            <w:szCs w:val="24"/>
          </w:rPr>
          <m:t>=</m:t>
        </m:r>
        <m:r>
          <m:rPr>
            <m:sty m:val="p"/>
          </m:rPr>
          <w:rPr>
            <w:rFonts w:ascii="Cambria Math" w:hAnsi="Cambria Math"/>
            <w:szCs w:val="24"/>
          </w:rPr>
          <m:t>0.1</m:t>
        </m:r>
      </m:oMath>
      <w:r w:rsidR="00405360" w:rsidRPr="009E1EA6">
        <w:rPr>
          <w:szCs w:val="24"/>
        </w:rPr>
        <w:t xml:space="preserve"> (solid lines) and </w:t>
      </w:r>
      <m:oMath>
        <m:r>
          <m:rPr>
            <m:sty m:val="p"/>
          </m:rPr>
          <w:rPr>
            <w:rFonts w:ascii="Cambria Math" w:hAnsi="Cambria Math"/>
            <w:szCs w:val="24"/>
          </w:rPr>
          <m:t>0.3</m:t>
        </m:r>
      </m:oMath>
      <w:r w:rsidR="002D5FB8" w:rsidRPr="009E1EA6">
        <w:rPr>
          <w:szCs w:val="24"/>
        </w:rPr>
        <w:t xml:space="preserve"> (dotted lines). From </w:t>
      </w:r>
      <w:r w:rsidR="00A76623" w:rsidRPr="009E1EA6">
        <w:rPr>
          <w:szCs w:val="24"/>
        </w:rPr>
        <w:t>Figure 14</w:t>
      </w:r>
      <w:r w:rsidR="00B74A7C" w:rsidRPr="009E1EA6">
        <w:rPr>
          <w:szCs w:val="24"/>
        </w:rPr>
        <w:t>,</w:t>
      </w:r>
      <w:r w:rsidR="002D5FB8" w:rsidRPr="009E1EA6">
        <w:rPr>
          <w:szCs w:val="24"/>
        </w:rPr>
        <w:t xml:space="preserve"> it is apparent that the probability of exceeding an acceleration value “</w:t>
      </w:r>
      <m:oMath>
        <m:r>
          <w:rPr>
            <w:rFonts w:ascii="Cambria Math" w:hAnsi="Cambria Math"/>
            <w:szCs w:val="24"/>
          </w:rPr>
          <m:t>a</m:t>
        </m:r>
      </m:oMath>
      <w:r w:rsidR="00405360" w:rsidRPr="009E1EA6">
        <w:rPr>
          <w:szCs w:val="24"/>
        </w:rPr>
        <w:t xml:space="preserve">” </w:t>
      </w:r>
      <w:r w:rsidR="00826FAE" w:rsidRPr="009E1EA6">
        <w:rPr>
          <w:szCs w:val="24"/>
        </w:rPr>
        <w:t xml:space="preserve">decreases </w:t>
      </w:r>
      <w:r w:rsidR="00405360" w:rsidRPr="009E1EA6">
        <w:rPr>
          <w:szCs w:val="24"/>
        </w:rPr>
        <w:t xml:space="preserve">with increasing friction </w:t>
      </w:r>
      <w:r w:rsidR="00405360" w:rsidRPr="009E1EA6">
        <w:rPr>
          <w:szCs w:val="24"/>
        </w:rPr>
        <w:lastRenderedPageBreak/>
        <w:t xml:space="preserve">coefficient. Likewise, Figure 14 </w:t>
      </w:r>
      <w:r w:rsidR="0012013F" w:rsidRPr="009E1EA6">
        <w:rPr>
          <w:szCs w:val="24"/>
        </w:rPr>
        <w:t>shows that the frequency content</w:t>
      </w:r>
      <w:r w:rsidR="004B0AF6" w:rsidRPr="009E1EA6">
        <w:rPr>
          <w:szCs w:val="24"/>
        </w:rPr>
        <w:t xml:space="preserve"> of the ground motion</w:t>
      </w:r>
      <w:r w:rsidR="0012013F" w:rsidRPr="009E1EA6">
        <w:rPr>
          <w:szCs w:val="24"/>
        </w:rPr>
        <w:t xml:space="preserve"> has a </w:t>
      </w:r>
      <w:r w:rsidR="00997C14" w:rsidRPr="009E1EA6">
        <w:rPr>
          <w:szCs w:val="24"/>
        </w:rPr>
        <w:t>significant</w:t>
      </w:r>
      <w:r w:rsidR="00B74A7C" w:rsidRPr="009E1EA6">
        <w:rPr>
          <w:szCs w:val="24"/>
        </w:rPr>
        <w:t xml:space="preserve"> effect on the maximum acceleration </w:t>
      </w:r>
      <w:r w:rsidR="0025598F" w:rsidRPr="009E1EA6">
        <w:rPr>
          <w:szCs w:val="24"/>
        </w:rPr>
        <w:t>response</w:t>
      </w:r>
      <w:r w:rsidR="00B74A7C" w:rsidRPr="009E1EA6">
        <w:rPr>
          <w:szCs w:val="24"/>
        </w:rPr>
        <w:t>.</w:t>
      </w:r>
      <w:r w:rsidR="00B74A7C" w:rsidRPr="009E1EA6">
        <w:rPr>
          <w:szCs w:val="24"/>
        </w:rPr>
        <w:br w:type="page"/>
      </w:r>
    </w:p>
    <w:p w14:paraId="133D1305" w14:textId="56AA673D" w:rsidR="00816B0E" w:rsidRPr="009E1EA6" w:rsidRDefault="00B74A7C" w:rsidP="003B77E1">
      <w:pPr>
        <w:pStyle w:val="Textoindependiente"/>
        <w:spacing w:after="0" w:line="240" w:lineRule="auto"/>
        <w:ind w:firstLine="0"/>
        <w:rPr>
          <w:szCs w:val="24"/>
        </w:rPr>
      </w:pPr>
      <w:r w:rsidRPr="009E1EA6">
        <w:rPr>
          <w:noProof/>
          <w:highlight w:val="yellow"/>
          <w:lang w:val="es-CL" w:eastAsia="es-CL"/>
        </w:rPr>
        <w:lastRenderedPageBreak/>
        <mc:AlternateContent>
          <mc:Choice Requires="wps">
            <w:drawing>
              <wp:anchor distT="45720" distB="45720" distL="114300" distR="114300" simplePos="0" relativeHeight="251666432" behindDoc="0" locked="0" layoutInCell="1" allowOverlap="1" wp14:anchorId="39B84BB1" wp14:editId="6E3CA236">
                <wp:simplePos x="0" y="0"/>
                <wp:positionH relativeFrom="margin">
                  <wp:posOffset>129540</wp:posOffset>
                </wp:positionH>
                <wp:positionV relativeFrom="paragraph">
                  <wp:posOffset>81057</wp:posOffset>
                </wp:positionV>
                <wp:extent cx="248285" cy="1724152"/>
                <wp:effectExtent l="0" t="0" r="0" b="6350"/>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0691DAFC" w14:textId="77777777" w:rsidR="00F005E1" w:rsidRPr="00452F3B" w:rsidRDefault="00F005E1" w:rsidP="00C91B81">
                            <w:pPr>
                              <w:jc w:val="center"/>
                            </w:pPr>
                            <w:r w:rsidRPr="00452F3B">
                              <w:t>(a)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39B84BB1" id="Cuadro de texto 2" o:spid="_x0000_s1028" type="#_x0000_t202" style="position:absolute;left:0;text-align:left;margin-left:10.2pt;margin-top:6.4pt;width:19.55pt;height:135.75pt;z-index:2516664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" filled="f" stroked="f">
                <v:textbox style="mso-fit-shape-to-text:t" inset="0,0,0,0">
                  <w:txbxContent>
                    <w:p w14:paraId="0691DAFC" w14:textId="77777777" w:rsidR="00F005E1" w:rsidRPr="00452F3B" w:rsidRDefault="00F005E1" w:rsidP="00C91B81">
                      <w:pPr>
                        <w:jc w:val="center"/>
                      </w:pPr>
                      <w:r w:rsidRPr="00452F3B">
                        <w:t>(a)</w:t>
                      </w:r>
                    </w:p>
                  </w:txbxContent>
                </v:textbox>
                <w10:wrap anchorx="margin"/>
              </v:shape>
            </w:pict>
          </mc:Fallback>
        </mc:AlternateContent>
      </w:r>
      <w:r w:rsidRPr="009E1EA6">
        <w:rPr>
          <w:noProof/>
          <w:szCs w:val="24"/>
          <w:lang w:val="es-CL" w:eastAsia="es-CL"/>
        </w:rPr>
        <w:drawing>
          <wp:inline distT="0" distB="0" distL="0" distR="0" wp14:anchorId="3B982F7D" wp14:editId="58629F1B">
            <wp:extent cx="5723890" cy="1799226"/>
            <wp:effectExtent l="0" t="0" r="0" b="0"/>
            <wp:docPr id="113708832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399137" name="Picture 6"/>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723890" cy="1799226"/>
                    </a:xfrm>
                    <a:prstGeom prst="rect">
                      <a:avLst/>
                    </a:prstGeom>
                    <a:noFill/>
                    <a:ln>
                      <a:noFill/>
                    </a:ln>
                  </pic:spPr>
                </pic:pic>
              </a:graphicData>
            </a:graphic>
          </wp:inline>
        </w:drawing>
      </w:r>
    </w:p>
    <w:p w14:paraId="290F69A7" w14:textId="1D7E66EE" w:rsidR="00507081" w:rsidRPr="009E1EA6" w:rsidRDefault="00B74A7C" w:rsidP="003B77E1">
      <w:pPr>
        <w:pStyle w:val="Textoindependiente"/>
        <w:spacing w:after="0" w:line="240" w:lineRule="auto"/>
        <w:ind w:firstLine="0"/>
        <w:rPr>
          <w:szCs w:val="24"/>
        </w:rPr>
      </w:pPr>
      <w:r w:rsidRPr="009E1EA6">
        <w:rPr>
          <w:noProof/>
          <w:highlight w:val="yellow"/>
          <w:lang w:val="es-CL" w:eastAsia="es-CL"/>
        </w:rPr>
        <mc:AlternateContent>
          <mc:Choice Requires="wps">
            <w:drawing>
              <wp:anchor distT="45720" distB="45720" distL="114300" distR="114300" simplePos="0" relativeHeight="251668480" behindDoc="0" locked="0" layoutInCell="1" allowOverlap="1" wp14:anchorId="5A7EC0B3" wp14:editId="4BB37076">
                <wp:simplePos x="0" y="0"/>
                <wp:positionH relativeFrom="margin">
                  <wp:posOffset>134397</wp:posOffset>
                </wp:positionH>
                <wp:positionV relativeFrom="paragraph">
                  <wp:posOffset>88900</wp:posOffset>
                </wp:positionV>
                <wp:extent cx="248285" cy="1724152"/>
                <wp:effectExtent l="0" t="0" r="0" b="6350"/>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7407F06C" w14:textId="77777777" w:rsidR="00F005E1" w:rsidRPr="00452F3B" w:rsidRDefault="00F005E1" w:rsidP="00C91B81">
                            <w:pPr>
                              <w:jc w:val="center"/>
                            </w:pPr>
                            <w:r w:rsidRPr="00452F3B">
                              <w:t>(b)</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5A7EC0B3" id="_x0000_s1029" type="#_x0000_t202" style="position:absolute;left:0;text-align:left;margin-left:10.6pt;margin-top:7pt;width:19.55pt;height:135.75pt;z-index:2516684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" filled="f" stroked="f">
                <v:textbox style="mso-fit-shape-to-text:t" inset="0,0,0,0">
                  <w:txbxContent>
                    <w:p w14:paraId="7407F06C" w14:textId="77777777" w:rsidR="00F005E1" w:rsidRPr="00452F3B" w:rsidRDefault="00F005E1" w:rsidP="00C91B81">
                      <w:pPr>
                        <w:jc w:val="center"/>
                      </w:pPr>
                      <w:r w:rsidRPr="00452F3B">
                        <w:t>(b)</w:t>
                      </w:r>
                    </w:p>
                  </w:txbxContent>
                </v:textbox>
                <w10:wrap anchorx="margin"/>
              </v:shape>
            </w:pict>
          </mc:Fallback>
        </mc:AlternateContent>
      </w:r>
      <w:r w:rsidR="0039019E" w:rsidRPr="009E1EA6">
        <w:rPr>
          <w:noProof/>
          <w:szCs w:val="24"/>
          <w:lang w:val="es-CL" w:eastAsia="es-CL"/>
        </w:rPr>
        <w:drawing>
          <wp:inline distT="0" distB="0" distL="0" distR="0" wp14:anchorId="3F04D5AB" wp14:editId="3785E3A7">
            <wp:extent cx="5723890" cy="1796825"/>
            <wp:effectExtent l="0" t="0" r="0" b="0"/>
            <wp:docPr id="1682343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550627" name="Picture 3"/>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5723890" cy="1796825"/>
                    </a:xfrm>
                    <a:prstGeom prst="rect">
                      <a:avLst/>
                    </a:prstGeom>
                    <a:noFill/>
                    <a:ln>
                      <a:noFill/>
                    </a:ln>
                  </pic:spPr>
                </pic:pic>
              </a:graphicData>
            </a:graphic>
          </wp:inline>
        </w:drawing>
      </w:r>
    </w:p>
    <w:p w14:paraId="4F550668" w14:textId="66C6D43F" w:rsidR="00507081" w:rsidRPr="009E1EA6" w:rsidRDefault="00B74A7C" w:rsidP="003B77E1">
      <w:pPr>
        <w:pStyle w:val="Textoindependiente"/>
        <w:spacing w:after="0" w:line="240" w:lineRule="auto"/>
        <w:ind w:firstLine="0"/>
        <w:rPr>
          <w:szCs w:val="24"/>
        </w:rPr>
      </w:pPr>
      <w:r w:rsidRPr="009E1EA6">
        <w:rPr>
          <w:noProof/>
          <w:highlight w:val="yellow"/>
          <w:lang w:val="es-CL" w:eastAsia="es-CL"/>
        </w:rPr>
        <mc:AlternateContent>
          <mc:Choice Requires="wps">
            <w:drawing>
              <wp:anchor distT="45720" distB="45720" distL="114300" distR="114300" simplePos="0" relativeHeight="251670528" behindDoc="0" locked="0" layoutInCell="1" allowOverlap="1" wp14:anchorId="267B520A" wp14:editId="64071156">
                <wp:simplePos x="0" y="0"/>
                <wp:positionH relativeFrom="margin">
                  <wp:posOffset>128270</wp:posOffset>
                </wp:positionH>
                <wp:positionV relativeFrom="paragraph">
                  <wp:posOffset>63912</wp:posOffset>
                </wp:positionV>
                <wp:extent cx="248285" cy="1724152"/>
                <wp:effectExtent l="0" t="0" r="0" b="6350"/>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50A88720" w14:textId="77777777" w:rsidR="00F005E1" w:rsidRPr="00452F3B" w:rsidRDefault="00F005E1" w:rsidP="00C91B81">
                            <w:pPr>
                              <w:jc w:val="center"/>
                            </w:pPr>
                            <w:r w:rsidRPr="00452F3B">
                              <w:t>(c)</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267B520A" id="_x0000_s1030" type="#_x0000_t202" style="position:absolute;left:0;text-align:left;margin-left:10.1pt;margin-top:5.05pt;width:19.55pt;height:135.75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" filled="f" stroked="f">
                <v:textbox style="mso-fit-shape-to-text:t" inset="0,0,0,0">
                  <w:txbxContent>
                    <w:p w14:paraId="50A88720" w14:textId="77777777" w:rsidR="00F005E1" w:rsidRPr="00452F3B" w:rsidRDefault="00F005E1" w:rsidP="00C91B81">
                      <w:pPr>
                        <w:jc w:val="center"/>
                      </w:pPr>
                      <w:r w:rsidRPr="00452F3B">
                        <w:t>(c)</w:t>
                      </w:r>
                    </w:p>
                  </w:txbxContent>
                </v:textbox>
                <w10:wrap anchorx="margin"/>
              </v:shape>
            </w:pict>
          </mc:Fallback>
        </mc:AlternateContent>
      </w:r>
      <w:r w:rsidRPr="009E1EA6">
        <w:rPr>
          <w:noProof/>
          <w:szCs w:val="24"/>
          <w:lang w:val="es-CL" w:eastAsia="es-CL"/>
        </w:rPr>
        <w:drawing>
          <wp:inline distT="0" distB="0" distL="0" distR="0" wp14:anchorId="289EA3F8" wp14:editId="69053C0E">
            <wp:extent cx="5723890" cy="1795334"/>
            <wp:effectExtent l="0" t="0" r="0" b="0"/>
            <wp:docPr id="1180333520"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065751" name="Picture 4"/>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723890" cy="1795334"/>
                    </a:xfrm>
                    <a:prstGeom prst="rect">
                      <a:avLst/>
                    </a:prstGeom>
                    <a:noFill/>
                    <a:ln>
                      <a:noFill/>
                    </a:ln>
                  </pic:spPr>
                </pic:pic>
              </a:graphicData>
            </a:graphic>
          </wp:inline>
        </w:drawing>
      </w:r>
    </w:p>
    <w:p w14:paraId="0BE39C5A" w14:textId="692C6C6B" w:rsidR="00405360" w:rsidRPr="009E1EA6" w:rsidRDefault="00B74A7C" w:rsidP="00E26C37">
      <w:pPr>
        <w:pStyle w:val="Textoindependiente"/>
        <w:spacing w:after="0" w:line="240" w:lineRule="auto"/>
        <w:ind w:firstLine="0"/>
      </w:pPr>
      <w:r w:rsidRPr="009E1EA6">
        <w:rPr>
          <w:noProof/>
          <w:highlight w:val="yellow"/>
          <w:lang w:val="es-CL" w:eastAsia="es-CL"/>
        </w:rPr>
        <mc:AlternateContent>
          <mc:Choice Requires="wps">
            <w:drawing>
              <wp:anchor distT="45720" distB="45720" distL="114300" distR="114300" simplePos="0" relativeHeight="251674624" behindDoc="0" locked="0" layoutInCell="1" allowOverlap="1" wp14:anchorId="08DDD28F" wp14:editId="40E379E3">
                <wp:simplePos x="0" y="0"/>
                <wp:positionH relativeFrom="margin">
                  <wp:posOffset>136525</wp:posOffset>
                </wp:positionH>
                <wp:positionV relativeFrom="paragraph">
                  <wp:posOffset>57373</wp:posOffset>
                </wp:positionV>
                <wp:extent cx="248285" cy="1724152"/>
                <wp:effectExtent l="0" t="0" r="0" b="6350"/>
                <wp:wrapNone/>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0744DF71" w14:textId="77777777" w:rsidR="00F005E1" w:rsidRPr="00452F3B" w:rsidRDefault="00F005E1" w:rsidP="00507081">
                            <w:pPr>
                              <w:jc w:val="center"/>
                            </w:pPr>
                            <w:r w:rsidRPr="00452F3B">
                              <w:t>(d)</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08DDD28F" id="_x0000_s1031" type="#_x0000_t202" style="position:absolute;left:0;text-align:left;margin-left:10.75pt;margin-top:4.5pt;width:19.55pt;height:135.75pt;z-index:2516746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" filled="f" stroked="f">
                <v:textbox style="mso-fit-shape-to-text:t" inset="0,0,0,0">
                  <w:txbxContent>
                    <w:p w14:paraId="0744DF71" w14:textId="77777777" w:rsidR="00F005E1" w:rsidRPr="00452F3B" w:rsidRDefault="00F005E1" w:rsidP="00507081">
                      <w:pPr>
                        <w:jc w:val="center"/>
                      </w:pPr>
                      <w:r w:rsidRPr="00452F3B">
                        <w:t>(d)</w:t>
                      </w:r>
                    </w:p>
                  </w:txbxContent>
                </v:textbox>
                <w10:wrap anchorx="margin"/>
              </v:shape>
            </w:pict>
          </mc:Fallback>
        </mc:AlternateContent>
      </w:r>
      <w:r w:rsidRPr="009E1EA6">
        <w:rPr>
          <w:noProof/>
          <w:szCs w:val="24"/>
          <w:lang w:val="es-CL" w:eastAsia="es-CL"/>
        </w:rPr>
        <w:drawing>
          <wp:inline distT="0" distB="0" distL="0" distR="0" wp14:anchorId="69EAF403" wp14:editId="759FFBA4">
            <wp:extent cx="5723890" cy="1795334"/>
            <wp:effectExtent l="0" t="0" r="0" b="0"/>
            <wp:docPr id="596743478"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002437" name="Picture 5"/>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5723890" cy="1795334"/>
                    </a:xfrm>
                    <a:prstGeom prst="rect">
                      <a:avLst/>
                    </a:prstGeom>
                    <a:noFill/>
                    <a:ln>
                      <a:noFill/>
                    </a:ln>
                  </pic:spPr>
                </pic:pic>
              </a:graphicData>
            </a:graphic>
          </wp:inline>
        </w:drawing>
      </w:r>
      <w:r w:rsidR="00816B0E" w:rsidRPr="009E1EA6">
        <w:rPr>
          <w:noProof/>
          <w:highlight w:val="yellow"/>
          <w:lang w:val="es-CL" w:eastAsia="es-CL"/>
        </w:rPr>
        <mc:AlternateContent>
          <mc:Choice Requires="wps">
            <w:drawing>
              <wp:anchor distT="45720" distB="45720" distL="114300" distR="114300" simplePos="0" relativeHeight="251672576" behindDoc="0" locked="0" layoutInCell="1" allowOverlap="1" wp14:anchorId="1585B9A4" wp14:editId="462F942E">
                <wp:simplePos x="0" y="0"/>
                <wp:positionH relativeFrom="margin">
                  <wp:posOffset>250825</wp:posOffset>
                </wp:positionH>
                <wp:positionV relativeFrom="paragraph">
                  <wp:posOffset>5639131</wp:posOffset>
                </wp:positionV>
                <wp:extent cx="248285" cy="1724152"/>
                <wp:effectExtent l="0" t="0" r="0" b="6350"/>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4A19F88B" w14:textId="77777777" w:rsidR="00F005E1" w:rsidRPr="006F6804" w:rsidRDefault="00F005E1" w:rsidP="00C91B81">
                            <w:pPr>
                              <w:jc w:val="center"/>
                              <w:rPr>
                                <w:color w:val="0000FF"/>
                              </w:rPr>
                            </w:pPr>
                            <w:r w:rsidRPr="006F6804">
                              <w:rPr>
                                <w:color w:val="0000FF"/>
                              </w:rPr>
                              <w:t>(d)</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1585B9A4" id="_x0000_s1032" type="#_x0000_t202" style="position:absolute;left:0;text-align:left;margin-left:19.75pt;margin-top:444.05pt;width:19.55pt;height:135.75pt;z-index:2516725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" filled="f" stroked="f">
                <v:textbox style="mso-fit-shape-to-text:t" inset="0,0,0,0">
                  <w:txbxContent>
                    <w:p w14:paraId="4A19F88B" w14:textId="77777777" w:rsidR="00F005E1" w:rsidRPr="006F6804" w:rsidRDefault="00F005E1" w:rsidP="00C91B81">
                      <w:pPr>
                        <w:jc w:val="center"/>
                        <w:rPr>
                          <w:color w:val="0000FF"/>
                        </w:rPr>
                      </w:pPr>
                      <w:r w:rsidRPr="006F6804">
                        <w:rPr>
                          <w:color w:val="0000FF"/>
                        </w:rPr>
                        <w:t>(d)</w:t>
                      </w:r>
                    </w:p>
                  </w:txbxContent>
                </v:textbox>
                <w10:wrap anchorx="margin"/>
              </v:shape>
            </w:pict>
          </mc:Fallback>
        </mc:AlternateContent>
      </w:r>
    </w:p>
    <w:p w14:paraId="35F1D0A2" w14:textId="76847E6C" w:rsidR="00C91B81" w:rsidRPr="009E1EA6" w:rsidRDefault="00A76623" w:rsidP="00405360">
      <w:pPr>
        <w:pStyle w:val="FigureCaption"/>
        <w:spacing w:line="360" w:lineRule="auto"/>
      </w:pPr>
      <w:r w:rsidRPr="009E1EA6">
        <w:rPr>
          <w:b/>
        </w:rPr>
        <w:t>Figure 13</w:t>
      </w:r>
      <w:r w:rsidR="00ED6BE5" w:rsidRPr="009E1EA6">
        <w:t xml:space="preserve">. </w:t>
      </w:r>
      <w:r w:rsidR="004F589C" w:rsidRPr="009E1EA6">
        <w:t>Complementary cumulative distribution functions (CCDF)</w:t>
      </w:r>
      <w:r w:rsidR="00ED6BE5" w:rsidRPr="009E1EA6">
        <w:t xml:space="preserve"> of the maximum block displacement at the sites SCRU (near sources, left) and CU (far-field, right) for </w:t>
      </w:r>
      <w:r w:rsidR="0004538C" w:rsidRPr="009E1EA6">
        <w:t xml:space="preserve">a </w:t>
      </w:r>
      <w:r w:rsidR="00ED6BE5" w:rsidRPr="009E1EA6">
        <w:t xml:space="preserve">block </w:t>
      </w:r>
      <w:r w:rsidR="0004538C" w:rsidRPr="009E1EA6">
        <w:t xml:space="preserve">simply </w:t>
      </w:r>
      <w:r w:rsidR="00ED6BE5" w:rsidRPr="009E1EA6">
        <w:t xml:space="preserve">supported (a) </w:t>
      </w:r>
      <w:r w:rsidR="0004538C" w:rsidRPr="009E1EA6">
        <w:t xml:space="preserve">on a </w:t>
      </w:r>
      <w:r w:rsidR="00ED6BE5" w:rsidRPr="009E1EA6">
        <w:t xml:space="preserve">fixed base, (b) anchored to a fixed base, (c) </w:t>
      </w:r>
      <w:r w:rsidR="0004538C" w:rsidRPr="009E1EA6">
        <w:t xml:space="preserve">on a </w:t>
      </w:r>
      <w:r w:rsidR="00ED6BE5" w:rsidRPr="009E1EA6">
        <w:t xml:space="preserve">viscoelastic isolation system with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=2s</m:t>
        </m:r>
      </m:oMath>
      <w:r w:rsidR="00B74A7C" w:rsidRPr="009E1EA6">
        <w:t xml:space="preserve"> and (4) </w:t>
      </w:r>
      <w:r w:rsidR="0004538C" w:rsidRPr="009E1EA6">
        <w:t xml:space="preserve">on a </w:t>
      </w:r>
      <w:r w:rsidR="00B74A7C" w:rsidRPr="009E1EA6">
        <w:t xml:space="preserve">SCSS isolation system with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=2s</m:t>
        </m:r>
      </m:oMath>
      <w:r w:rsidR="00B74A7C" w:rsidRPr="009E1EA6">
        <w:t xml:space="preserve">. Two values of </w:t>
      </w:r>
      <w:r w:rsidR="0004538C" w:rsidRPr="009E1EA6">
        <w:t xml:space="preserve">the </w:t>
      </w:r>
      <w:r w:rsidR="00B74A7C" w:rsidRPr="009E1EA6">
        <w:t>base friction coefficients are considered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k</m:t>
            </m:r>
          </m:sub>
        </m:sSub>
        <m:r>
          <m:rPr>
            <m:sty m:val="p"/>
          </m:rPr>
          <w:rPr>
            <w:rFonts w:ascii="Cambria Math" w:hAnsi="Cambria Math"/>
            <w:szCs w:val="24"/>
          </w:rPr>
          <m:t>=0.1</m:t>
        </m:r>
      </m:oMath>
      <w:r w:rsidR="00ED6BE5" w:rsidRPr="009E1EA6">
        <w:t xml:space="preserve"> and 0.3).</w:t>
      </w:r>
    </w:p>
    <w:p w14:paraId="18DDA993" w14:textId="77777777" w:rsidR="00C91B81" w:rsidRPr="009E1EA6" w:rsidRDefault="00C91B81" w:rsidP="00405360">
      <w:pPr>
        <w:pStyle w:val="FigureCaption"/>
        <w:spacing w:line="360" w:lineRule="auto"/>
      </w:pPr>
    </w:p>
    <w:p w14:paraId="0ABF3443" w14:textId="02283C09" w:rsidR="00505488" w:rsidRPr="009E1EA6" w:rsidRDefault="00B74A7C" w:rsidP="00E26C37">
      <w:pPr>
        <w:pStyle w:val="FigureCaption"/>
        <w:spacing w:before="0" w:after="0"/>
        <w:rPr>
          <w:b/>
        </w:rPr>
      </w:pPr>
      <w:r w:rsidRPr="009E1EA6">
        <w:rPr>
          <w:b/>
          <w:noProof/>
          <w:lang w:val="es-CL" w:eastAsia="es-CL"/>
        </w:rPr>
        <w:drawing>
          <wp:inline distT="0" distB="0" distL="0" distR="0" wp14:anchorId="5B8C792A" wp14:editId="37111CF2">
            <wp:extent cx="5723890" cy="1796992"/>
            <wp:effectExtent l="0" t="0" r="0" b="0"/>
            <wp:docPr id="2070351449"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155047" name="Picture 6"/>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5723890" cy="1796992"/>
                    </a:xfrm>
                    <a:prstGeom prst="rect">
                      <a:avLst/>
                    </a:prstGeom>
                    <a:noFill/>
                    <a:ln>
                      <a:noFill/>
                    </a:ln>
                  </pic:spPr>
                </pic:pic>
              </a:graphicData>
            </a:graphic>
          </wp:inline>
        </w:drawing>
      </w:r>
    </w:p>
    <w:p w14:paraId="6444A93B" w14:textId="53F2DF2F" w:rsidR="00405360" w:rsidRPr="009E1EA6" w:rsidRDefault="00A76623" w:rsidP="00405360">
      <w:pPr>
        <w:pStyle w:val="FigureCaption"/>
        <w:spacing w:line="360" w:lineRule="auto"/>
      </w:pPr>
      <w:r w:rsidRPr="009E1EA6">
        <w:rPr>
          <w:b/>
        </w:rPr>
        <w:t>Figure 14</w:t>
      </w:r>
      <w:r w:rsidR="00B74A7C" w:rsidRPr="009E1EA6">
        <w:t xml:space="preserve">. </w:t>
      </w:r>
      <w:r w:rsidR="004F589C" w:rsidRPr="009E1EA6">
        <w:t>Complementary cumulative distribution functions (CCDF)</w:t>
      </w:r>
      <w:r w:rsidR="00320884" w:rsidRPr="009E1EA6">
        <w:t xml:space="preserve"> </w:t>
      </w:r>
      <w:r w:rsidR="00C01FAF" w:rsidRPr="009E1EA6">
        <w:t xml:space="preserve">of </w:t>
      </w:r>
      <w:r w:rsidR="00B74A7C" w:rsidRPr="009E1EA6">
        <w:t>the maximum block acceleration of a block anchored to a fixed base derived from near-source (left) and far-field (right) ground motions.</w:t>
      </w:r>
    </w:p>
    <w:p w14:paraId="391D33CC" w14:textId="77777777" w:rsidR="00F635BA" w:rsidRPr="009E1EA6" w:rsidRDefault="00B74A7C" w:rsidP="00F635BA">
      <w:pPr>
        <w:pStyle w:val="Ttulo2"/>
        <w:rPr>
          <w:sz w:val="24"/>
          <w:szCs w:val="24"/>
        </w:rPr>
      </w:pPr>
      <w:r w:rsidRPr="009E1EA6">
        <w:rPr>
          <w:sz w:val="24"/>
          <w:szCs w:val="24"/>
        </w:rPr>
        <w:t>3.5 damage exceedance rates</w:t>
      </w:r>
    </w:p>
    <w:p w14:paraId="3058DA26" w14:textId="72FBDD6C" w:rsidR="00F635BA" w:rsidRPr="009E1EA6" w:rsidRDefault="00B74A7C" w:rsidP="00F635BA">
      <w:pPr>
        <w:pStyle w:val="Textoindependiente"/>
        <w:rPr>
          <w:lang w:eastAsia="es-MX"/>
        </w:rPr>
      </w:pPr>
      <w:r w:rsidRPr="009E1EA6">
        <w:t xml:space="preserve">The damage exceedance rate functions </w:t>
      </w:r>
      <m:oMath>
        <m:sSub>
          <m:sSubPr>
            <m:ctrlPr>
              <w:rPr>
                <w:rFonts w:ascii="Cambria Math" w:hAnsi="Cambria Math"/>
                <w:i/>
              </w:rPr>
            </m:ctrlPr>
          </m:sSubPr>
          <m:e>
            <m:r>
              <w:rPr>
                <w:rFonts w:ascii="Cambria Math" w:hAnsi="Cambria Math"/>
                <w:szCs w:val="24"/>
              </w:rPr>
              <m:t>λ</m:t>
            </m:r>
          </m:e>
          <m:sub>
            <m:r>
              <w:rPr>
                <w:rFonts w:ascii="Cambria Math" w:hAnsi="Cambria Math"/>
              </w:rPr>
              <m:t>D</m:t>
            </m:r>
          </m:sub>
        </m:sSub>
        <m:d>
          <m:dPr>
            <m:ctrlPr>
              <w:rPr>
                <w:rFonts w:ascii="Cambria Math" w:hAnsi="Cambria Math"/>
                <w:i/>
                <w:lang w:eastAsia="es-MX"/>
              </w:rPr>
            </m:ctrlPr>
          </m:dPr>
          <m:e>
            <m:r>
              <w:rPr>
                <w:rFonts w:ascii="Cambria Math" w:hAnsi="Cambria Math"/>
              </w:rPr>
              <m:t>d</m:t>
            </m:r>
          </m:e>
        </m:d>
      </m:oMath>
      <w:r w:rsidRPr="009E1EA6">
        <w:rPr>
          <w:lang w:eastAsia="es-MX"/>
        </w:rPr>
        <w:t xml:space="preserve"> and </w:t>
      </w:r>
      <m:oMath>
        <m:sSub>
          <m:sSubPr>
            <m:ctrlPr>
              <w:rPr>
                <w:rFonts w:ascii="Cambria Math" w:hAnsi="Cambria Math"/>
                <w:i/>
              </w:rPr>
            </m:ctrlPr>
          </m:sSubPr>
          <m:e>
            <m:r>
              <w:rPr>
                <w:rFonts w:ascii="Cambria Math" w:hAnsi="Cambria Math"/>
                <w:szCs w:val="24"/>
              </w:rPr>
              <m:t>λ</m:t>
            </m:r>
          </m:e>
          <m:sub>
            <m:r>
              <w:rPr>
                <w:rFonts w:ascii="Cambria Math" w:hAnsi="Cambria Math"/>
              </w:rPr>
              <m:t>A</m:t>
            </m:r>
          </m:sub>
        </m:sSub>
        <m:d>
          <m:dPr>
            <m:ctrlPr>
              <w:rPr>
                <w:rFonts w:ascii="Cambria Math" w:hAnsi="Cambria Math"/>
                <w:i/>
                <w:lang w:eastAsia="es-MX"/>
              </w:rPr>
            </m:ctrlPr>
          </m:dPr>
          <m:e>
            <m:r>
              <w:rPr>
                <w:rFonts w:ascii="Cambria Math" w:hAnsi="Cambria Math"/>
              </w:rPr>
              <m:t>a</m:t>
            </m:r>
          </m:e>
        </m:d>
      </m:oMath>
      <w:r w:rsidR="001929EF" w:rsidRPr="009E1EA6">
        <w:rPr>
          <w:lang w:eastAsia="es-MX"/>
        </w:rPr>
        <w:t xml:space="preserve"> were computed from Equations (</w:t>
      </w:r>
      <w:r w:rsidR="00A76623" w:rsidRPr="009E1EA6">
        <w:rPr>
          <w:lang w:eastAsia="es-MX"/>
        </w:rPr>
        <w:t>13</w:t>
      </w:r>
      <w:r w:rsidR="001929EF" w:rsidRPr="009E1EA6">
        <w:rPr>
          <w:lang w:eastAsia="es-MX"/>
        </w:rPr>
        <w:t>) and (</w:t>
      </w:r>
      <w:r w:rsidR="00A76623" w:rsidRPr="009E1EA6">
        <w:rPr>
          <w:lang w:eastAsia="es-MX"/>
        </w:rPr>
        <w:t>14</w:t>
      </w:r>
      <w:r w:rsidRPr="009E1EA6">
        <w:rPr>
          <w:lang w:eastAsia="es-MX"/>
        </w:rPr>
        <w:t>), respectively, using numerical integration. A summary of the main findings is presented next.</w:t>
      </w:r>
    </w:p>
    <w:p w14:paraId="5BB5B0C1" w14:textId="77777777" w:rsidR="00257E29" w:rsidRPr="009E1EA6" w:rsidRDefault="00B74A7C" w:rsidP="00333B77">
      <w:pPr>
        <w:pStyle w:val="Ttulo2"/>
        <w:rPr>
          <w:caps w:val="0"/>
        </w:rPr>
      </w:pPr>
      <w:r w:rsidRPr="009E1EA6">
        <w:rPr>
          <w:caps w:val="0"/>
        </w:rPr>
        <w:t>3.5.1 Maximum block displacement</w:t>
      </w:r>
    </w:p>
    <w:p w14:paraId="644ACADB" w14:textId="7871BC51" w:rsidR="003B2D71" w:rsidRPr="009E1EA6" w:rsidRDefault="00B74A7C" w:rsidP="002E56B0">
      <w:pPr>
        <w:pStyle w:val="Textoindependiente"/>
        <w:rPr>
          <w:lang w:eastAsia="es-MX"/>
        </w:rPr>
      </w:pPr>
      <w:r w:rsidRPr="009E1EA6">
        <w:rPr>
          <w:lang w:eastAsia="es-MX"/>
        </w:rPr>
        <w:t xml:space="preserve">Figures 15 and 16 show </w:t>
      </w:r>
      <m:oMath>
        <m:sSub>
          <m:sSubPr>
            <m:ctrlPr>
              <w:rPr>
                <w:rFonts w:ascii="Cambria Math" w:hAnsi="Cambria Math"/>
                <w:i/>
              </w:rPr>
            </m:ctrlPr>
          </m:sSubPr>
          <m:e>
            <m:r>
              <w:rPr>
                <w:rFonts w:ascii="Cambria Math" w:hAnsi="Cambria Math"/>
                <w:szCs w:val="24"/>
              </w:rPr>
              <m:t>λ</m:t>
            </m:r>
          </m:e>
          <m:sub>
            <m:r>
              <w:rPr>
                <w:rFonts w:ascii="Cambria Math" w:hAnsi="Cambria Math"/>
              </w:rPr>
              <m:t>D</m:t>
            </m:r>
          </m:sub>
        </m:sSub>
        <m:d>
          <m:dPr>
            <m:ctrlPr>
              <w:rPr>
                <w:rFonts w:ascii="Cambria Math" w:hAnsi="Cambria Math"/>
                <w:i/>
                <w:lang w:eastAsia="es-MX"/>
              </w:rPr>
            </m:ctrlPr>
          </m:dPr>
          <m:e>
            <m:r>
              <w:rPr>
                <w:rFonts w:ascii="Cambria Math" w:hAnsi="Cambria Math"/>
              </w:rPr>
              <m:t>d</m:t>
            </m:r>
          </m:e>
        </m:d>
      </m:oMath>
      <w:r w:rsidRPr="009E1EA6">
        <w:rPr>
          <w:lang w:eastAsia="es-MX"/>
        </w:rPr>
        <w:t xml:space="preserve"> computed for </w:t>
      </w:r>
      <w:r w:rsidRPr="009E1EA6">
        <w:t xml:space="preserve">simply supported, anchored, and </w:t>
      </w:r>
      <w:r w:rsidR="0004538C" w:rsidRPr="009E1EA6">
        <w:t>base-</w:t>
      </w:r>
      <w:r w:rsidRPr="009E1EA6">
        <w:t xml:space="preserve">isolated equipment. Additionally, seismic hazard curves (black lines) for </w:t>
      </w:r>
      <w:r w:rsidR="0004538C" w:rsidRPr="009E1EA6">
        <w:t xml:space="preserve">the </w:t>
      </w:r>
      <w:r w:rsidRPr="009E1EA6">
        <w:t>peak ground displacement (PGD) are also presented. Separate curves were developed for sites SCRU (near-source</w:t>
      </w:r>
      <w:r w:rsidR="00EA336C" w:rsidRPr="009E1EA6">
        <w:t>, NS</w:t>
      </w:r>
      <w:r w:rsidRPr="009E1EA6">
        <w:t>) and CU (far-field</w:t>
      </w:r>
      <w:r w:rsidR="00EA336C" w:rsidRPr="009E1EA6">
        <w:t>, FF</w:t>
      </w:r>
      <w:r w:rsidRPr="009E1EA6">
        <w:t>)</w:t>
      </w:r>
      <w:r w:rsidRPr="009E1EA6">
        <w:rPr>
          <w:lang w:eastAsia="es-MX"/>
        </w:rPr>
        <w:t xml:space="preserve">. Recall that all displacements </w:t>
      </w:r>
      <m:oMath>
        <m:r>
          <w:rPr>
            <w:rFonts w:ascii="Cambria Math" w:hAnsi="Cambria Math"/>
            <w:lang w:eastAsia="es-MX"/>
          </w:rPr>
          <m:t>D</m:t>
        </m:r>
      </m:oMath>
      <w:r w:rsidRPr="009E1EA6">
        <w:rPr>
          <w:lang w:eastAsia="es-MX"/>
        </w:rPr>
        <w:t xml:space="preserve"> smaller than </w:t>
      </w:r>
      <m:oMath>
        <m:sSub>
          <m:sSubPr>
            <m:ctrlPr>
              <w:rPr>
                <w:rFonts w:ascii="Cambria Math" w:hAnsi="Cambria Math"/>
                <w:i/>
              </w:rPr>
            </m:ctrlPr>
          </m:sSubPr>
          <m:e>
            <m:r>
              <w:rPr>
                <w:rFonts w:ascii="Cambria Math" w:hAnsi="Cambria Math"/>
              </w:rPr>
              <m:t>d</m:t>
            </m:r>
          </m:e>
          <m:sub>
            <m:r>
              <w:rPr>
                <w:rFonts w:ascii="Cambria Math" w:hAnsi="Cambria Math"/>
              </w:rPr>
              <m:t>0</m:t>
            </m:r>
          </m:sub>
        </m:sSub>
        <m:r>
          <w:rPr>
            <w:rFonts w:ascii="Cambria Math" w:hAnsi="Cambria Math"/>
          </w:rPr>
          <m:t xml:space="preserve">=0.01 </m:t>
        </m:r>
        <m:r>
          <m:rPr>
            <m:sty m:val="p"/>
          </m:rPr>
          <w:rPr>
            <w:rFonts w:ascii="Cambria Math" w:hAnsi="Cambria Math"/>
          </w:rPr>
          <m:t>m</m:t>
        </m:r>
      </m:oMath>
      <w:r w:rsidRPr="009E1EA6">
        <w:rPr>
          <w:lang w:eastAsia="es-MX"/>
        </w:rPr>
        <w:t xml:space="preserve"> </w:t>
      </w:r>
      <w:r w:rsidRPr="009E1EA6">
        <w:t>are regarded as ‘zero’ or ‘negligible’ displacement; therefore, the plateau of each damage rate function is the rate corresponding to ‘</w:t>
      </w:r>
      <m:oMath>
        <m:r>
          <w:rPr>
            <w:rFonts w:ascii="Cambria Math" w:hAnsi="Cambria Math"/>
          </w:rPr>
          <m:t>D=0</m:t>
        </m:r>
      </m:oMath>
      <w:r w:rsidRPr="009E1EA6">
        <w:t>’.</w:t>
      </w:r>
    </w:p>
    <w:p w14:paraId="24551F3C" w14:textId="2768E1EC" w:rsidR="00286CE9" w:rsidRPr="009E1EA6" w:rsidRDefault="00B74A7C" w:rsidP="00286CE9">
      <w:pPr>
        <w:pStyle w:val="Textoindependiente"/>
      </w:pPr>
      <w:r w:rsidRPr="009E1EA6">
        <w:t>The examination of these damage rate functions helps to identify the most efficient (or inefficient)</w:t>
      </w:r>
      <w:r w:rsidR="002E56B0" w:rsidRPr="009E1EA6">
        <w:rPr>
          <w:lang w:eastAsia="es-MX"/>
        </w:rPr>
        <w:t xml:space="preserve"> support conditions within the context of performance-based design. For example, at </w:t>
      </w:r>
      <w:r w:rsidR="0004538C" w:rsidRPr="009E1EA6">
        <w:rPr>
          <w:lang w:eastAsia="es-MX"/>
        </w:rPr>
        <w:t xml:space="preserve">the </w:t>
      </w:r>
      <w:r w:rsidR="002E56B0" w:rsidRPr="009E1EA6">
        <w:rPr>
          <w:lang w:eastAsia="es-MX"/>
        </w:rPr>
        <w:t>near-source site SCRU (</w:t>
      </w:r>
      <w:r w:rsidR="002E56B0" w:rsidRPr="009E1EA6">
        <w:t>solid lines</w:t>
      </w:r>
      <w:r w:rsidR="002E56B0" w:rsidRPr="009E1EA6">
        <w:rPr>
          <w:lang w:eastAsia="es-MX"/>
        </w:rPr>
        <w:t>)</w:t>
      </w:r>
      <w:r w:rsidRPr="009E1EA6">
        <w:rPr>
          <w:lang w:eastAsia="es-MX"/>
        </w:rPr>
        <w:t>,</w:t>
      </w:r>
      <w:r w:rsidR="002E56B0" w:rsidRPr="009E1EA6">
        <w:rPr>
          <w:lang w:eastAsia="es-MX"/>
        </w:rPr>
        <w:t xml:space="preserve"> the </w:t>
      </w:r>
      <w:r w:rsidR="002E56B0" w:rsidRPr="009E1EA6">
        <w:t xml:space="preserve">block displacements </w:t>
      </w:r>
      <w:r w:rsidR="002E56B0" w:rsidRPr="009E1EA6">
        <w:rPr>
          <w:lang w:eastAsia="es-MX"/>
        </w:rPr>
        <w:t>of</w:t>
      </w:r>
      <w:r w:rsidR="002E56B0" w:rsidRPr="009E1EA6">
        <w:t xml:space="preserve"> freestanding equipment (Figure 15a</w:t>
      </w:r>
      <w:r w:rsidRPr="009E1EA6">
        <w:rPr>
          <w:szCs w:val="24"/>
        </w:rPr>
        <w:t>) associated with a 1000-year return period (i.e., D</w:t>
      </w:r>
      <w:r w:rsidRPr="009E1EA6">
        <w:rPr>
          <w:szCs w:val="24"/>
          <w:vertAlign w:val="subscript"/>
        </w:rPr>
        <w:t>1000</w:t>
      </w:r>
      <w:r w:rsidR="007D42D2" w:rsidRPr="009E1EA6">
        <w:rPr>
          <w:szCs w:val="24"/>
        </w:rPr>
        <w:t>) are 0.16, 0.10 and 0.06 m for kinetic friction coefficients of</w:t>
      </w:r>
      <m:oMath>
        <m:r>
          <w:rPr>
            <w:rFonts w:ascii="Cambria Math" w:hAnsi="Cambria Math"/>
            <w:szCs w:val="24"/>
          </w:rPr>
          <m:t xml:space="preserve"> </m:t>
        </m:r>
        <m:sSub>
          <m:sSubPr>
            <m:ctrlPr>
              <w:rPr>
                <w:rFonts w:ascii="Cambria Math" w:hAnsi="Cambria Math"/>
                <w:i/>
                <w:lang w:eastAsia="es-MX"/>
              </w:rPr>
            </m:ctrlPr>
          </m:sSubPr>
          <m:e>
            <m:r>
              <w:rPr>
                <w:rFonts w:ascii="Cambria Math" w:hAnsi="Cambria Math"/>
              </w:rPr>
              <m:t>μ</m:t>
            </m:r>
          </m:e>
          <m:sub>
            <m:r>
              <w:rPr>
                <w:rFonts w:ascii="Cambria Math" w:hAnsi="Cambria Math"/>
              </w:rPr>
              <m:t>k</m:t>
            </m:r>
          </m:sub>
        </m:sSub>
        <m:r>
          <w:rPr>
            <w:rFonts w:ascii="Cambria Math" w:hAnsi="Cambria Math"/>
            <w:lang w:eastAsia="es-MX"/>
          </w:rPr>
          <m:t>=0.1, 0.15</m:t>
        </m:r>
      </m:oMath>
      <w:r w:rsidR="00163C38" w:rsidRPr="009E1EA6">
        <w:rPr>
          <w:lang w:eastAsia="es-MX"/>
        </w:rPr>
        <w:t xml:space="preserve"> and </w:t>
      </w:r>
      <m:oMath>
        <m:r>
          <w:rPr>
            <w:rFonts w:ascii="Cambria Math" w:hAnsi="Cambria Math"/>
            <w:lang w:eastAsia="es-MX"/>
          </w:rPr>
          <m:t>0.2</m:t>
        </m:r>
      </m:oMath>
      <w:r w:rsidR="007D42D2" w:rsidRPr="009E1EA6">
        <w:rPr>
          <w:lang w:eastAsia="es-MX"/>
        </w:rPr>
        <w:t xml:space="preserve">, </w:t>
      </w:r>
      <w:r w:rsidR="00881D94" w:rsidRPr="009E1EA6">
        <w:t xml:space="preserve">respectively. Anchored equipment with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/W=0.3</m:t>
        </m:r>
      </m:oMath>
      <w:r w:rsidR="002E56B0" w:rsidRPr="009E1EA6">
        <w:t xml:space="preserve"> (Figure 15b</w:t>
      </w:r>
      <w:r w:rsidR="00881D94" w:rsidRPr="009E1EA6">
        <w:t>) resulted in D</w:t>
      </w:r>
      <w:r w:rsidR="00881D94" w:rsidRPr="009E1EA6">
        <w:rPr>
          <w:vertAlign w:val="subscript"/>
        </w:rPr>
        <w:t>1000</w:t>
      </w:r>
      <w:r w:rsidR="00D75544" w:rsidRPr="009E1EA6">
        <w:rPr>
          <w:szCs w:val="24"/>
        </w:rPr>
        <w:t xml:space="preserve">=2.3 cm for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k</m:t>
            </m:r>
          </m:sub>
        </m:sSub>
        <m:r>
          <w:rPr>
            <w:rFonts w:ascii="Cambria Math" w:hAnsi="Cambria Math"/>
            <w:szCs w:val="24"/>
          </w:rPr>
          <m:t>=0.1</m:t>
        </m:r>
      </m:oMath>
      <w:r w:rsidR="00D75544" w:rsidRPr="009E1EA6">
        <w:t xml:space="preserve"> and D</w:t>
      </w:r>
      <w:r w:rsidR="00D75544" w:rsidRPr="009E1EA6">
        <w:rPr>
          <w:vertAlign w:val="subscript"/>
        </w:rPr>
        <w:t>1000</w:t>
      </w:r>
      <w:r w:rsidR="00C01FAF" w:rsidRPr="009E1EA6">
        <w:t>≤</w:t>
      </w:r>
      <w:r w:rsidR="00FA2581" w:rsidRPr="009E1EA6">
        <w:rPr>
          <w:szCs w:val="24"/>
        </w:rPr>
        <w:t>1.</w:t>
      </w:r>
      <w:r w:rsidRPr="009E1EA6">
        <w:rPr>
          <w:szCs w:val="24"/>
        </w:rPr>
        <w:t>0 cm</w:t>
      </w:r>
      <w:r w:rsidR="00FA2581" w:rsidRPr="009E1EA6">
        <w:rPr>
          <w:szCs w:val="24"/>
        </w:rPr>
        <w:t xml:space="preserve"> for higher base friction. Analogously, the 10000-year return period displacement (i.e., D</w:t>
      </w:r>
      <w:r w:rsidR="00FA2581" w:rsidRPr="009E1EA6">
        <w:rPr>
          <w:szCs w:val="24"/>
          <w:vertAlign w:val="subscript"/>
        </w:rPr>
        <w:t>10000</w:t>
      </w:r>
      <w:r w:rsidR="00C56036" w:rsidRPr="009E1EA6">
        <w:rPr>
          <w:szCs w:val="24"/>
        </w:rPr>
        <w:t xml:space="preserve">) </w:t>
      </w:r>
      <w:r w:rsidR="0004538C" w:rsidRPr="009E1EA6">
        <w:rPr>
          <w:szCs w:val="24"/>
        </w:rPr>
        <w:t xml:space="preserve">for </w:t>
      </w:r>
      <w:r w:rsidR="00C56036" w:rsidRPr="009E1EA6">
        <w:rPr>
          <w:szCs w:val="24"/>
        </w:rPr>
        <w:t xml:space="preserve">freestanding equipment is almost twice </w:t>
      </w:r>
      <w:r w:rsidRPr="009E1EA6">
        <w:rPr>
          <w:szCs w:val="24"/>
        </w:rPr>
        <w:t>that</w:t>
      </w:r>
      <w:r w:rsidR="00C56036" w:rsidRPr="009E1EA6">
        <w:rPr>
          <w:szCs w:val="24"/>
        </w:rPr>
        <w:t xml:space="preserve"> computed </w:t>
      </w:r>
      <w:r w:rsidR="0004538C" w:rsidRPr="009E1EA6">
        <w:rPr>
          <w:szCs w:val="24"/>
        </w:rPr>
        <w:t xml:space="preserve">for </w:t>
      </w:r>
      <w:r w:rsidR="00C56036" w:rsidRPr="009E1EA6">
        <w:rPr>
          <w:szCs w:val="24"/>
        </w:rPr>
        <w:t xml:space="preserve">the anchored equipment, mainly for </w:t>
      </w:r>
      <w:r w:rsidR="00C56036" w:rsidRPr="009E1EA6">
        <w:rPr>
          <w:szCs w:val="24"/>
        </w:rPr>
        <w:lastRenderedPageBreak/>
        <w:t xml:space="preserve">friction coefficients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&gt;0.1</m:t>
        </m:r>
      </m:oMath>
      <w:r w:rsidR="00FA2581" w:rsidRPr="009E1EA6">
        <w:rPr>
          <w:szCs w:val="24"/>
        </w:rPr>
        <w:t xml:space="preserve">. </w:t>
      </w:r>
      <w:r w:rsidR="002E56B0" w:rsidRPr="009E1EA6">
        <w:t>In addition, it is apparent that increasing the anchor strength decreases the displacement exceedance rates (</w:t>
      </w:r>
      <w:r w:rsidR="005E6472" w:rsidRPr="009E1EA6">
        <w:t>Figure 15c</w:t>
      </w:r>
      <w:r w:rsidR="002E56B0" w:rsidRPr="009E1EA6">
        <w:t xml:space="preserve">) and that the </w:t>
      </w:r>
      <w:r w:rsidR="00F558D7" w:rsidRPr="009E1EA6">
        <w:t>pres</w:t>
      </w:r>
      <w:r w:rsidR="002E56B0" w:rsidRPr="009E1EA6">
        <w:t xml:space="preserve">tress load </w:t>
      </w:r>
      <w:r w:rsidR="0004538C" w:rsidRPr="009E1EA6">
        <w:t xml:space="preserve">on </w:t>
      </w:r>
      <w:r w:rsidR="002E56B0" w:rsidRPr="009E1EA6">
        <w:t xml:space="preserve">the anchors has only a marginal effect </w:t>
      </w:r>
      <w:r w:rsidRPr="009E1EA6">
        <w:t>on</w:t>
      </w:r>
      <w:r w:rsidR="002E56B0" w:rsidRPr="009E1EA6">
        <w:t xml:space="preserve"> the risk reduction (Figure 15d</w:t>
      </w:r>
      <w:r w:rsidR="00FA2581" w:rsidRPr="009E1EA6">
        <w:t xml:space="preserve">). For a summary of </w:t>
      </w:r>
      <w:r w:rsidR="0004538C" w:rsidRPr="009E1EA6">
        <w:t xml:space="preserve">the </w:t>
      </w:r>
      <w:r w:rsidR="00FA2581" w:rsidRPr="009E1EA6">
        <w:t>computed D</w:t>
      </w:r>
      <w:r w:rsidR="00FA2581" w:rsidRPr="009E1EA6">
        <w:rPr>
          <w:vertAlign w:val="subscript"/>
        </w:rPr>
        <w:t>1000</w:t>
      </w:r>
      <w:r w:rsidR="00FA2581" w:rsidRPr="009E1EA6">
        <w:t xml:space="preserve"> and D</w:t>
      </w:r>
      <w:r w:rsidR="00FA2581" w:rsidRPr="009E1EA6">
        <w:rPr>
          <w:vertAlign w:val="subscript"/>
        </w:rPr>
        <w:t>10000</w:t>
      </w:r>
      <w:r w:rsidR="00FA2581" w:rsidRPr="009E1EA6">
        <w:t xml:space="preserve"> values</w:t>
      </w:r>
      <w:r w:rsidR="0004538C" w:rsidRPr="009E1EA6">
        <w:t>,</w:t>
      </w:r>
      <w:r w:rsidR="00FA2581" w:rsidRPr="009E1EA6">
        <w:t xml:space="preserve"> refer to Table </w:t>
      </w:r>
      <w:r w:rsidR="00A76623" w:rsidRPr="009E1EA6">
        <w:t>B2 in Appendix B</w:t>
      </w:r>
      <w:r w:rsidR="00FA2581" w:rsidRPr="009E1EA6">
        <w:t>.</w:t>
      </w:r>
    </w:p>
    <w:p w14:paraId="709BF4F2" w14:textId="382AE10E" w:rsidR="00163C38" w:rsidRPr="009E1EA6" w:rsidRDefault="006308CE" w:rsidP="00286CE9">
      <w:pPr>
        <w:pStyle w:val="Textoindependiente"/>
        <w:rPr>
          <w:szCs w:val="24"/>
        </w:rPr>
      </w:pPr>
      <w:r w:rsidRPr="009E1EA6">
        <w:t>At the far-field site CU (dashed lines), the D</w:t>
      </w:r>
      <w:r w:rsidRPr="009E1EA6">
        <w:rPr>
          <w:vertAlign w:val="subscript"/>
        </w:rPr>
        <w:t>1000</w:t>
      </w:r>
      <w:r w:rsidRPr="009E1EA6">
        <w:t xml:space="preserve"> values </w:t>
      </w:r>
      <w:r w:rsidR="0004538C" w:rsidRPr="009E1EA6">
        <w:t xml:space="preserve">for </w:t>
      </w:r>
      <w:r w:rsidRPr="009E1EA6">
        <w:t xml:space="preserve">the freestanding equipment are 0.035 m for </w:t>
      </w:r>
      <m:oMath>
        <m:sSub>
          <m:sSubPr>
            <m:ctrlPr>
              <w:rPr>
                <w:rFonts w:ascii="Cambria Math" w:hAnsi="Cambria Math"/>
                <w:i/>
                <w:lang w:eastAsia="es-MX"/>
              </w:rPr>
            </m:ctrlPr>
          </m:sSubPr>
          <m:e>
            <m:r>
              <w:rPr>
                <w:rFonts w:ascii="Cambria Math" w:hAnsi="Cambria Math"/>
              </w:rPr>
              <m:t>μ</m:t>
            </m:r>
          </m:e>
          <m:sub>
            <m:r>
              <w:rPr>
                <w:rFonts w:ascii="Cambria Math" w:hAnsi="Cambria Math"/>
              </w:rPr>
              <m:t>k</m:t>
            </m:r>
          </m:sub>
        </m:sSub>
        <m:r>
          <w:rPr>
            <w:rFonts w:ascii="Cambria Math" w:hAnsi="Cambria Math"/>
            <w:lang w:eastAsia="es-MX"/>
          </w:rPr>
          <m:t>=0.1</m:t>
        </m:r>
      </m:oMath>
      <w:r w:rsidR="0062480D" w:rsidRPr="009E1EA6">
        <w:rPr>
          <w:lang w:eastAsia="es-MX"/>
        </w:rPr>
        <w:t>, and negligible otherwise</w:t>
      </w:r>
      <w:r w:rsidR="0062480D" w:rsidRPr="009E1EA6">
        <w:t xml:space="preserve">. </w:t>
      </w:r>
      <w:r w:rsidR="00B74A7C" w:rsidRPr="009E1EA6">
        <w:t>Additionally</w:t>
      </w:r>
      <w:r w:rsidR="0062480D" w:rsidRPr="009E1EA6">
        <w:t>, D</w:t>
      </w:r>
      <w:r w:rsidR="0062480D" w:rsidRPr="009E1EA6">
        <w:rPr>
          <w:vertAlign w:val="subscript"/>
        </w:rPr>
        <w:t>1000</w:t>
      </w:r>
      <w:r w:rsidR="0062480D" w:rsidRPr="009E1EA6">
        <w:t xml:space="preserve"> and</w:t>
      </w:r>
      <w:r w:rsidR="0062480D" w:rsidRPr="009E1EA6">
        <w:rPr>
          <w:vertAlign w:val="subscript"/>
        </w:rPr>
        <w:t xml:space="preserve"> </w:t>
      </w:r>
      <w:r w:rsidR="0062480D" w:rsidRPr="009E1EA6">
        <w:t>D</w:t>
      </w:r>
      <w:r w:rsidR="0062480D" w:rsidRPr="009E1EA6">
        <w:rPr>
          <w:vertAlign w:val="subscript"/>
        </w:rPr>
        <w:t>10000</w:t>
      </w:r>
      <w:r w:rsidR="000148E8" w:rsidRPr="009E1EA6">
        <w:rPr>
          <w:szCs w:val="24"/>
        </w:rPr>
        <w:t xml:space="preserve"> are negligible for all the anchored block configurations studied, making it a very effective displacement control method.</w:t>
      </w:r>
    </w:p>
    <w:p w14:paraId="2A10D1F0" w14:textId="05B5787A" w:rsidR="008040B8" w:rsidRPr="009E1EA6" w:rsidRDefault="00B74A7C" w:rsidP="00C3179A">
      <w:pPr>
        <w:pStyle w:val="Textoindependiente"/>
        <w:ind w:firstLine="0"/>
      </w:pPr>
      <w:r w:rsidRPr="009E1EA6">
        <w:rPr>
          <w:noProof/>
          <w:lang w:val="es-CL" w:eastAsia="es-CL"/>
        </w:rPr>
        <mc:AlternateContent>
          <mc:Choice Requires="wps">
            <w:drawing>
              <wp:anchor distT="45720" distB="45720" distL="114300" distR="114300" simplePos="0" relativeHeight="251697152" behindDoc="0" locked="0" layoutInCell="1" allowOverlap="1" wp14:anchorId="26903DD7" wp14:editId="06A1375A">
                <wp:simplePos x="0" y="0"/>
                <wp:positionH relativeFrom="margin">
                  <wp:posOffset>2839969</wp:posOffset>
                </wp:positionH>
                <wp:positionV relativeFrom="paragraph">
                  <wp:posOffset>123825</wp:posOffset>
                </wp:positionV>
                <wp:extent cx="248285" cy="1724152"/>
                <wp:effectExtent l="0" t="0" r="0" b="6350"/>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56E53716" w14:textId="77777777" w:rsidR="00F005E1" w:rsidRPr="00617761" w:rsidRDefault="00F005E1" w:rsidP="00D75544">
                            <w:pPr>
                              <w:jc w:val="center"/>
                              <w:rPr>
                                <w:lang w:val="es-CL"/>
                              </w:rPr>
                            </w:pPr>
                            <w:r w:rsidRPr="00617761">
                              <w:t>(b)</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26903DD7" id="_x0000_s1033" type="#_x0000_t202" style="position:absolute;left:0;text-align:left;margin-left:223.6pt;margin-top:9.75pt;width:19.55pt;height:135.75pt;z-index:2516971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" filled="f" stroked="f">
                <v:textbox style="mso-fit-shape-to-text:t" inset="0,0,0,0">
                  <w:txbxContent>
                    <w:p w14:paraId="56E53716" w14:textId="77777777" w:rsidR="00F005E1" w:rsidRPr="00617761" w:rsidRDefault="00F005E1" w:rsidP="00D75544">
                      <w:pPr>
                        <w:jc w:val="center"/>
                        <w:rPr>
                          <w:lang w:val="es-CL"/>
                        </w:rPr>
                      </w:pPr>
                      <w:r w:rsidRPr="00617761">
                        <w:t>(b)</w:t>
                      </w:r>
                    </w:p>
                  </w:txbxContent>
                </v:textbox>
                <w10:wrap anchorx="margin"/>
              </v:shape>
            </w:pict>
          </mc:Fallback>
        </mc:AlternateContent>
      </w:r>
      <w:r w:rsidRPr="009E1EA6">
        <w:rPr>
          <w:noProof/>
          <w:lang w:val="es-CL" w:eastAsia="es-CL"/>
        </w:rPr>
        <mc:AlternateContent>
          <mc:Choice Requires="wps">
            <w:drawing>
              <wp:anchor distT="45720" distB="45720" distL="114300" distR="114300" simplePos="0" relativeHeight="251695104" behindDoc="0" locked="0" layoutInCell="1" allowOverlap="1" wp14:anchorId="71D52DCA" wp14:editId="1A4AA422">
                <wp:simplePos x="0" y="0"/>
                <wp:positionH relativeFrom="margin">
                  <wp:posOffset>318053</wp:posOffset>
                </wp:positionH>
                <wp:positionV relativeFrom="paragraph">
                  <wp:posOffset>127414</wp:posOffset>
                </wp:positionV>
                <wp:extent cx="248285" cy="1724152"/>
                <wp:effectExtent l="0" t="0" r="0" b="6350"/>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56656BA6" w14:textId="77777777" w:rsidR="00F005E1" w:rsidRPr="00617761" w:rsidRDefault="00F005E1" w:rsidP="00D75544">
                            <w:pPr>
                              <w:jc w:val="center"/>
                              <w:rPr>
                                <w:lang w:val="es-CL"/>
                              </w:rPr>
                            </w:pPr>
                            <w:r w:rsidRPr="00617761">
                              <w:t>(a)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71D52DCA" id="_x0000_s1034" type="#_x0000_t202" style="position:absolute;left:0;text-align:left;margin-left:25.05pt;margin-top:10.05pt;width:19.55pt;height:135.75pt;z-index:2516951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" filled="f" stroked="f">
                <v:textbox style="mso-fit-shape-to-text:t" inset="0,0,0,0">
                  <w:txbxContent>
                    <w:p w14:paraId="56656BA6" w14:textId="77777777" w:rsidR="00F005E1" w:rsidRPr="00617761" w:rsidRDefault="00F005E1" w:rsidP="00D75544">
                      <w:pPr>
                        <w:jc w:val="center"/>
                        <w:rPr>
                          <w:lang w:val="es-CL"/>
                        </w:rPr>
                      </w:pPr>
                      <w:r w:rsidRPr="00617761">
                        <w:t>(a)</w:t>
                      </w:r>
                    </w:p>
                  </w:txbxContent>
                </v:textbox>
                <w10:wrap anchorx="margin"/>
              </v:shape>
            </w:pict>
          </mc:Fallback>
        </mc:AlternateContent>
      </w:r>
      <w:r w:rsidR="00B94795" w:rsidRPr="009E1EA6">
        <w:rPr>
          <w:noProof/>
          <w:lang w:val="es-CL" w:eastAsia="es-CL"/>
        </w:rPr>
        <w:drawing>
          <wp:inline distT="0" distB="0" distL="0" distR="0" wp14:anchorId="457F1D6D" wp14:editId="3898B2AB">
            <wp:extent cx="5723890" cy="2548089"/>
            <wp:effectExtent l="0" t="0" r="0" b="5080"/>
            <wp:docPr id="133318795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15066" name="Picture 7"/>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5723890" cy="2548089"/>
                    </a:xfrm>
                    <a:prstGeom prst="rect">
                      <a:avLst/>
                    </a:prstGeom>
                    <a:noFill/>
                    <a:ln>
                      <a:noFill/>
                    </a:ln>
                  </pic:spPr>
                </pic:pic>
              </a:graphicData>
            </a:graphic>
          </wp:inline>
        </w:drawing>
      </w:r>
    </w:p>
    <w:p w14:paraId="6252BEED" w14:textId="492BF711" w:rsidR="008040B8" w:rsidRPr="009E1EA6" w:rsidRDefault="00B74A7C" w:rsidP="00C3179A">
      <w:pPr>
        <w:pStyle w:val="Textoindependiente"/>
        <w:ind w:firstLine="0"/>
      </w:pPr>
      <w:r w:rsidRPr="009E1EA6">
        <w:rPr>
          <w:noProof/>
          <w:lang w:val="es-CL" w:eastAsia="es-CL"/>
        </w:rPr>
        <mc:AlternateContent>
          <mc:Choice Requires="wps">
            <w:drawing>
              <wp:anchor distT="45720" distB="45720" distL="114300" distR="114300" simplePos="0" relativeHeight="251701248" behindDoc="0" locked="0" layoutInCell="1" allowOverlap="1" wp14:anchorId="550B1C51" wp14:editId="264A333B">
                <wp:simplePos x="0" y="0"/>
                <wp:positionH relativeFrom="margin">
                  <wp:posOffset>2852089</wp:posOffset>
                </wp:positionH>
                <wp:positionV relativeFrom="paragraph">
                  <wp:posOffset>147955</wp:posOffset>
                </wp:positionV>
                <wp:extent cx="248285" cy="1724152"/>
                <wp:effectExtent l="0" t="0" r="0" b="6350"/>
                <wp:wrapNone/>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1BBDF538" w14:textId="77777777" w:rsidR="00F005E1" w:rsidRPr="00617761" w:rsidRDefault="00F005E1" w:rsidP="00D75544">
                            <w:pPr>
                              <w:jc w:val="center"/>
                              <w:rPr>
                                <w:lang w:val="es-CL"/>
                              </w:rPr>
                            </w:pPr>
                            <w:r w:rsidRPr="00617761">
                              <w:t>(d)</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550B1C51" id="_x0000_s1035" type="#_x0000_t202" style="position:absolute;left:0;text-align:left;margin-left:224.55pt;margin-top:11.65pt;width:19.55pt;height:135.75pt;z-index:251701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" filled="f" stroked="f">
                <v:textbox style="mso-fit-shape-to-text:t" inset="0,0,0,0">
                  <w:txbxContent>
                    <w:p w14:paraId="1BBDF538" w14:textId="77777777" w:rsidR="00F005E1" w:rsidRPr="00617761" w:rsidRDefault="00F005E1" w:rsidP="00D75544">
                      <w:pPr>
                        <w:jc w:val="center"/>
                        <w:rPr>
                          <w:lang w:val="es-CL"/>
                        </w:rPr>
                      </w:pPr>
                      <w:r w:rsidRPr="00617761">
                        <w:t>(d)</w:t>
                      </w:r>
                    </w:p>
                  </w:txbxContent>
                </v:textbox>
                <w10:wrap anchorx="margin"/>
              </v:shape>
            </w:pict>
          </mc:Fallback>
        </mc:AlternateContent>
      </w:r>
      <w:r w:rsidRPr="009E1EA6">
        <w:rPr>
          <w:noProof/>
          <w:lang w:val="es-CL" w:eastAsia="es-CL"/>
        </w:rPr>
        <mc:AlternateContent>
          <mc:Choice Requires="wps">
            <w:drawing>
              <wp:anchor distT="45720" distB="45720" distL="114300" distR="114300" simplePos="0" relativeHeight="251699200" behindDoc="0" locked="0" layoutInCell="1" allowOverlap="1" wp14:anchorId="079C362E" wp14:editId="0ED72ABA">
                <wp:simplePos x="0" y="0"/>
                <wp:positionH relativeFrom="margin">
                  <wp:posOffset>319846</wp:posOffset>
                </wp:positionH>
                <wp:positionV relativeFrom="paragraph">
                  <wp:posOffset>143317</wp:posOffset>
                </wp:positionV>
                <wp:extent cx="248285" cy="1724152"/>
                <wp:effectExtent l="0" t="0" r="0" b="6350"/>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67879C74" w14:textId="77777777" w:rsidR="00F005E1" w:rsidRPr="00617761" w:rsidRDefault="00F005E1" w:rsidP="00D75544">
                            <w:pPr>
                              <w:jc w:val="center"/>
                              <w:rPr>
                                <w:lang w:val="es-CL"/>
                              </w:rPr>
                            </w:pPr>
                            <w:r w:rsidRPr="00617761">
                              <w:t>(c)</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079C362E" id="_x0000_s1036" type="#_x0000_t202" style="position:absolute;left:0;text-align:left;margin-left:25.2pt;margin-top:11.3pt;width:19.55pt;height:135.75pt;z-index:2516992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" filled="f" stroked="f">
                <v:textbox style="mso-fit-shape-to-text:t" inset="0,0,0,0">
                  <w:txbxContent>
                    <w:p w14:paraId="67879C74" w14:textId="77777777" w:rsidR="00F005E1" w:rsidRPr="00617761" w:rsidRDefault="00F005E1" w:rsidP="00D75544">
                      <w:pPr>
                        <w:jc w:val="center"/>
                        <w:rPr>
                          <w:lang w:val="es-CL"/>
                        </w:rPr>
                      </w:pPr>
                      <w:r w:rsidRPr="00617761">
                        <w:t>(c)</w:t>
                      </w:r>
                    </w:p>
                  </w:txbxContent>
                </v:textbox>
                <w10:wrap anchorx="margin"/>
              </v:shape>
            </w:pict>
          </mc:Fallback>
        </mc:AlternateContent>
      </w:r>
      <w:r w:rsidR="00B94795" w:rsidRPr="009E1EA6">
        <w:rPr>
          <w:noProof/>
          <w:lang w:val="es-CL" w:eastAsia="es-CL"/>
        </w:rPr>
        <w:drawing>
          <wp:inline distT="0" distB="0" distL="0" distR="0" wp14:anchorId="33AADB84" wp14:editId="3CB4246E">
            <wp:extent cx="5723890" cy="2548089"/>
            <wp:effectExtent l="0" t="0" r="0" b="5080"/>
            <wp:docPr id="5180188"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954148" name="Picture 8"/>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5723890" cy="2548089"/>
                    </a:xfrm>
                    <a:prstGeom prst="rect">
                      <a:avLst/>
                    </a:prstGeom>
                    <a:noFill/>
                    <a:ln>
                      <a:noFill/>
                    </a:ln>
                  </pic:spPr>
                </pic:pic>
              </a:graphicData>
            </a:graphic>
          </wp:inline>
        </w:drawing>
      </w:r>
    </w:p>
    <w:p w14:paraId="1B7362AA" w14:textId="5DFF4E59" w:rsidR="00431DAD" w:rsidRPr="009E1EA6" w:rsidRDefault="00A76623" w:rsidP="002E56B0">
      <w:pPr>
        <w:spacing w:line="360" w:lineRule="auto"/>
        <w:rPr>
          <w:sz w:val="22"/>
        </w:rPr>
      </w:pPr>
      <w:r w:rsidRPr="009E1EA6">
        <w:rPr>
          <w:b/>
          <w:sz w:val="22"/>
        </w:rPr>
        <w:t>Figure 15</w:t>
      </w:r>
      <w:r w:rsidR="009A7B46" w:rsidRPr="009E1EA6">
        <w:rPr>
          <w:sz w:val="22"/>
        </w:rPr>
        <w:t>. Risk curve</w:t>
      </w:r>
      <w:r w:rsidR="007C195D" w:rsidRPr="009E1EA6">
        <w:rPr>
          <w:sz w:val="22"/>
        </w:rPr>
        <w:t>s</w:t>
      </w:r>
      <w:r w:rsidR="009A7B46" w:rsidRPr="009E1EA6">
        <w:rPr>
          <w:sz w:val="22"/>
        </w:rPr>
        <w:t xml:space="preserve"> for maximum block displacement at the sites SCRU (near source, solid lines) and CU (far-field, dotted lines) for equipment simply supported (a) </w:t>
      </w:r>
      <w:r w:rsidR="0004538C" w:rsidRPr="009E1EA6">
        <w:rPr>
          <w:sz w:val="22"/>
        </w:rPr>
        <w:t xml:space="preserve">on a </w:t>
      </w:r>
      <w:r w:rsidR="009A7B46" w:rsidRPr="009E1EA6">
        <w:rPr>
          <w:sz w:val="22"/>
        </w:rPr>
        <w:t xml:space="preserve">fixed base, (b) anchored to a fixed base with varying friction coefficient, (c) anchored with varying </w:t>
      </w:r>
      <m:oMath>
        <m:f>
          <m:fPr>
            <m:type m:val="lin"/>
            <m:ctrlPr>
              <w:rPr>
                <w:rFonts w:ascii="Cambria Math" w:hAnsi="Cambria Math"/>
                <w:i/>
                <w:sz w:val="22"/>
              </w:rPr>
            </m:ctrlPr>
          </m:fPr>
          <m:num>
            <m:sSub>
              <m:sSubPr>
                <m:ctrlPr>
                  <w:rPr>
                    <w:rFonts w:ascii="Cambria Math" w:hAnsi="Cambria Math"/>
                    <w:i/>
                    <w:sz w:val="22"/>
                  </w:rPr>
                </m:ctrlPr>
              </m:sSubPr>
              <m:e>
                <m:r>
                  <w:rPr>
                    <w:rFonts w:ascii="Cambria Math" w:hAnsi="Cambria Math"/>
                    <w:sz w:val="22"/>
                  </w:rPr>
                  <m:t>F</m:t>
                </m:r>
              </m:e>
              <m:sub>
                <m:r>
                  <w:rPr>
                    <w:rFonts w:ascii="Cambria Math" w:hAnsi="Cambria Math"/>
                    <w:sz w:val="22"/>
                  </w:rPr>
                  <m:t>u</m:t>
                </m:r>
              </m:sub>
            </m:sSub>
          </m:num>
          <m:den>
            <m:r>
              <w:rPr>
                <w:rFonts w:ascii="Cambria Math" w:hAnsi="Cambria Math"/>
                <w:sz w:val="22"/>
              </w:rPr>
              <m:t>W</m:t>
            </m:r>
          </m:den>
        </m:f>
      </m:oMath>
      <w:r w:rsidR="009A7B46" w:rsidRPr="009E1EA6">
        <w:rPr>
          <w:sz w:val="22"/>
        </w:rPr>
        <w:t xml:space="preserve"> ratio,</w:t>
      </w:r>
      <w:r w:rsidR="0004538C" w:rsidRPr="009E1EA6">
        <w:rPr>
          <w:sz w:val="22"/>
        </w:rPr>
        <w:t xml:space="preserve"> and</w:t>
      </w:r>
      <w:r w:rsidR="009A7B46" w:rsidRPr="009E1EA6">
        <w:rPr>
          <w:sz w:val="22"/>
        </w:rPr>
        <w:t xml:space="preserve"> (d) anchored with varying </w:t>
      </w:r>
      <w:r w:rsidR="00F558D7" w:rsidRPr="009E1EA6">
        <w:rPr>
          <w:sz w:val="22"/>
        </w:rPr>
        <w:t>pres</w:t>
      </w:r>
      <w:r w:rsidR="009A7B46" w:rsidRPr="009E1EA6">
        <w:rPr>
          <w:sz w:val="22"/>
        </w:rPr>
        <w:t xml:space="preserve">tress </w:t>
      </w:r>
      <w:r w:rsidR="007C195D" w:rsidRPr="009E1EA6">
        <w:rPr>
          <w:sz w:val="22"/>
        </w:rPr>
        <w:t xml:space="preserve">load </w:t>
      </w:r>
      <w:r w:rsidR="009A7B46" w:rsidRPr="009E1EA6">
        <w:rPr>
          <w:sz w:val="22"/>
        </w:rPr>
        <w:t xml:space="preserve">ratio </w:t>
      </w:r>
      <m:oMath>
        <m:f>
          <m:fPr>
            <m:type m:val="lin"/>
            <m:ctrlPr>
              <w:rPr>
                <w:rFonts w:ascii="Cambria Math" w:hAnsi="Cambria Math"/>
                <w:i/>
                <w:sz w:val="22"/>
              </w:rPr>
            </m:ctrlPr>
          </m:fPr>
          <m:num>
            <m:sSub>
              <m:sSubPr>
                <m:ctrlPr>
                  <w:rPr>
                    <w:rFonts w:ascii="Cambria Math" w:hAnsi="Cambria Math"/>
                    <w:i/>
                    <w:sz w:val="22"/>
                  </w:rPr>
                </m:ctrlPr>
              </m:sSubPr>
              <m:e>
                <m:r>
                  <w:rPr>
                    <w:rFonts w:ascii="Cambria Math" w:hAnsi="Cambria Math"/>
                    <w:sz w:val="22"/>
                  </w:rPr>
                  <m:t>T</m:t>
                </m:r>
              </m:e>
              <m:sub>
                <m:r>
                  <w:rPr>
                    <w:rFonts w:ascii="Cambria Math" w:hAnsi="Cambria Math"/>
                    <w:sz w:val="22"/>
                  </w:rPr>
                  <m:t>0</m:t>
                </m:r>
              </m:sub>
            </m:sSub>
          </m:num>
          <m:den>
            <m:r>
              <w:rPr>
                <w:rFonts w:ascii="Cambria Math" w:hAnsi="Cambria Math"/>
                <w:sz w:val="22"/>
              </w:rPr>
              <m:t>W</m:t>
            </m:r>
          </m:den>
        </m:f>
      </m:oMath>
      <w:r w:rsidR="00EA336C" w:rsidRPr="009E1EA6">
        <w:rPr>
          <w:sz w:val="22"/>
        </w:rPr>
        <w:t>. The hazard curve for PGD is included as a reference.</w:t>
      </w:r>
    </w:p>
    <w:p w14:paraId="349CE20F" w14:textId="77777777" w:rsidR="00FD276A" w:rsidRPr="009E1EA6" w:rsidRDefault="00FD276A" w:rsidP="007227A6">
      <w:pPr>
        <w:pStyle w:val="Textoindependiente"/>
        <w:rPr>
          <w:szCs w:val="24"/>
        </w:rPr>
      </w:pPr>
    </w:p>
    <w:p w14:paraId="01992C2D" w14:textId="0E61475B" w:rsidR="007227A6" w:rsidRPr="009E1EA6" w:rsidRDefault="001664B4" w:rsidP="007227A6">
      <w:pPr>
        <w:pStyle w:val="Textoindependiente"/>
        <w:rPr>
          <w:szCs w:val="24"/>
        </w:rPr>
      </w:pPr>
      <w:r w:rsidRPr="009E1EA6">
        <w:rPr>
          <w:szCs w:val="24"/>
        </w:rPr>
        <w:t xml:space="preserve">Finally, notice that the D hazard curve of the free and anchored blocks at the far-field site </w:t>
      </w:r>
      <w:r w:rsidR="00B74A7C" w:rsidRPr="009E1EA6">
        <w:rPr>
          <w:lang w:eastAsia="es-MX"/>
        </w:rPr>
        <w:t xml:space="preserve">CU (i.e., </w:t>
      </w:r>
      <w:r w:rsidR="0004538C" w:rsidRPr="009E1EA6">
        <w:rPr>
          <w:szCs w:val="24"/>
        </w:rPr>
        <w:t>low-</w:t>
      </w:r>
      <w:r w:rsidR="00B74A7C" w:rsidRPr="009E1EA6">
        <w:rPr>
          <w:szCs w:val="24"/>
        </w:rPr>
        <w:t xml:space="preserve">frequency ground motions) is lower than the PGD hazard curve for a wide range of return periods. At </w:t>
      </w:r>
      <w:r w:rsidR="0004538C" w:rsidRPr="009E1EA6">
        <w:rPr>
          <w:szCs w:val="24"/>
        </w:rPr>
        <w:t xml:space="preserve">the </w:t>
      </w:r>
      <w:r w:rsidR="00B74A7C" w:rsidRPr="009E1EA6">
        <w:rPr>
          <w:lang w:eastAsia="es-MX"/>
        </w:rPr>
        <w:t xml:space="preserve">near-source site SCRU (i.e., </w:t>
      </w:r>
      <w:r w:rsidR="0004538C" w:rsidRPr="009E1EA6">
        <w:t>high-</w:t>
      </w:r>
      <w:r w:rsidR="00B74A7C" w:rsidRPr="009E1EA6">
        <w:t>frequency ground motions</w:t>
      </w:r>
      <w:r w:rsidRPr="009E1EA6">
        <w:rPr>
          <w:lang w:eastAsia="es-MX"/>
        </w:rPr>
        <w:t>)</w:t>
      </w:r>
      <w:r w:rsidR="00B74A7C" w:rsidRPr="009E1EA6">
        <w:rPr>
          <w:lang w:eastAsia="es-MX"/>
        </w:rPr>
        <w:t>,</w:t>
      </w:r>
      <w:r w:rsidRPr="009E1EA6">
        <w:rPr>
          <w:lang w:eastAsia="es-MX"/>
        </w:rPr>
        <w:t xml:space="preserve"> the D hazard curves are slightly higher than the </w:t>
      </w:r>
      <w:r w:rsidR="00B74A7C" w:rsidRPr="009E1EA6">
        <w:rPr>
          <w:szCs w:val="24"/>
        </w:rPr>
        <w:t xml:space="preserve">PGD hazard curves </w:t>
      </w:r>
      <w:r w:rsidR="00B74A7C" w:rsidRPr="009E1EA6">
        <w:rPr>
          <w:lang w:eastAsia="es-MX"/>
        </w:rPr>
        <w:t xml:space="preserve">for hazard levels between </w:t>
      </w:r>
      <m:oMath>
        <m:sSup>
          <m:sSupPr>
            <m:ctrlPr>
              <w:rPr>
                <w:rFonts w:ascii="Cambria Math" w:hAnsi="Cambria Math"/>
                <w:i/>
              </w:rPr>
            </m:ctrlPr>
          </m:sSupPr>
          <m:e>
            <m:r>
              <w:rPr>
                <w:rFonts w:ascii="Cambria Math" w:hAnsi="Cambria Math"/>
              </w:rPr>
              <m:t>~5×10</m:t>
            </m:r>
          </m:e>
          <m:sup>
            <m:r>
              <w:rPr>
                <w:rFonts w:ascii="Cambria Math" w:hAnsi="Cambria Math"/>
              </w:rPr>
              <m:t>-4</m:t>
            </m:r>
          </m:sup>
        </m:sSup>
      </m:oMath>
      <w:r w:rsidR="00B74A7C" w:rsidRPr="009E1EA6">
        <w:t xml:space="preserve"> and </w:t>
      </w:r>
      <m:oMath>
        <m:sSup>
          <m:sSupPr>
            <m:ctrlPr>
              <w:rPr>
                <w:rFonts w:ascii="Cambria Math" w:hAnsi="Cambria Math"/>
                <w:i/>
              </w:rPr>
            </m:ctrlPr>
          </m:sSupPr>
          <m:e>
            <m:r>
              <w:rPr>
                <w:rFonts w:ascii="Cambria Math" w:hAnsi="Cambria Math"/>
              </w:rPr>
              <m:t>~10</m:t>
            </m:r>
          </m:e>
          <m:sup>
            <m:r>
              <w:rPr>
                <w:rFonts w:ascii="Cambria Math" w:hAnsi="Cambria Math"/>
              </w:rPr>
              <m:t>-5</m:t>
            </m:r>
          </m:sup>
        </m:sSup>
      </m:oMath>
      <w:r w:rsidR="00B74A7C" w:rsidRPr="009E1EA6">
        <w:t>.</w:t>
      </w:r>
    </w:p>
    <w:p w14:paraId="6C405BD7" w14:textId="402C28BB" w:rsidR="00FA2581" w:rsidRPr="009E1EA6" w:rsidRDefault="00B74A7C" w:rsidP="00FA2581">
      <w:pPr>
        <w:pStyle w:val="Textoindependiente"/>
        <w:rPr>
          <w:szCs w:val="24"/>
        </w:rPr>
      </w:pPr>
      <w:r w:rsidRPr="009E1EA6">
        <w:t>For blocks supported on linear viscoelastic and SCSS isolators (</w:t>
      </w:r>
      <w:r w:rsidR="00A76623" w:rsidRPr="009E1EA6">
        <w:t>Figure 16</w:t>
      </w:r>
      <w:r w:rsidR="000148E8" w:rsidRPr="009E1EA6">
        <w:rPr>
          <w:szCs w:val="24"/>
        </w:rPr>
        <w:t>), the displacement risk decreases with increasing base friction and with increasing fundamental period. This result was observed for both near-source and far-field sites. See Table B3 in Appendix B for a summary of reference D</w:t>
      </w:r>
      <w:r w:rsidR="000148E8" w:rsidRPr="009E1EA6">
        <w:rPr>
          <w:szCs w:val="24"/>
          <w:vertAlign w:val="subscript"/>
        </w:rPr>
        <w:t>1000</w:t>
      </w:r>
      <w:r w:rsidR="000148E8" w:rsidRPr="009E1EA6">
        <w:rPr>
          <w:szCs w:val="24"/>
        </w:rPr>
        <w:t xml:space="preserve"> and D</w:t>
      </w:r>
      <w:r w:rsidR="000148E8" w:rsidRPr="009E1EA6">
        <w:rPr>
          <w:szCs w:val="24"/>
          <w:vertAlign w:val="subscript"/>
        </w:rPr>
        <w:t>10000</w:t>
      </w:r>
      <w:r w:rsidR="000148E8" w:rsidRPr="009E1EA6">
        <w:rPr>
          <w:szCs w:val="24"/>
        </w:rPr>
        <w:t xml:space="preserve"> values </w:t>
      </w:r>
      <w:r w:rsidR="0004538C" w:rsidRPr="009E1EA6">
        <w:rPr>
          <w:szCs w:val="24"/>
        </w:rPr>
        <w:t>for base-</w:t>
      </w:r>
      <w:r w:rsidR="000148E8" w:rsidRPr="009E1EA6">
        <w:rPr>
          <w:szCs w:val="24"/>
        </w:rPr>
        <w:t>isolated equipment.</w:t>
      </w:r>
    </w:p>
    <w:p w14:paraId="7C10285C" w14:textId="45071A59" w:rsidR="00923CAE" w:rsidRPr="009E1EA6" w:rsidRDefault="00B74A7C" w:rsidP="00E26C37">
      <w:pPr>
        <w:pStyle w:val="Textoindependiente"/>
        <w:ind w:firstLine="0"/>
        <w:rPr>
          <w:lang w:eastAsia="es-MX"/>
        </w:rPr>
      </w:pPr>
      <w:r w:rsidRPr="009E1EA6">
        <w:rPr>
          <w:noProof/>
          <w:lang w:val="es-CL" w:eastAsia="es-CL"/>
        </w:rPr>
        <mc:AlternateContent>
          <mc:Choice Requires="wps">
            <w:drawing>
              <wp:anchor distT="45720" distB="45720" distL="114300" distR="114300" simplePos="0" relativeHeight="251688960" behindDoc="0" locked="0" layoutInCell="1" allowOverlap="1" wp14:anchorId="65E662C1" wp14:editId="52677B4D">
                <wp:simplePos x="0" y="0"/>
                <wp:positionH relativeFrom="margin">
                  <wp:posOffset>2855871</wp:posOffset>
                </wp:positionH>
                <wp:positionV relativeFrom="paragraph">
                  <wp:posOffset>126365</wp:posOffset>
                </wp:positionV>
                <wp:extent cx="248285" cy="1724152"/>
                <wp:effectExtent l="0" t="0" r="0" b="6350"/>
                <wp:wrapNone/>
                <wp:docPr id="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4263A281" w14:textId="77777777" w:rsidR="00F005E1" w:rsidRPr="00617761" w:rsidRDefault="00F005E1" w:rsidP="00D75544">
                            <w:pPr>
                              <w:jc w:val="center"/>
                              <w:rPr>
                                <w:lang w:val="es-CL"/>
                              </w:rPr>
                            </w:pPr>
                            <w:r w:rsidRPr="00617761">
                              <w:t>(b)</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65E662C1" id="_x0000_s1037" type="#_x0000_t202" style="position:absolute;left:0;text-align:left;margin-left:224.85pt;margin-top:9.95pt;width:19.55pt;height:135.75pt;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" filled="f" stroked="f">
                <v:textbox style="mso-fit-shape-to-text:t" inset="0,0,0,0">
                  <w:txbxContent>
                    <w:p w14:paraId="4263A281" w14:textId="77777777" w:rsidR="00F005E1" w:rsidRPr="00617761" w:rsidRDefault="00F005E1" w:rsidP="00D75544">
                      <w:pPr>
                        <w:jc w:val="center"/>
                        <w:rPr>
                          <w:lang w:val="es-CL"/>
                        </w:rPr>
                      </w:pPr>
                      <w:r w:rsidRPr="00617761">
                        <w:t>(b)</w:t>
                      </w:r>
                    </w:p>
                  </w:txbxContent>
                </v:textbox>
                <w10:wrap anchorx="margin"/>
              </v:shape>
            </w:pict>
          </mc:Fallback>
        </mc:AlternateContent>
      </w:r>
      <w:r w:rsidRPr="009E1EA6">
        <w:rPr>
          <w:noProof/>
          <w:lang w:val="es-CL" w:eastAsia="es-CL"/>
        </w:rPr>
        <mc:AlternateContent>
          <mc:Choice Requires="wps">
            <w:drawing>
              <wp:anchor distT="45720" distB="45720" distL="114300" distR="114300" simplePos="0" relativeHeight="251686912" behindDoc="0" locked="0" layoutInCell="1" allowOverlap="1" wp14:anchorId="66F2161B" wp14:editId="7047018B">
                <wp:simplePos x="0" y="0"/>
                <wp:positionH relativeFrom="margin">
                  <wp:posOffset>317196</wp:posOffset>
                </wp:positionH>
                <wp:positionV relativeFrom="paragraph">
                  <wp:posOffset>127635</wp:posOffset>
                </wp:positionV>
                <wp:extent cx="248285" cy="1724152"/>
                <wp:effectExtent l="0" t="0" r="0" b="6350"/>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4991F249" w14:textId="77777777" w:rsidR="00F005E1" w:rsidRPr="00617761" w:rsidRDefault="00F005E1" w:rsidP="00D75544">
                            <w:pPr>
                              <w:jc w:val="center"/>
                              <w:rPr>
                                <w:lang w:val="es-CL"/>
                              </w:rPr>
                            </w:pPr>
                            <w:r w:rsidRPr="00617761">
                              <w:t>(a)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66F2161B" id="_x0000_s1038" type="#_x0000_t202" style="position:absolute;left:0;text-align:left;margin-left:25pt;margin-top:10.05pt;width:19.55pt;height:135.75pt;z-index:2516869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" filled="f" stroked="f">
                <v:textbox style="mso-fit-shape-to-text:t" inset="0,0,0,0">
                  <w:txbxContent>
                    <w:p w14:paraId="4991F249" w14:textId="77777777" w:rsidR="00F005E1" w:rsidRPr="00617761" w:rsidRDefault="00F005E1" w:rsidP="00D75544">
                      <w:pPr>
                        <w:jc w:val="center"/>
                        <w:rPr>
                          <w:lang w:val="es-CL"/>
                        </w:rPr>
                      </w:pPr>
                      <w:r w:rsidRPr="00617761">
                        <w:t>(a)</w:t>
                      </w:r>
                    </w:p>
                  </w:txbxContent>
                </v:textbox>
                <w10:wrap anchorx="margin"/>
              </v:shape>
            </w:pict>
          </mc:Fallback>
        </mc:AlternateContent>
      </w:r>
      <w:r w:rsidR="00974962" w:rsidRPr="009E1EA6">
        <w:rPr>
          <w:noProof/>
          <w:lang w:val="es-CL" w:eastAsia="es-CL"/>
        </w:rPr>
        <w:drawing>
          <wp:inline distT="0" distB="0" distL="0" distR="0" wp14:anchorId="772F3EB0" wp14:editId="6A84E936">
            <wp:extent cx="5723890" cy="2549269"/>
            <wp:effectExtent l="0" t="0" r="0" b="3810"/>
            <wp:docPr id="1135679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851057" name="Picture 1"/>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723890" cy="2549269"/>
                    </a:xfrm>
                    <a:prstGeom prst="rect">
                      <a:avLst/>
                    </a:prstGeom>
                    <a:noFill/>
                    <a:ln>
                      <a:noFill/>
                    </a:ln>
                  </pic:spPr>
                </pic:pic>
              </a:graphicData>
            </a:graphic>
          </wp:inline>
        </w:drawing>
      </w:r>
    </w:p>
    <w:p w14:paraId="12E95453" w14:textId="53E21500" w:rsidR="00923CAE" w:rsidRPr="009E1EA6" w:rsidRDefault="00B74A7C" w:rsidP="00E26C37">
      <w:pPr>
        <w:pStyle w:val="Textoindependiente"/>
        <w:ind w:firstLine="0"/>
        <w:rPr>
          <w:lang w:eastAsia="es-MX"/>
        </w:rPr>
      </w:pPr>
      <w:r w:rsidRPr="009E1EA6">
        <w:rPr>
          <w:noProof/>
          <w:lang w:val="es-CL" w:eastAsia="es-CL"/>
        </w:rPr>
        <mc:AlternateContent>
          <mc:Choice Requires="wps">
            <w:drawing>
              <wp:anchor distT="45720" distB="45720" distL="114300" distR="114300" simplePos="0" relativeHeight="251693056" behindDoc="0" locked="0" layoutInCell="1" allowOverlap="1" wp14:anchorId="07F39F74" wp14:editId="2838C8A9">
                <wp:simplePos x="0" y="0"/>
                <wp:positionH relativeFrom="margin">
                  <wp:posOffset>2907030</wp:posOffset>
                </wp:positionH>
                <wp:positionV relativeFrom="paragraph">
                  <wp:posOffset>123494</wp:posOffset>
                </wp:positionV>
                <wp:extent cx="248285" cy="1724152"/>
                <wp:effectExtent l="0" t="0" r="0" b="6350"/>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0DF5E856" w14:textId="77777777" w:rsidR="00F005E1" w:rsidRPr="00617761" w:rsidRDefault="00F005E1" w:rsidP="00D75544">
                            <w:pPr>
                              <w:jc w:val="center"/>
                              <w:rPr>
                                <w:lang w:val="es-CL"/>
                              </w:rPr>
                            </w:pPr>
                            <w:r w:rsidRPr="00617761">
                              <w:t>(d)</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07F39F74" id="_x0000_s1039" type="#_x0000_t202" style="position:absolute;left:0;text-align:left;margin-left:228.9pt;margin-top:9.7pt;width:19.55pt;height:135.75pt;z-index:2516930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" filled="f" stroked="f">
                <v:textbox style="mso-fit-shape-to-text:t" inset="0,0,0,0">
                  <w:txbxContent>
                    <w:p w14:paraId="0DF5E856" w14:textId="77777777" w:rsidR="00F005E1" w:rsidRPr="00617761" w:rsidRDefault="00F005E1" w:rsidP="00D75544">
                      <w:pPr>
                        <w:jc w:val="center"/>
                        <w:rPr>
                          <w:lang w:val="es-CL"/>
                        </w:rPr>
                      </w:pPr>
                      <w:r w:rsidRPr="00617761">
                        <w:t>(d)</w:t>
                      </w:r>
                    </w:p>
                  </w:txbxContent>
                </v:textbox>
                <w10:wrap anchorx="margin"/>
              </v:shape>
            </w:pict>
          </mc:Fallback>
        </mc:AlternateContent>
      </w:r>
      <w:r w:rsidRPr="009E1EA6">
        <w:rPr>
          <w:noProof/>
          <w:lang w:val="es-CL" w:eastAsia="es-CL"/>
        </w:rPr>
        <mc:AlternateContent>
          <mc:Choice Requires="wps">
            <w:drawing>
              <wp:anchor distT="45720" distB="45720" distL="114300" distR="114300" simplePos="0" relativeHeight="251691008" behindDoc="0" locked="0" layoutInCell="1" allowOverlap="1" wp14:anchorId="2576B29E" wp14:editId="55AF2C37">
                <wp:simplePos x="0" y="0"/>
                <wp:positionH relativeFrom="margin">
                  <wp:posOffset>357809</wp:posOffset>
                </wp:positionH>
                <wp:positionV relativeFrom="paragraph">
                  <wp:posOffset>128049</wp:posOffset>
                </wp:positionV>
                <wp:extent cx="248285" cy="1724152"/>
                <wp:effectExtent l="0" t="0" r="0" b="6350"/>
                <wp:wrapNone/>
                <wp:docPr id="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5A9184D3" w14:textId="77777777" w:rsidR="00F005E1" w:rsidRPr="00617761" w:rsidRDefault="00F005E1" w:rsidP="00D75544">
                            <w:pPr>
                              <w:jc w:val="center"/>
                              <w:rPr>
                                <w:lang w:val="es-CL"/>
                              </w:rPr>
                            </w:pPr>
                            <w:r w:rsidRPr="00617761">
                              <w:t>(c)</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2576B29E" id="_x0000_s1040" type="#_x0000_t202" style="position:absolute;left:0;text-align:left;margin-left:28.15pt;margin-top:10.1pt;width:19.55pt;height:135.75pt;z-index:2516910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" filled="f" stroked="f">
                <v:textbox style="mso-fit-shape-to-text:t" inset="0,0,0,0">
                  <w:txbxContent>
                    <w:p w14:paraId="5A9184D3" w14:textId="77777777" w:rsidR="00F005E1" w:rsidRPr="00617761" w:rsidRDefault="00F005E1" w:rsidP="00D75544">
                      <w:pPr>
                        <w:jc w:val="center"/>
                        <w:rPr>
                          <w:lang w:val="es-CL"/>
                        </w:rPr>
                      </w:pPr>
                      <w:r w:rsidRPr="00617761">
                        <w:t>(c)</w:t>
                      </w:r>
                    </w:p>
                  </w:txbxContent>
                </v:textbox>
                <w10:wrap anchorx="margin"/>
              </v:shape>
            </w:pict>
          </mc:Fallback>
        </mc:AlternateContent>
      </w:r>
      <w:r w:rsidR="00923CAE" w:rsidRPr="009E1EA6">
        <w:rPr>
          <w:noProof/>
          <w:lang w:val="es-CL" w:eastAsia="es-CL"/>
        </w:rPr>
        <w:drawing>
          <wp:inline distT="0" distB="0" distL="0" distR="0" wp14:anchorId="755EDC34" wp14:editId="5332AEC6">
            <wp:extent cx="5723890" cy="2548683"/>
            <wp:effectExtent l="0" t="0" r="0" b="4445"/>
            <wp:docPr id="374108665"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346458" name="Picture 14"/>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5723890" cy="2548683"/>
                    </a:xfrm>
                    <a:prstGeom prst="rect">
                      <a:avLst/>
                    </a:prstGeom>
                    <a:noFill/>
                    <a:ln>
                      <a:noFill/>
                    </a:ln>
                  </pic:spPr>
                </pic:pic>
              </a:graphicData>
            </a:graphic>
          </wp:inline>
        </w:drawing>
      </w:r>
    </w:p>
    <w:p w14:paraId="1C54B438" w14:textId="266D8307" w:rsidR="009A7B46" w:rsidRPr="009E1EA6" w:rsidRDefault="00A76623" w:rsidP="0092347D">
      <w:pPr>
        <w:spacing w:line="360" w:lineRule="auto"/>
        <w:rPr>
          <w:sz w:val="22"/>
        </w:rPr>
      </w:pPr>
      <w:r w:rsidRPr="009E1EA6">
        <w:rPr>
          <w:b/>
          <w:sz w:val="22"/>
        </w:rPr>
        <w:lastRenderedPageBreak/>
        <w:t>Figure 16</w:t>
      </w:r>
      <w:r w:rsidR="00B74A7C" w:rsidRPr="009E1EA6">
        <w:rPr>
          <w:sz w:val="22"/>
        </w:rPr>
        <w:t>. Risk curve</w:t>
      </w:r>
      <w:r w:rsidR="007C195D" w:rsidRPr="009E1EA6">
        <w:rPr>
          <w:sz w:val="22"/>
        </w:rPr>
        <w:t>s</w:t>
      </w:r>
      <w:r w:rsidR="00B74A7C" w:rsidRPr="009E1EA6">
        <w:rPr>
          <w:sz w:val="22"/>
        </w:rPr>
        <w:t xml:space="preserve"> for maximum block displacement at the sites SCRU (near source, solid lines) and CU (far-field, dotted lines) for equipment simply supported (a) on a viscoelastic isolation system with </w:t>
      </w:r>
      <m:oMath>
        <m:sSub>
          <m:sSubPr>
            <m:ctrlPr>
              <w:rPr>
                <w:rFonts w:ascii="Cambria Math" w:hAnsi="Cambria Math"/>
                <w:i/>
                <w:sz w:val="22"/>
              </w:rPr>
            </m:ctrlPr>
          </m:sSubPr>
          <m:e>
            <m:r>
              <w:rPr>
                <w:rFonts w:ascii="Cambria Math" w:hAnsi="Cambria Math"/>
                <w:sz w:val="22"/>
              </w:rPr>
              <m:t>T</m:t>
            </m:r>
          </m:e>
          <m:sub>
            <m:r>
              <w:rPr>
                <w:rFonts w:ascii="Cambria Math" w:hAnsi="Cambria Math"/>
                <w:sz w:val="22"/>
              </w:rPr>
              <m:t>b</m:t>
            </m:r>
          </m:sub>
        </m:sSub>
        <m:r>
          <w:rPr>
            <w:rFonts w:ascii="Cambria Math" w:hAnsi="Cambria Math"/>
            <w:sz w:val="22"/>
          </w:rPr>
          <m:t>=1 s</m:t>
        </m:r>
      </m:oMath>
      <w:r w:rsidR="00B74A7C" w:rsidRPr="009E1EA6">
        <w:rPr>
          <w:sz w:val="22"/>
        </w:rPr>
        <w:t xml:space="preserve">, (b) on a viscoelastic isolation system with </w:t>
      </w:r>
      <m:oMath>
        <m:sSub>
          <m:sSubPr>
            <m:ctrlPr>
              <w:rPr>
                <w:rFonts w:ascii="Cambria Math" w:hAnsi="Cambria Math"/>
                <w:i/>
                <w:sz w:val="22"/>
              </w:rPr>
            </m:ctrlPr>
          </m:sSubPr>
          <m:e>
            <m:r>
              <w:rPr>
                <w:rFonts w:ascii="Cambria Math" w:hAnsi="Cambria Math"/>
                <w:sz w:val="22"/>
              </w:rPr>
              <m:t>T</m:t>
            </m:r>
          </m:e>
          <m:sub>
            <m:r>
              <w:rPr>
                <w:rFonts w:ascii="Cambria Math" w:hAnsi="Cambria Math"/>
                <w:sz w:val="22"/>
              </w:rPr>
              <m:t>b</m:t>
            </m:r>
          </m:sub>
        </m:sSub>
        <m:r>
          <w:rPr>
            <w:rFonts w:ascii="Cambria Math" w:hAnsi="Cambria Math"/>
            <w:sz w:val="22"/>
          </w:rPr>
          <m:t>=2 s</m:t>
        </m:r>
      </m:oMath>
      <w:r w:rsidR="00B74A7C" w:rsidRPr="009E1EA6">
        <w:rPr>
          <w:sz w:val="22"/>
        </w:rPr>
        <w:t xml:space="preserve">, (c) on a SCSS isolation system with </w:t>
      </w:r>
      <m:oMath>
        <m:sSub>
          <m:sSubPr>
            <m:ctrlPr>
              <w:rPr>
                <w:rFonts w:ascii="Cambria Math" w:hAnsi="Cambria Math"/>
                <w:i/>
                <w:sz w:val="22"/>
              </w:rPr>
            </m:ctrlPr>
          </m:sSubPr>
          <m:e>
            <m:r>
              <w:rPr>
                <w:rFonts w:ascii="Cambria Math" w:hAnsi="Cambria Math"/>
                <w:sz w:val="22"/>
              </w:rPr>
              <m:t>T</m:t>
            </m:r>
          </m:e>
          <m:sub>
            <m:r>
              <w:rPr>
                <w:rFonts w:ascii="Cambria Math" w:hAnsi="Cambria Math"/>
                <w:sz w:val="22"/>
              </w:rPr>
              <m:t>b</m:t>
            </m:r>
          </m:sub>
        </m:sSub>
        <m:r>
          <w:rPr>
            <w:rFonts w:ascii="Cambria Math" w:hAnsi="Cambria Math"/>
            <w:sz w:val="22"/>
          </w:rPr>
          <m:t>=1 s</m:t>
        </m:r>
      </m:oMath>
      <w:r w:rsidR="00B74A7C" w:rsidRPr="009E1EA6">
        <w:rPr>
          <w:sz w:val="22"/>
        </w:rPr>
        <w:t xml:space="preserve">, and (d) on a SCSS isolation system with </w:t>
      </w:r>
      <m:oMath>
        <m:sSub>
          <m:sSubPr>
            <m:ctrlPr>
              <w:rPr>
                <w:rFonts w:ascii="Cambria Math" w:hAnsi="Cambria Math"/>
                <w:i/>
                <w:sz w:val="22"/>
              </w:rPr>
            </m:ctrlPr>
          </m:sSubPr>
          <m:e>
            <m:r>
              <w:rPr>
                <w:rFonts w:ascii="Cambria Math" w:hAnsi="Cambria Math"/>
                <w:sz w:val="22"/>
              </w:rPr>
              <m:t>T</m:t>
            </m:r>
          </m:e>
          <m:sub>
            <m:r>
              <w:rPr>
                <w:rFonts w:ascii="Cambria Math" w:hAnsi="Cambria Math"/>
                <w:sz w:val="22"/>
              </w:rPr>
              <m:t>b</m:t>
            </m:r>
          </m:sub>
        </m:sSub>
        <m:r>
          <w:rPr>
            <w:rFonts w:ascii="Cambria Math" w:hAnsi="Cambria Math"/>
            <w:sz w:val="22"/>
          </w:rPr>
          <m:t>=2 s</m:t>
        </m:r>
      </m:oMath>
      <w:r w:rsidR="008C7C34" w:rsidRPr="009E1EA6">
        <w:rPr>
          <w:sz w:val="22"/>
        </w:rPr>
        <w:t xml:space="preserve">. Three values of </w:t>
      </w:r>
      <w:r w:rsidR="00B74A7C" w:rsidRPr="009E1EA6">
        <w:rPr>
          <w:sz w:val="22"/>
        </w:rPr>
        <w:t xml:space="preserve">the </w:t>
      </w:r>
      <w:r w:rsidR="008C7C34" w:rsidRPr="009E1EA6">
        <w:rPr>
          <w:sz w:val="22"/>
        </w:rPr>
        <w:t xml:space="preserve">base friction coefficient </w:t>
      </w:r>
      <w:r w:rsidR="00B74A7C" w:rsidRPr="009E1EA6">
        <w:rPr>
          <w:sz w:val="22"/>
        </w:rPr>
        <w:t xml:space="preserve">are </w:t>
      </w:r>
      <w:r w:rsidR="008C7C34" w:rsidRPr="009E1EA6">
        <w:rPr>
          <w:sz w:val="22"/>
        </w:rPr>
        <w:t>considered.</w:t>
      </w:r>
      <w:r w:rsidR="00EA336C" w:rsidRPr="009E1EA6">
        <w:rPr>
          <w:sz w:val="22"/>
        </w:rPr>
        <w:t xml:space="preserve"> The hazard curve for PGD is included as a reference.</w:t>
      </w:r>
    </w:p>
    <w:p w14:paraId="7892876E" w14:textId="77777777" w:rsidR="00FF1EA9" w:rsidRPr="009E1EA6" w:rsidRDefault="00FF1EA9">
      <w:pPr>
        <w:jc w:val="left"/>
      </w:pPr>
    </w:p>
    <w:p w14:paraId="286284EB" w14:textId="68270019" w:rsidR="00173E7D" w:rsidRPr="009E1EA6" w:rsidRDefault="00B74A7C" w:rsidP="00FF1EA9">
      <w:pPr>
        <w:pStyle w:val="Textoindependiente"/>
        <w:ind w:firstLine="425"/>
      </w:pPr>
      <w:r w:rsidRPr="009E1EA6">
        <w:t xml:space="preserve">While Figures 15 and 16 </w:t>
      </w:r>
      <w:r w:rsidR="00C56186" w:rsidRPr="009E1EA6">
        <w:t xml:space="preserve">allow </w:t>
      </w:r>
      <w:r w:rsidR="0004538C" w:rsidRPr="009E1EA6">
        <w:t xml:space="preserve">evaluation of </w:t>
      </w:r>
      <w:r w:rsidR="00C56186" w:rsidRPr="009E1EA6">
        <w:t xml:space="preserve">how the design parameters affect </w:t>
      </w:r>
      <m:oMath>
        <m:sSub>
          <m:sSubPr>
            <m:ctrlPr>
              <w:rPr>
                <w:rFonts w:ascii="Cambria Math" w:hAnsi="Cambria Math"/>
                <w:i/>
              </w:rPr>
            </m:ctrlPr>
          </m:sSubPr>
          <m:e>
            <m:r>
              <w:rPr>
                <w:rFonts w:ascii="Cambria Math" w:hAnsi="Cambria Math"/>
              </w:rPr>
              <m:t>λ</m:t>
            </m:r>
          </m:e>
          <m:sub>
            <m:r>
              <w:rPr>
                <w:rFonts w:ascii="Cambria Math" w:hAnsi="Cambria Math"/>
              </w:rPr>
              <m:t>D</m:t>
            </m:r>
          </m:sub>
        </m:sSub>
        <m:r>
          <w:rPr>
            <w:rFonts w:ascii="Cambria Math" w:hAnsi="Cambria Math"/>
          </w:rPr>
          <m:t>(d)</m:t>
        </m:r>
      </m:oMath>
      <w:r w:rsidR="005777C5" w:rsidRPr="009E1EA6">
        <w:t xml:space="preserve"> and </w:t>
      </w:r>
      <m:oMath>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(a)</m:t>
        </m:r>
      </m:oMath>
      <w:r w:rsidR="005777C5" w:rsidRPr="009E1EA6">
        <w:t xml:space="preserve">, it is not simple to compare the relative performance between different support conditions. For this purpose, Figure 17 </w:t>
      </w:r>
      <w:r w:rsidR="009725F1" w:rsidRPr="009E1EA6">
        <w:rPr>
          <w:szCs w:val="24"/>
        </w:rPr>
        <w:t>shows a direct comparison of the four support configurations for near-source (left) and far-field (right) sites: i) freestanding (</w:t>
      </w:r>
      <m:oMath>
        <m:sSub>
          <m:sSubPr>
            <m:ctrlPr>
              <w:rPr>
                <w:rFonts w:ascii="Cambria Math" w:hAnsi="Cambria Math"/>
                <w:i/>
                <w:sz w:val="22"/>
              </w:rPr>
            </m:ctrlPr>
          </m:sSubPr>
          <m:e>
            <m:r>
              <w:rPr>
                <w:rFonts w:ascii="Cambria Math" w:hAnsi="Cambria Math"/>
                <w:sz w:val="22"/>
              </w:rPr>
              <m:t>μ</m:t>
            </m:r>
          </m:e>
          <m:sub>
            <m:r>
              <w:rPr>
                <w:rFonts w:ascii="Cambria Math" w:hAnsi="Cambria Math"/>
                <w:sz w:val="22"/>
              </w:rPr>
              <m:t>k</m:t>
            </m:r>
          </m:sub>
        </m:sSub>
        <m:r>
          <w:rPr>
            <w:rFonts w:ascii="Cambria Math" w:hAnsi="Cambria Math"/>
            <w:sz w:val="22"/>
          </w:rPr>
          <m:t>=0.1</m:t>
        </m:r>
      </m:oMath>
      <w:r w:rsidR="009725F1" w:rsidRPr="009E1EA6">
        <w:rPr>
          <w:szCs w:val="24"/>
        </w:rPr>
        <w:t>), ii) anchored</w:t>
      </w:r>
      <w:r w:rsidR="009725F1" w:rsidRPr="009E1EA6">
        <w:rPr>
          <w:i/>
          <w:szCs w:val="24"/>
        </w:rPr>
        <w:t xml:space="preserve"> </w:t>
      </w:r>
      <w:r w:rsidR="009725F1" w:rsidRPr="009E1EA6">
        <w:t>(</w:t>
      </w:r>
      <m:oMath>
        <m:sSub>
          <m:sSubPr>
            <m:ctrlPr>
              <w:rPr>
                <w:rFonts w:ascii="Cambria Math" w:hAnsi="Cambria Math"/>
                <w:i/>
              </w:rPr>
            </m:ctrlPr>
          </m:sSubPr>
          <m:e>
            <m:sSub>
              <m:sSubPr>
                <m:ctrlPr>
                  <w:rPr>
                    <w:rFonts w:ascii="Cambria Math" w:hAnsi="Cambria Math"/>
                    <w:i/>
                    <w:sz w:val="22"/>
                  </w:rPr>
                </m:ctrlPr>
              </m:sSubPr>
              <m:e>
                <m:r>
                  <w:rPr>
                    <w:rFonts w:ascii="Cambria Math" w:hAnsi="Cambria Math"/>
                    <w:sz w:val="22"/>
                  </w:rPr>
                  <m:t>μ</m:t>
                </m:r>
              </m:e>
              <m:sub>
                <m:r>
                  <w:rPr>
                    <w:rFonts w:ascii="Cambria Math" w:hAnsi="Cambria Math"/>
                    <w:sz w:val="22"/>
                  </w:rPr>
                  <m:t>k</m:t>
                </m:r>
              </m:sub>
            </m:sSub>
            <m:r>
              <w:rPr>
                <w:rFonts w:ascii="Cambria Math" w:hAnsi="Cambria Math"/>
                <w:sz w:val="22"/>
              </w:rPr>
              <m:t>=0.1</m:t>
            </m:r>
            <m:r>
              <m:rPr>
                <m:sty m:val="p"/>
              </m:rPr>
              <w:rPr>
                <w:rFonts w:ascii="Cambria Math" w:hAnsi="Cambria Math"/>
                <w:sz w:val="22"/>
              </w:rPr>
              <m:t xml:space="preserve">, </m:t>
            </m:r>
            <m:r>
              <m:rPr>
                <m:sty m:val="p"/>
              </m:rPr>
              <w:rPr>
                <w:rFonts w:ascii="Cambria Math"/>
                <w:sz w:val="22"/>
              </w:rPr>
              <m:t xml:space="preserve"> </m:t>
            </m:r>
            <m:r>
              <w:rPr>
                <w:rFonts w:ascii="Cambria Math" w:hAnsi="Cambria Math"/>
              </w:rPr>
              <m:t>T</m:t>
            </m:r>
          </m:e>
          <m:sub>
            <m:r>
              <w:rPr>
                <w:rFonts w:ascii="Cambria Math" w:hAnsi="Cambria Math"/>
              </w:rPr>
              <m:t>eq</m:t>
            </m:r>
          </m:sub>
        </m:sSub>
        <m:r>
          <w:rPr>
            <w:rFonts w:ascii="Cambria Math" w:hAnsi="Cambria Math"/>
          </w:rPr>
          <m:t>=0.1 s</m:t>
        </m:r>
      </m:oMath>
      <w:r w:rsidR="009725F1" w:rsidRPr="009E1EA6">
        <w:t xml:space="preserve">,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/W=0.3</m:t>
        </m:r>
      </m:oMath>
      <w:r w:rsidR="009725F1" w:rsidRPr="009E1EA6">
        <w:t xml:space="preserve">, </w:t>
      </w:r>
      <m:oMath>
        <m:r>
          <w:rPr>
            <w:rFonts w:ascii="Cambria Math" w:hAnsi="Cambria Math"/>
          </w:rPr>
          <m:t>μ=2</m:t>
        </m:r>
      </m:oMath>
      <w:r w:rsidR="0004538C" w:rsidRPr="009E1EA6">
        <w:t xml:space="preserve"> and</w:t>
      </w:r>
      <w:r w:rsidR="009725F1" w:rsidRPr="009E1EA6">
        <w:t xml:space="preserve"> </w:t>
      </w:r>
      <m:oMath>
        <m:sSub>
          <m:sSubPr>
            <m:ctrlPr>
              <w:rPr>
                <w:rFonts w:ascii="Cambria Math" w:hAnsi="Cambria Math"/>
                <w:i/>
              </w:rPr>
            </m:ctrlPr>
          </m:sSubPr>
          <m:e>
            <m:r>
              <w:rPr>
                <w:rFonts w:ascii="Cambria Math" w:hAnsi="Cambria Math"/>
              </w:rPr>
              <m:t>T</m:t>
            </m:r>
          </m:e>
          <m:sub>
            <m:r>
              <w:rPr>
                <w:rFonts w:ascii="Cambria Math" w:hAnsi="Cambria Math"/>
              </w:rPr>
              <m:t>0</m:t>
            </m:r>
          </m:sub>
        </m:sSub>
        <m:r>
          <w:rPr>
            <w:rFonts w:ascii="Cambria Math" w:hAnsi="Cambria Math"/>
          </w:rPr>
          <m:t>/W=0</m:t>
        </m:r>
      </m:oMath>
      <w:r w:rsidR="009725F1" w:rsidRPr="009E1EA6">
        <w:rPr>
          <w:szCs w:val="24"/>
        </w:rPr>
        <w:t>), iii) linear viscoelastic isolation system (</w:t>
      </w:r>
      <m:oMath>
        <m:sSub>
          <m:sSubPr>
            <m:ctrlPr>
              <w:rPr>
                <w:rFonts w:ascii="Cambria Math" w:hAnsi="Cambria Math"/>
                <w:i/>
                <w:sz w:val="22"/>
              </w:rPr>
            </m:ctrlPr>
          </m:sSubPr>
          <m:e>
            <m:r>
              <w:rPr>
                <w:rFonts w:ascii="Cambria Math" w:hAnsi="Cambria Math"/>
                <w:sz w:val="22"/>
              </w:rPr>
              <m:t>μ</m:t>
            </m:r>
          </m:e>
          <m:sub>
            <m:r>
              <w:rPr>
                <w:rFonts w:ascii="Cambria Math" w:hAnsi="Cambria Math"/>
                <w:sz w:val="22"/>
              </w:rPr>
              <m:t>k</m:t>
            </m:r>
          </m:sub>
        </m:sSub>
        <m:r>
          <w:rPr>
            <w:rFonts w:ascii="Cambria Math" w:hAnsi="Cambria Math"/>
            <w:sz w:val="22"/>
          </w:rPr>
          <m:t>=0.1,</m:t>
        </m:r>
        <m:r>
          <m:rPr>
            <m:sty m:val="p"/>
          </m:rPr>
          <w:rPr>
            <w:rFonts w:ascii="Cambria Math" w:hAnsi="Cambria Math"/>
            <w:sz w:val="22"/>
          </w:rPr>
          <m:t xml:space="preserve"> </m:t>
        </m:r>
        <m:r>
          <w:rPr>
            <w:rFonts w:ascii="Cambria Math" w:hAnsi="Cambria Math"/>
            <w:szCs w:val="24"/>
          </w:rPr>
          <m:t>γ</m:t>
        </m:r>
        <m:r>
          <m:rPr>
            <m:sty m:val="p"/>
          </m:rPr>
          <w:rPr>
            <w:rFonts w:ascii="Cambria Math" w:hAnsi="Cambria Math"/>
            <w:szCs w:val="24"/>
            <w:lang w:eastAsia="es-MX"/>
          </w:rPr>
          <m:t>=0.1</m:t>
        </m:r>
      </m:oMath>
      <w:r w:rsidR="009725F1" w:rsidRPr="009E1EA6">
        <w:rPr>
          <w:szCs w:val="24"/>
          <w:lang w:eastAsia="es-MX"/>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b</m:t>
            </m:r>
          </m:sub>
        </m:sSub>
        <m:r>
          <m:rPr>
            <m:sty m:val="p"/>
          </m:rPr>
          <w:rPr>
            <w:rFonts w:ascii="Cambria Math" w:hAnsi="Cambria Math"/>
            <w:szCs w:val="24"/>
          </w:rPr>
          <m:t>=2π/</m:t>
        </m:r>
        <m:sSub>
          <m:sSubPr>
            <m:ctrlPr>
              <w:rPr>
                <w:rFonts w:ascii="Cambria Math" w:hAnsi="Cambria Math"/>
                <w:szCs w:val="24"/>
              </w:rPr>
            </m:ctrlPr>
          </m:sSubPr>
          <m:e>
            <m:r>
              <m:rPr>
                <m:sty m:val="p"/>
              </m:rPr>
              <w:rPr>
                <w:rFonts w:ascii="Cambria Math" w:hAnsi="Cambria Math"/>
                <w:szCs w:val="24"/>
              </w:rPr>
              <m:t>ω</m:t>
            </m:r>
          </m:e>
          <m:sub>
            <m:r>
              <m:rPr>
                <m:sty m:val="p"/>
              </m:rPr>
              <w:rPr>
                <w:rFonts w:ascii="Cambria Math" w:hAnsi="Cambria Math"/>
                <w:szCs w:val="24"/>
              </w:rPr>
              <m:t>b</m:t>
            </m:r>
          </m:sub>
        </m:sSub>
        <m:r>
          <m:rPr>
            <m:sty m:val="p"/>
          </m:rPr>
          <w:rPr>
            <w:rFonts w:ascii="Cambria Math" w:hAnsi="Cambria Math"/>
            <w:szCs w:val="24"/>
          </w:rPr>
          <m:t>=2 s</m:t>
        </m:r>
      </m:oMath>
      <w:r w:rsidR="009725F1" w:rsidRPr="009E1EA6">
        <w:rPr>
          <w:szCs w:val="24"/>
        </w:rPr>
        <w:t xml:space="preserve">, and </w:t>
      </w:r>
      <m:oMath>
        <m:sSub>
          <m:sSubPr>
            <m:ctrlPr>
              <w:rPr>
                <w:rFonts w:ascii="Cambria Math" w:hAnsi="Cambria Math"/>
                <w:i/>
                <w:szCs w:val="24"/>
              </w:rPr>
            </m:ctrlPr>
          </m:sSubPr>
          <m:e>
            <m:r>
              <w:rPr>
                <w:rFonts w:ascii="Cambria Math" w:hAnsi="Cambria Math"/>
                <w:szCs w:val="24"/>
              </w:rPr>
              <m:t>ξ</m:t>
            </m:r>
          </m:e>
          <m:sub>
            <m:r>
              <w:rPr>
                <w:rFonts w:ascii="Cambria Math" w:hAnsi="Cambria Math"/>
                <w:szCs w:val="24"/>
              </w:rPr>
              <m:t>b</m:t>
            </m:r>
          </m:sub>
        </m:sSub>
      </m:oMath>
      <w:r w:rsidR="009725F1" w:rsidRPr="009E1EA6">
        <w:rPr>
          <w:szCs w:val="24"/>
        </w:rPr>
        <w:t>=0.25), and iv) SCSS isolation system (</w:t>
      </w:r>
      <m:oMath>
        <m:sSub>
          <m:sSubPr>
            <m:ctrlPr>
              <w:rPr>
                <w:rFonts w:ascii="Cambria Math" w:hAnsi="Cambria Math"/>
                <w:i/>
                <w:sz w:val="22"/>
              </w:rPr>
            </m:ctrlPr>
          </m:sSubPr>
          <m:e>
            <m:r>
              <w:rPr>
                <w:rFonts w:ascii="Cambria Math" w:hAnsi="Cambria Math"/>
                <w:sz w:val="22"/>
              </w:rPr>
              <m:t>μ</m:t>
            </m:r>
          </m:e>
          <m:sub>
            <m:r>
              <w:rPr>
                <w:rFonts w:ascii="Cambria Math" w:hAnsi="Cambria Math"/>
                <w:sz w:val="22"/>
              </w:rPr>
              <m:t>k</m:t>
            </m:r>
          </m:sub>
        </m:sSub>
        <m:r>
          <w:rPr>
            <w:rFonts w:ascii="Cambria Math" w:hAnsi="Cambria Math"/>
            <w:sz w:val="22"/>
          </w:rPr>
          <m:t>=0.1</m:t>
        </m:r>
        <m:r>
          <m:rPr>
            <m:sty m:val="p"/>
          </m:rPr>
          <w:rPr>
            <w:rFonts w:ascii="Cambria Math"/>
            <w:sz w:val="22"/>
          </w:rPr>
          <m:t>,</m:t>
        </m:r>
        <m:r>
          <m:rPr>
            <m:sty m:val="p"/>
          </m:rPr>
          <w:rPr>
            <w:rFonts w:ascii="Cambria Math" w:hAnsi="Cambria Math"/>
            <w:sz w:val="22"/>
          </w:rPr>
          <m:t xml:space="preserve"> </m:t>
        </m:r>
        <m:r>
          <w:rPr>
            <w:rFonts w:ascii="Cambria Math" w:hAnsi="Cambria Math"/>
            <w:szCs w:val="24"/>
          </w:rPr>
          <m:t>γ</m:t>
        </m:r>
        <m:r>
          <m:rPr>
            <m:sty m:val="p"/>
          </m:rPr>
          <w:rPr>
            <w:rFonts w:ascii="Cambria Math" w:hAnsi="Cambria Math"/>
            <w:szCs w:val="24"/>
            <w:lang w:eastAsia="es-MX"/>
          </w:rPr>
          <m:t>=0.1</m:t>
        </m:r>
      </m:oMath>
      <w:r w:rsidR="009725F1" w:rsidRPr="009E1EA6">
        <w:rPr>
          <w:szCs w:val="24"/>
          <w:lang w:eastAsia="es-MX"/>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b</m:t>
            </m:r>
          </m:sub>
        </m:sSub>
        <m:r>
          <m:rPr>
            <m:sty m:val="p"/>
          </m:rPr>
          <w:rPr>
            <w:rFonts w:ascii="Cambria Math" w:hAnsi="Cambria Math"/>
            <w:szCs w:val="24"/>
          </w:rPr>
          <m:t>=2π/</m:t>
        </m:r>
        <m:sSub>
          <m:sSubPr>
            <m:ctrlPr>
              <w:rPr>
                <w:rFonts w:ascii="Cambria Math" w:hAnsi="Cambria Math"/>
                <w:szCs w:val="24"/>
              </w:rPr>
            </m:ctrlPr>
          </m:sSubPr>
          <m:e>
            <m:r>
              <m:rPr>
                <m:sty m:val="p"/>
              </m:rPr>
              <w:rPr>
                <w:rFonts w:ascii="Cambria Math" w:hAnsi="Cambria Math"/>
                <w:szCs w:val="24"/>
              </w:rPr>
              <m:t>ω</m:t>
            </m:r>
          </m:e>
          <m:sub>
            <m:r>
              <m:rPr>
                <m:sty m:val="p"/>
              </m:rPr>
              <w:rPr>
                <w:rFonts w:ascii="Cambria Math" w:hAnsi="Cambria Math"/>
                <w:szCs w:val="24"/>
              </w:rPr>
              <m:t>b</m:t>
            </m:r>
          </m:sub>
        </m:sSub>
        <m:r>
          <m:rPr>
            <m:sty m:val="p"/>
          </m:rPr>
          <w:rPr>
            <w:rFonts w:ascii="Cambria Math" w:hAnsi="Cambria Math"/>
            <w:szCs w:val="24"/>
          </w:rPr>
          <m:t>=2.0 s</m:t>
        </m:r>
      </m:oMath>
      <w:r w:rsidR="009725F1" w:rsidRPr="009E1EA6">
        <w:rPr>
          <w:szCs w:val="24"/>
        </w:rPr>
        <w:t xml:space="preserve">, and </w:t>
      </w:r>
      <m:oMath>
        <m:sSub>
          <m:sSubPr>
            <m:ctrlPr>
              <w:rPr>
                <w:rFonts w:ascii="Cambria Math" w:hAnsi="Cambria Math"/>
                <w:i/>
                <w:szCs w:val="24"/>
              </w:rPr>
            </m:ctrlPr>
          </m:sSubPr>
          <m:e>
            <m:r>
              <w:rPr>
                <w:rFonts w:ascii="Cambria Math" w:hAnsi="Cambria Math"/>
                <w:szCs w:val="24"/>
              </w:rPr>
              <m:t>μ</m:t>
            </m:r>
          </m:e>
          <m:sub>
            <m:r>
              <w:rPr>
                <w:rFonts w:ascii="Cambria Math" w:hAnsi="Cambria Math"/>
                <w:szCs w:val="24"/>
              </w:rPr>
              <m:t>b</m:t>
            </m:r>
          </m:sub>
        </m:sSub>
      </m:oMath>
      <w:r w:rsidRPr="009E1EA6">
        <w:t xml:space="preserve">=0.25). At the near-source site, the freestanding and </w:t>
      </w:r>
      <w:r w:rsidR="0004538C" w:rsidRPr="009E1EA6">
        <w:t>base-</w:t>
      </w:r>
      <w:r w:rsidRPr="009E1EA6">
        <w:t xml:space="preserve">isolated blocks have similar curves </w:t>
      </w:r>
      <m:oMath>
        <m:sSub>
          <m:sSubPr>
            <m:ctrlPr>
              <w:rPr>
                <w:rFonts w:ascii="Cambria Math" w:hAnsi="Cambria Math"/>
                <w:i/>
              </w:rPr>
            </m:ctrlPr>
          </m:sSubPr>
          <m:e>
            <m:r>
              <w:rPr>
                <w:rFonts w:ascii="Cambria Math" w:hAnsi="Cambria Math"/>
              </w:rPr>
              <m:t>λ</m:t>
            </m:r>
          </m:e>
          <m:sub>
            <m:r>
              <w:rPr>
                <w:rFonts w:ascii="Cambria Math" w:hAnsi="Cambria Math"/>
              </w:rPr>
              <m:t>D</m:t>
            </m:r>
          </m:sub>
        </m:sSub>
        <m:r>
          <w:rPr>
            <w:rFonts w:ascii="Cambria Math" w:hAnsi="Cambria Math"/>
          </w:rPr>
          <m:t>(d)</m:t>
        </m:r>
      </m:oMath>
      <w:r w:rsidRPr="009E1EA6">
        <w:t>, whereas at the far-field site, the risk computed in the anchored block is persistently lower.</w:t>
      </w:r>
    </w:p>
    <w:p w14:paraId="6691EBE2" w14:textId="583861C9" w:rsidR="00FF1EA9" w:rsidRPr="009E1EA6" w:rsidRDefault="00B74A7C" w:rsidP="005777C5">
      <w:pPr>
        <w:pStyle w:val="Textoindependiente"/>
        <w:ind w:firstLine="0"/>
      </w:pPr>
      <w:r w:rsidRPr="009E1EA6">
        <w:rPr>
          <w:noProof/>
          <w:lang w:val="es-CL" w:eastAsia="es-CL"/>
        </w:rPr>
        <mc:AlternateContent>
          <mc:Choice Requires="wps">
            <w:drawing>
              <wp:anchor distT="45720" distB="45720" distL="114300" distR="114300" simplePos="0" relativeHeight="251660288" behindDoc="0" locked="0" layoutInCell="1" allowOverlap="1" wp14:anchorId="5A67D3BF" wp14:editId="5C331CDA">
                <wp:simplePos x="0" y="0"/>
                <wp:positionH relativeFrom="margin">
                  <wp:posOffset>2794000</wp:posOffset>
                </wp:positionH>
                <wp:positionV relativeFrom="paragraph">
                  <wp:posOffset>151130</wp:posOffset>
                </wp:positionV>
                <wp:extent cx="248285" cy="1724152"/>
                <wp:effectExtent l="0" t="0" r="0" b="635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1C4D1E1E" w14:textId="77777777" w:rsidR="00F005E1" w:rsidRPr="00617761" w:rsidRDefault="00F005E1" w:rsidP="00C1557D">
                            <w:pPr>
                              <w:jc w:val="center"/>
                              <w:rPr>
                                <w:lang w:val="es-CL"/>
                              </w:rPr>
                            </w:pPr>
                            <w:r w:rsidRPr="00617761">
                              <w:t>(b)</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5A67D3BF" id="_x0000_s1041" type="#_x0000_t202" style="position:absolute;left:0;text-align:left;margin-left:220pt;margin-top:11.9pt;width:19.55pt;height:135.75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" filled="f" stroked="f">
                <v:textbox style="mso-fit-shape-to-text:t" inset="0,0,0,0">
                  <w:txbxContent>
                    <w:p w14:paraId="1C4D1E1E" w14:textId="77777777" w:rsidR="00F005E1" w:rsidRPr="00617761" w:rsidRDefault="00F005E1" w:rsidP="00C1557D">
                      <w:pPr>
                        <w:jc w:val="center"/>
                        <w:rPr>
                          <w:lang w:val="es-CL"/>
                        </w:rPr>
                      </w:pPr>
                      <w:r w:rsidRPr="00617761">
                        <w:t>(b)</w:t>
                      </w:r>
                    </w:p>
                  </w:txbxContent>
                </v:textbox>
                <w10:wrap anchorx="margin"/>
              </v:shape>
            </w:pict>
          </mc:Fallback>
        </mc:AlternateContent>
      </w:r>
      <w:r w:rsidRPr="009E1EA6">
        <w:rPr>
          <w:noProof/>
          <w:lang w:val="es-CL" w:eastAsia="es-CL"/>
        </w:rPr>
        <mc:AlternateContent>
          <mc:Choice Requires="wps">
            <w:drawing>
              <wp:anchor distT="45720" distB="45720" distL="114300" distR="114300" simplePos="0" relativeHeight="251658240" behindDoc="0" locked="0" layoutInCell="1" allowOverlap="1" wp14:anchorId="2FE6C890" wp14:editId="43A90F55">
                <wp:simplePos x="0" y="0"/>
                <wp:positionH relativeFrom="margin">
                  <wp:posOffset>271780</wp:posOffset>
                </wp:positionH>
                <wp:positionV relativeFrom="paragraph">
                  <wp:posOffset>133350</wp:posOffset>
                </wp:positionV>
                <wp:extent cx="248285" cy="1724152"/>
                <wp:effectExtent l="0" t="0" r="0" b="6350"/>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152"/>
                        </a:xfrm>
                        <a:prstGeom prst="rect">
                          <a:avLst/>
                        </a:prstGeom>
                        <a:noFill/>
                        <a:ln w="9525">
                          <a:noFill/>
                          <a:miter lim="800000"/>
                          <a:headEnd/>
                          <a:tailEnd/>
                        </a:ln>
                      </wps:spPr>
                      <wps:txbx>
                        <w:txbxContent>
                          <w:p w14:paraId="0AE2C53C" w14:textId="77777777" w:rsidR="00F005E1" w:rsidRPr="00617761" w:rsidRDefault="00F005E1" w:rsidP="00C1557D">
                            <w:pPr>
                              <w:jc w:val="center"/>
                              <w:rPr>
                                <w:lang w:val="es-CL"/>
                              </w:rPr>
                            </w:pPr>
                            <w:r w:rsidRPr="00617761">
                              <w:t>(a)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2FE6C890" id="_x0000_s1042" type="#_x0000_t202" style="position:absolute;left:0;text-align:left;margin-left:21.4pt;margin-top:10.5pt;width:19.55pt;height:135.75pt;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" filled="f" stroked="f">
                <v:textbox style="mso-fit-shape-to-text:t" inset="0,0,0,0">
                  <w:txbxContent>
                    <w:p w14:paraId="0AE2C53C" w14:textId="77777777" w:rsidR="00F005E1" w:rsidRPr="00617761" w:rsidRDefault="00F005E1" w:rsidP="00C1557D">
                      <w:pPr>
                        <w:jc w:val="center"/>
                        <w:rPr>
                          <w:lang w:val="es-CL"/>
                        </w:rPr>
                      </w:pPr>
                      <w:r w:rsidRPr="00617761">
                        <w:t>(a)</w:t>
                      </w:r>
                    </w:p>
                  </w:txbxContent>
                </v:textbox>
                <w10:wrap anchorx="margin"/>
              </v:shape>
            </w:pict>
          </mc:Fallback>
        </mc:AlternateContent>
      </w:r>
      <w:r w:rsidR="001A70C7" w:rsidRPr="009E1EA6">
        <w:rPr>
          <w:noProof/>
          <w:lang w:val="es-CL" w:eastAsia="es-CL"/>
        </w:rPr>
        <w:drawing>
          <wp:inline distT="0" distB="0" distL="0" distR="0" wp14:anchorId="28CD152F" wp14:editId="18446E9D">
            <wp:extent cx="5723890" cy="2681079"/>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3890" cy="2681079"/>
                    </a:xfrm>
                    <a:prstGeom prst="rect">
                      <a:avLst/>
                    </a:prstGeom>
                    <a:noFill/>
                    <a:ln>
                      <a:noFill/>
                    </a:ln>
                  </pic:spPr>
                </pic:pic>
              </a:graphicData>
            </a:graphic>
          </wp:inline>
        </w:drawing>
      </w:r>
    </w:p>
    <w:p w14:paraId="07132601" w14:textId="5418997F" w:rsidR="00FF1EA9" w:rsidRPr="009E1EA6" w:rsidRDefault="00A76623" w:rsidP="00FF1EA9">
      <w:pPr>
        <w:pStyle w:val="Textoindependiente"/>
        <w:ind w:firstLine="0"/>
        <w:rPr>
          <w:sz w:val="22"/>
        </w:rPr>
      </w:pPr>
      <w:r w:rsidRPr="009E1EA6">
        <w:rPr>
          <w:b/>
          <w:sz w:val="22"/>
        </w:rPr>
        <w:t>Figure 17</w:t>
      </w:r>
      <w:r w:rsidR="00294F69" w:rsidRPr="009E1EA6">
        <w:rPr>
          <w:sz w:val="22"/>
        </w:rPr>
        <w:t>. Comparison of displacement risk curves for selected blocks with different support conditions and located at</w:t>
      </w:r>
      <w:r w:rsidR="0004538C" w:rsidRPr="009E1EA6">
        <w:rPr>
          <w:sz w:val="22"/>
        </w:rPr>
        <w:t xml:space="preserve"> the</w:t>
      </w:r>
      <w:r w:rsidR="00294F69" w:rsidRPr="009E1EA6">
        <w:rPr>
          <w:sz w:val="22"/>
        </w:rPr>
        <w:t xml:space="preserve"> (a) near-source site and (b) far-field site. Base friction </w:t>
      </w:r>
      <m:oMath>
        <m:sSub>
          <m:sSubPr>
            <m:ctrlPr>
              <w:rPr>
                <w:rFonts w:ascii="Cambria Math" w:hAnsi="Cambria Math"/>
                <w:i/>
                <w:sz w:val="22"/>
              </w:rPr>
            </m:ctrlPr>
          </m:sSubPr>
          <m:e>
            <m:r>
              <w:rPr>
                <w:rFonts w:ascii="Cambria Math" w:hAnsi="Cambria Math"/>
                <w:sz w:val="22"/>
              </w:rPr>
              <m:t>μ</m:t>
            </m:r>
          </m:e>
          <m:sub>
            <m:r>
              <w:rPr>
                <w:rFonts w:ascii="Cambria Math" w:hAnsi="Cambria Math"/>
                <w:sz w:val="22"/>
              </w:rPr>
              <m:t>k</m:t>
            </m:r>
          </m:sub>
        </m:sSub>
        <m:r>
          <w:rPr>
            <w:rFonts w:ascii="Cambria Math" w:hAnsi="Cambria Math"/>
            <w:sz w:val="22"/>
          </w:rPr>
          <m:t>=0.1</m:t>
        </m:r>
      </m:oMath>
      <w:r w:rsidR="00294F69" w:rsidRPr="009E1EA6">
        <w:rPr>
          <w:sz w:val="22"/>
        </w:rPr>
        <w:t xml:space="preserve"> in all cases.</w:t>
      </w:r>
      <w:r w:rsidR="00EA336C" w:rsidRPr="009E1EA6">
        <w:rPr>
          <w:sz w:val="22"/>
        </w:rPr>
        <w:t xml:space="preserve"> In both (a) and (b), the hazard curve for PGD is included as a reference.</w:t>
      </w:r>
    </w:p>
    <w:p w14:paraId="003F0994" w14:textId="481D2BEF" w:rsidR="00BC28F2" w:rsidRPr="009E1EA6" w:rsidRDefault="00BC28F2" w:rsidP="00BC28F2">
      <w:pPr>
        <w:pStyle w:val="Textoindependiente"/>
        <w:rPr>
          <w:szCs w:val="24"/>
          <w:lang w:eastAsia="es-CL"/>
        </w:rPr>
      </w:pPr>
      <w:r w:rsidRPr="009E1EA6">
        <w:rPr>
          <w:szCs w:val="24"/>
          <w:lang w:eastAsia="es-CL"/>
        </w:rPr>
        <w:t>In the present study, the fragility functions were derived from a standard incremental dynamic analysis (IDA), a procedure that may introduce biases in the estimation of risk measures if not done carefully. To address this problem, our preliminary results using alternative ground-motion selection techniques (e.g., the conditional scenario spectra</w:t>
      </w:r>
      <w:r w:rsidR="00583719" w:rsidRPr="009E1EA6">
        <w:rPr>
          <w:szCs w:val="24"/>
          <w:lang w:eastAsia="es-CL"/>
        </w:rPr>
        <w:t xml:space="preserve">, CSS, </w:t>
      </w:r>
      <w:r w:rsidRPr="009E1EA6">
        <w:rPr>
          <w:szCs w:val="24"/>
          <w:lang w:eastAsia="es-CL"/>
        </w:rPr>
        <w:lastRenderedPageBreak/>
        <w:t>approach</w:t>
      </w:r>
      <w:r w:rsidR="00583719" w:rsidRPr="009E1EA6">
        <w:rPr>
          <w:szCs w:val="24"/>
          <w:lang w:eastAsia="es-CL"/>
        </w:rPr>
        <w:t xml:space="preserve"> as described in</w:t>
      </w:r>
      <w:r w:rsidRPr="009E1EA6">
        <w:rPr>
          <w:szCs w:val="24"/>
          <w:lang w:eastAsia="es-CL"/>
        </w:rPr>
        <w:t xml:space="preserve"> Arteta and Abrahamson 2019) show that the displacement risk curves of the freestanding blocks agree very well with the IDA-based approach used herein, as shown in Figure 1</w:t>
      </w:r>
      <w:r w:rsidR="00123ECD" w:rsidRPr="009E1EA6">
        <w:rPr>
          <w:szCs w:val="24"/>
          <w:lang w:eastAsia="es-CL"/>
        </w:rPr>
        <w:t>8</w:t>
      </w:r>
      <w:r w:rsidRPr="009E1EA6">
        <w:rPr>
          <w:szCs w:val="24"/>
          <w:lang w:eastAsia="es-CL"/>
        </w:rPr>
        <w:t>.</w:t>
      </w:r>
    </w:p>
    <w:p w14:paraId="0D5F2891" w14:textId="77777777" w:rsidR="00BC28F2" w:rsidRPr="009E1EA6" w:rsidRDefault="00BC28F2" w:rsidP="00BC28F2">
      <w:pPr>
        <w:pStyle w:val="Textoindependiente"/>
        <w:spacing w:after="0" w:line="240" w:lineRule="auto"/>
        <w:ind w:firstLine="357"/>
        <w:jc w:val="center"/>
      </w:pPr>
      <w:r w:rsidRPr="009E1EA6">
        <w:rPr>
          <w:noProof/>
          <w:szCs w:val="24"/>
          <w:lang w:val="es-CL" w:eastAsia="es-CL"/>
        </w:rPr>
        <w:drawing>
          <wp:inline distT="0" distB="0" distL="0" distR="0" wp14:anchorId="2D8E3A88" wp14:editId="4468504C">
            <wp:extent cx="3335020" cy="1917065"/>
            <wp:effectExtent l="0" t="0" r="0" b="6985"/>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392316" name="Picture 1"/>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3335020" cy="1917065"/>
                    </a:xfrm>
                    <a:prstGeom prst="rect">
                      <a:avLst/>
                    </a:prstGeom>
                    <a:noFill/>
                    <a:ln>
                      <a:noFill/>
                    </a:ln>
                  </pic:spPr>
                </pic:pic>
              </a:graphicData>
            </a:graphic>
          </wp:inline>
        </w:drawing>
      </w:r>
    </w:p>
    <w:p w14:paraId="16A40631" w14:textId="72BE4487" w:rsidR="00BC28F2" w:rsidRPr="009E1EA6" w:rsidRDefault="00BC28F2" w:rsidP="00BC28F2">
      <w:pPr>
        <w:pStyle w:val="Textoindependiente"/>
        <w:ind w:firstLine="0"/>
        <w:rPr>
          <w:sz w:val="22"/>
          <w:szCs w:val="22"/>
        </w:rPr>
      </w:pPr>
      <w:r w:rsidRPr="009E1EA6">
        <w:rPr>
          <w:b/>
          <w:sz w:val="22"/>
          <w:szCs w:val="22"/>
        </w:rPr>
        <w:t>Figure 1</w:t>
      </w:r>
      <w:r w:rsidR="00123ECD" w:rsidRPr="009E1EA6">
        <w:rPr>
          <w:b/>
          <w:sz w:val="22"/>
          <w:szCs w:val="22"/>
        </w:rPr>
        <w:t>8</w:t>
      </w:r>
      <w:r w:rsidRPr="009E1EA6">
        <w:rPr>
          <w:sz w:val="22"/>
          <w:szCs w:val="22"/>
        </w:rPr>
        <w:t xml:space="preserve">. Comparison of displacement risk curves for a simply supported rigid block. The IDA-based curve uses fragility functions derived from a standard incremental dynamic analysis; the CSS-based approach estimates </w:t>
      </w:r>
      <m:oMath>
        <m:sSub>
          <m:sSubPr>
            <m:ctrlPr>
              <w:rPr>
                <w:rFonts w:ascii="Cambria Math" w:hAnsi="Cambria Math"/>
                <w:i/>
                <w:sz w:val="22"/>
                <w:szCs w:val="22"/>
              </w:rPr>
            </m:ctrlPr>
          </m:sSubPr>
          <m:e>
            <m:r>
              <w:rPr>
                <w:rFonts w:ascii="Cambria Math" w:hAnsi="Cambria Math"/>
                <w:sz w:val="22"/>
                <w:szCs w:val="22"/>
              </w:rPr>
              <m:t>λ</m:t>
            </m:r>
          </m:e>
          <m:sub>
            <m:r>
              <w:rPr>
                <w:rFonts w:ascii="Cambria Math" w:hAnsi="Cambria Math"/>
                <w:sz w:val="22"/>
                <w:szCs w:val="22"/>
              </w:rPr>
              <m:t>D</m:t>
            </m:r>
          </m:sub>
        </m:sSub>
      </m:oMath>
      <w:r w:rsidRPr="009E1EA6">
        <w:rPr>
          <w:sz w:val="22"/>
          <w:szCs w:val="22"/>
        </w:rPr>
        <w:t xml:space="preserve"> by adding the rates of occurrence assigned to each ground motion selected using the CSS framework (Arteta and Abrahamson 2019).</w:t>
      </w:r>
    </w:p>
    <w:p w14:paraId="2DD2A26C" w14:textId="77777777" w:rsidR="00BC28F2" w:rsidRPr="009E1EA6" w:rsidRDefault="00BC28F2" w:rsidP="00FF1EA9">
      <w:pPr>
        <w:pStyle w:val="Textoindependiente"/>
        <w:ind w:firstLine="0"/>
        <w:rPr>
          <w:sz w:val="22"/>
        </w:rPr>
      </w:pPr>
    </w:p>
    <w:p w14:paraId="04A5B33B" w14:textId="77777777" w:rsidR="00257E29" w:rsidRPr="009E1EA6" w:rsidRDefault="00B74A7C" w:rsidP="00333B77">
      <w:pPr>
        <w:pStyle w:val="Ttulo2"/>
        <w:rPr>
          <w:caps w:val="0"/>
        </w:rPr>
      </w:pPr>
      <w:r w:rsidRPr="009E1EA6">
        <w:rPr>
          <w:caps w:val="0"/>
        </w:rPr>
        <w:t>3.5.2 Maximum absolute block acceleration</w:t>
      </w:r>
    </w:p>
    <w:p w14:paraId="63D9A11E" w14:textId="0857F34C" w:rsidR="002E4C40" w:rsidRPr="009E1EA6" w:rsidRDefault="00B74A7C" w:rsidP="00D921CF">
      <w:pPr>
        <w:pStyle w:val="Textoindependiente"/>
        <w:ind w:firstLine="425"/>
      </w:pPr>
      <w:r w:rsidRPr="009E1EA6">
        <w:t xml:space="preserve">The rates of exceedance of the maximum block acceleration </w:t>
      </w:r>
      <m:oMath>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(a)</m:t>
        </m:r>
      </m:oMath>
      <w:r w:rsidRPr="009E1EA6">
        <w:t xml:space="preserve"> are presented in Figure </w:t>
      </w:r>
      <w:r w:rsidR="00123ECD" w:rsidRPr="009E1EA6">
        <w:t xml:space="preserve">19 </w:t>
      </w:r>
      <w:r w:rsidR="0079412D" w:rsidRPr="009E1EA6">
        <w:t xml:space="preserve">for several anchored blocks located at the near-source and far-field sites. </w:t>
      </w:r>
      <w:r w:rsidRPr="009E1EA6">
        <w:t>Note</w:t>
      </w:r>
      <w:r w:rsidR="0079412D" w:rsidRPr="009E1EA6">
        <w:t xml:space="preserve"> that the risk curve </w:t>
      </w:r>
      <m:oMath>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(a)</m:t>
        </m:r>
      </m:oMath>
      <w:r w:rsidR="0079412D" w:rsidRPr="009E1EA6">
        <w:t xml:space="preserve"> coincides with the local seismic hazard curve for </w:t>
      </w:r>
      <m:oMath>
        <m:r>
          <w:rPr>
            <w:rFonts w:ascii="Cambria Math" w:hAnsi="Cambria Math"/>
          </w:rPr>
          <m:t>a&lt;</m:t>
        </m:r>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m:t>
        </m:r>
      </m:oMath>
      <w:r w:rsidR="003B5124" w:rsidRPr="009E1EA6">
        <w:t xml:space="preserve"> since no slippage has taken place. Once the friction is overcome and before the anchors break, the risk curve </w:t>
      </w:r>
      <m:oMath>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(a)</m:t>
        </m:r>
      </m:oMath>
      <w:r w:rsidRPr="009E1EA6">
        <w:t xml:space="preserve"> is higher than the seismic hazard curve. Therefore, the use of anchors may be detrimental in areas of high seismicity where acceleration-sensitive equipment is used. Additionally, notice that the risk curve </w:t>
      </w:r>
      <m:oMath>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(a)</m:t>
        </m:r>
      </m:oMath>
      <w:r w:rsidR="00246C45" w:rsidRPr="009E1EA6">
        <w:t xml:space="preserve"> drops sharply to ‘zero’ for large </w:t>
      </w:r>
      <m:oMath>
        <m:r>
          <w:rPr>
            <w:rFonts w:ascii="Cambria Math" w:hAnsi="Cambria Math"/>
          </w:rPr>
          <m:t>a</m:t>
        </m:r>
      </m:oMath>
      <w:r w:rsidRPr="009E1EA6">
        <w:t xml:space="preserve"> values. This occurs when the block displaces enough to mobilize the base friction and the anchors reach the fracture displacement.</w:t>
      </w:r>
    </w:p>
    <w:p w14:paraId="2F06EF11" w14:textId="63E5A50D" w:rsidR="00C1557D" w:rsidRPr="009E1EA6" w:rsidRDefault="00B74A7C" w:rsidP="00C1557D">
      <w:pPr>
        <w:pStyle w:val="Textoindependiente"/>
        <w:ind w:firstLine="425"/>
      </w:pPr>
      <w:r w:rsidRPr="009E1EA6">
        <w:t xml:space="preserve">From Figure </w:t>
      </w:r>
      <w:r w:rsidR="00123ECD" w:rsidRPr="009E1EA6">
        <w:t>19a</w:t>
      </w:r>
      <w:r w:rsidRPr="009E1EA6">
        <w:t xml:space="preserve">, </w:t>
      </w:r>
      <w:r w:rsidR="00707A73" w:rsidRPr="009E1EA6">
        <w:t xml:space="preserve">it is apparent that a </w:t>
      </w:r>
      <w:r w:rsidR="00AB354F" w:rsidRPr="009E1EA6">
        <w:t xml:space="preserve">higher </w:t>
      </w:r>
      <w:r w:rsidR="00707A73" w:rsidRPr="009E1EA6">
        <w:t>base friction is desired as it leads to lower exceedance rates of the maximum block acceleration; this improvement, however, is not very significant.</w:t>
      </w:r>
      <w:r w:rsidR="00643674" w:rsidRPr="009E1EA6">
        <w:t xml:space="preserve"> </w:t>
      </w:r>
      <w:r w:rsidR="00F14527" w:rsidRPr="009E1EA6">
        <w:t>To illustrate this</w:t>
      </w:r>
      <w:r w:rsidR="00643674" w:rsidRPr="009E1EA6">
        <w:t xml:space="preserve">, consider Figure 19a for a PGA equal to 0.2g, where the equipment </w:t>
      </w:r>
      <w:r w:rsidR="00F14527" w:rsidRPr="009E1EA6">
        <w:t xml:space="preserve">base </w:t>
      </w:r>
      <w:r w:rsidR="00643674" w:rsidRPr="009E1EA6">
        <w:t xml:space="preserve">friction resistance is already surpassed for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=0.1</m:t>
        </m:r>
      </m:oMath>
      <w:r w:rsidR="00643674" w:rsidRPr="009E1EA6">
        <w:t xml:space="preserve">; consequently, the maximum block acceleration is increased due to the </w:t>
      </w:r>
      <w:r w:rsidR="00F14527" w:rsidRPr="009E1EA6">
        <w:t>anchors</w:t>
      </w:r>
      <w:r w:rsidR="00643674" w:rsidRPr="009E1EA6">
        <w:t xml:space="preserve"> action. For a PGA of the same order, but considering equipment with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=0.2</m:t>
        </m:r>
      </m:oMath>
      <w:r w:rsidR="00643674" w:rsidRPr="009E1EA6">
        <w:t xml:space="preserve"> and 0.3, sliding has not </w:t>
      </w:r>
      <w:r w:rsidR="00EA233F" w:rsidRPr="009E1EA6">
        <w:t>occurred</w:t>
      </w:r>
      <w:r w:rsidR="00643674" w:rsidRPr="009E1EA6">
        <w:t xml:space="preserve"> yet and there is no acceleration amplification, therefore</w:t>
      </w:r>
      <m:oMath>
        <m:r>
          <w:rPr>
            <w:rFonts w:ascii="Cambria Math" w:hAnsi="Cambria Math"/>
          </w:rPr>
          <m:t xml:space="preserve"> </m:t>
        </m:r>
        <m:sSub>
          <m:sSubPr>
            <m:ctrlPr>
              <w:rPr>
                <w:rFonts w:ascii="Cambria Math" w:hAnsi="Cambria Math"/>
                <w:i/>
              </w:rPr>
            </m:ctrlPr>
          </m:sSubPr>
          <m:e>
            <m:r>
              <w:rPr>
                <w:rFonts w:ascii="Cambria Math" w:hAnsi="Cambria Math"/>
              </w:rPr>
              <m:t>λ</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y</m:t>
            </m:r>
          </m:sub>
        </m:sSub>
      </m:oMath>
      <w:r w:rsidR="00F14A77" w:rsidRPr="009E1EA6">
        <w:t xml:space="preserve">. </w:t>
      </w:r>
      <w:r w:rsidR="00707A73" w:rsidRPr="009E1EA6">
        <w:t xml:space="preserve">On the other hand, Figure </w:t>
      </w:r>
      <w:r w:rsidR="00123ECD" w:rsidRPr="009E1EA6">
        <w:t xml:space="preserve">19b </w:t>
      </w:r>
      <w:r w:rsidR="00707A73" w:rsidRPr="009E1EA6">
        <w:t xml:space="preserve">shows that </w:t>
      </w:r>
      <w:r w:rsidR="00707A73" w:rsidRPr="009E1EA6">
        <w:lastRenderedPageBreak/>
        <w:t xml:space="preserve">increasing </w:t>
      </w:r>
      <m:oMath>
        <m:sSub>
          <m:sSubPr>
            <m:ctrlPr>
              <w:rPr>
                <w:rFonts w:ascii="Cambria Math" w:hAnsi="Cambria Math"/>
                <w:i/>
              </w:rPr>
            </m:ctrlPr>
          </m:sSubPr>
          <m:e>
            <m:r>
              <w:rPr>
                <w:rFonts w:ascii="Cambria Math" w:hAnsi="Cambria Math"/>
              </w:rPr>
              <m:t>F</m:t>
            </m:r>
          </m:e>
          <m:sub>
            <m:r>
              <w:rPr>
                <w:rFonts w:ascii="Cambria Math" w:hAnsi="Cambria Math"/>
              </w:rPr>
              <m:t>u</m:t>
            </m:r>
          </m:sub>
        </m:sSub>
        <m:r>
          <w:rPr>
            <w:rFonts w:ascii="Cambria Math" w:hAnsi="Cambria Math"/>
          </w:rPr>
          <m:t>/W</m:t>
        </m:r>
      </m:oMath>
      <w:r w:rsidR="007A52D4" w:rsidRPr="009E1EA6">
        <w:t xml:space="preserve"> ratios result in a right shift of the risk curve (i.e., higher risk) at the near-source site, which could be important.</w:t>
      </w:r>
    </w:p>
    <w:p w14:paraId="380E199F" w14:textId="18C7AB71" w:rsidR="0092347D" w:rsidRPr="009E1EA6" w:rsidRDefault="00B74A7C" w:rsidP="00C1557D">
      <w:pPr>
        <w:pStyle w:val="Textoindependiente"/>
        <w:ind w:firstLine="0"/>
        <w:jc w:val="center"/>
      </w:pPr>
      <w:r w:rsidRPr="009E1EA6">
        <w:rPr>
          <w:noProof/>
          <w:lang w:val="es-CL" w:eastAsia="es-CL"/>
        </w:rPr>
        <w:drawing>
          <wp:inline distT="0" distB="0" distL="0" distR="0" wp14:anchorId="38928F9A" wp14:editId="699BEB6C">
            <wp:extent cx="5723890" cy="2536521"/>
            <wp:effectExtent l="0" t="0" r="0" b="0"/>
            <wp:docPr id="184477444"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612497" name="Picture 10"/>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5723890" cy="2536521"/>
                    </a:xfrm>
                    <a:prstGeom prst="rect">
                      <a:avLst/>
                    </a:prstGeom>
                    <a:noFill/>
                    <a:ln>
                      <a:noFill/>
                    </a:ln>
                  </pic:spPr>
                </pic:pic>
              </a:graphicData>
            </a:graphic>
          </wp:inline>
        </w:drawing>
      </w:r>
    </w:p>
    <w:p w14:paraId="0FF9B651" w14:textId="7BF9D8C2" w:rsidR="008C7C34" w:rsidRPr="009E1EA6" w:rsidRDefault="00A76623" w:rsidP="0092347D">
      <w:pPr>
        <w:pStyle w:val="Textoindependiente"/>
        <w:ind w:firstLine="0"/>
        <w:rPr>
          <w:sz w:val="22"/>
        </w:rPr>
      </w:pPr>
      <w:r w:rsidRPr="009E1EA6">
        <w:rPr>
          <w:b/>
          <w:sz w:val="22"/>
        </w:rPr>
        <w:t xml:space="preserve">Figure </w:t>
      </w:r>
      <w:r w:rsidR="00123ECD" w:rsidRPr="009E1EA6">
        <w:rPr>
          <w:b/>
          <w:sz w:val="22"/>
        </w:rPr>
        <w:t>19</w:t>
      </w:r>
      <w:r w:rsidR="00761768" w:rsidRPr="009E1EA6">
        <w:rPr>
          <w:sz w:val="22"/>
        </w:rPr>
        <w:t>. Risk curve</w:t>
      </w:r>
      <w:r w:rsidR="00E74815" w:rsidRPr="009E1EA6">
        <w:rPr>
          <w:sz w:val="22"/>
        </w:rPr>
        <w:t>s</w:t>
      </w:r>
      <w:r w:rsidR="00761768" w:rsidRPr="009E1EA6">
        <w:rPr>
          <w:sz w:val="22"/>
        </w:rPr>
        <w:t xml:space="preserve"> of the maximum block acceleration for equipment (a) anchored to a fixed base with varying friction coefficient, (b) anchored to a fixed base with varying </w:t>
      </w:r>
      <w:r w:rsidR="00B74A7C" w:rsidRPr="009E1EA6">
        <w:rPr>
          <w:sz w:val="22"/>
        </w:rPr>
        <w:t>anchor</w:t>
      </w:r>
      <w:r w:rsidR="00761768" w:rsidRPr="009E1EA6">
        <w:rPr>
          <w:sz w:val="22"/>
        </w:rPr>
        <w:t xml:space="preserve"> strength</w:t>
      </w:r>
      <w:r w:rsidR="00E74815" w:rsidRPr="009E1EA6">
        <w:rPr>
          <w:sz w:val="22"/>
        </w:rPr>
        <w:t>s</w:t>
      </w:r>
      <w:r w:rsidR="00761768" w:rsidRPr="009E1EA6">
        <w:rPr>
          <w:sz w:val="22"/>
        </w:rPr>
        <w:t xml:space="preserve">. In both </w:t>
      </w:r>
      <w:r w:rsidR="00E74815" w:rsidRPr="009E1EA6">
        <w:rPr>
          <w:sz w:val="22"/>
        </w:rPr>
        <w:t>(a) and (b)</w:t>
      </w:r>
      <w:r w:rsidR="00761768" w:rsidRPr="009E1EA6">
        <w:rPr>
          <w:sz w:val="22"/>
        </w:rPr>
        <w:t>, the hazard curve for PGA is included as a reference.</w:t>
      </w:r>
    </w:p>
    <w:p w14:paraId="79D3F4D3" w14:textId="77777777" w:rsidR="00867F0F" w:rsidRPr="009E1EA6" w:rsidRDefault="00B74A7C" w:rsidP="00867F0F">
      <w:pPr>
        <w:pStyle w:val="Ttulo2"/>
        <w:rPr>
          <w:caps w:val="0"/>
        </w:rPr>
      </w:pPr>
      <w:r w:rsidRPr="009E1EA6">
        <w:rPr>
          <w:caps w:val="0"/>
        </w:rPr>
        <w:t>3.5.3 Summary of key observations</w:t>
      </w:r>
    </w:p>
    <w:p w14:paraId="536433B8" w14:textId="7937C76E" w:rsidR="00E5503E" w:rsidRPr="009E1EA6" w:rsidRDefault="00B74A7C" w:rsidP="00E5503E">
      <w:pPr>
        <w:pStyle w:val="Textoindependiente"/>
        <w:rPr>
          <w:sz w:val="22"/>
        </w:rPr>
      </w:pPr>
      <w:r w:rsidRPr="009E1EA6">
        <w:rPr>
          <w:szCs w:val="24"/>
          <w:lang w:eastAsia="es-CL"/>
        </w:rPr>
        <w:t>Since the design strategy may vary from site to site (among other aspects), we included some key observations that could be a general guidance to practitioners.</w:t>
      </w:r>
    </w:p>
    <w:p w14:paraId="4620F76E" w14:textId="2A25D953" w:rsidR="00867F0F" w:rsidRPr="009E1EA6" w:rsidRDefault="00B74A7C" w:rsidP="00867F0F">
      <w:pPr>
        <w:pStyle w:val="Textoindependiente"/>
        <w:numPr>
          <w:ilvl w:val="0"/>
          <w:numId w:val="29"/>
        </w:numPr>
        <w:rPr>
          <w:sz w:val="22"/>
        </w:rPr>
      </w:pPr>
      <w:r w:rsidRPr="009E1EA6">
        <w:t xml:space="preserve">Based on the present results, if the equipment is sensitive to absolute acceleration, the seismic risk of equipment restrained to a fixed base (e.g., using anchors) is always </w:t>
      </w:r>
      <w:r w:rsidR="001D3720" w:rsidRPr="009E1EA6">
        <w:t>higher</w:t>
      </w:r>
      <w:r w:rsidR="00662B3F" w:rsidRPr="009E1EA6">
        <w:t xml:space="preserve"> </w:t>
      </w:r>
      <w:r w:rsidRPr="009E1EA6">
        <w:t xml:space="preserve">compared to </w:t>
      </w:r>
      <w:r w:rsidR="00E74815" w:rsidRPr="009E1EA6">
        <w:t xml:space="preserve">that of </w:t>
      </w:r>
      <w:r w:rsidRPr="009E1EA6">
        <w:t xml:space="preserve">the other simply supported equipment or </w:t>
      </w:r>
      <w:r w:rsidR="00E74815" w:rsidRPr="009E1EA6">
        <w:t>base-</w:t>
      </w:r>
      <w:r w:rsidRPr="009E1EA6">
        <w:t xml:space="preserve">isolated equipment, as restrainers transmit accelerations to the block in excess of the yield acceleration (i.e., in excess of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m:t>
        </m:r>
      </m:oMath>
      <w:r w:rsidRPr="009E1EA6">
        <w:t>).</w:t>
      </w:r>
    </w:p>
    <w:p w14:paraId="79C10BC7" w14:textId="70ADD613" w:rsidR="00867F0F" w:rsidRPr="009E1EA6" w:rsidRDefault="00B74A7C" w:rsidP="00BD56A1">
      <w:pPr>
        <w:pStyle w:val="Textoindependiente"/>
        <w:numPr>
          <w:ilvl w:val="0"/>
          <w:numId w:val="29"/>
        </w:numPr>
      </w:pPr>
      <w:r w:rsidRPr="009E1EA6">
        <w:t xml:space="preserve">Conversely, it is noted that when the equipment is sensitive to displacement, the restrained equipment offers greater seismic reliability with respect to other support conditions, particularly at sites subjected to </w:t>
      </w:r>
      <w:r w:rsidR="00E74815" w:rsidRPr="009E1EA6">
        <w:t>low-</w:t>
      </w:r>
      <w:r w:rsidRPr="009E1EA6">
        <w:t xml:space="preserve">frequency ground motions (i.e., far-field). </w:t>
      </w:r>
    </w:p>
    <w:p w14:paraId="7DEDC2CE" w14:textId="4184EA5A" w:rsidR="005F0DA5" w:rsidRPr="009E1EA6" w:rsidRDefault="00B74A7C" w:rsidP="00867F0F">
      <w:pPr>
        <w:pStyle w:val="Textoindependiente"/>
        <w:numPr>
          <w:ilvl w:val="0"/>
          <w:numId w:val="29"/>
        </w:numPr>
      </w:pPr>
      <w:r w:rsidRPr="009E1EA6">
        <w:rPr>
          <w:szCs w:val="24"/>
        </w:rPr>
        <w:t>Finally, when a base isolation system is selected to control the response</w:t>
      </w:r>
      <w:r w:rsidR="00E74815" w:rsidRPr="009E1EA6">
        <w:rPr>
          <w:szCs w:val="24"/>
        </w:rPr>
        <w:t xml:space="preserve"> of equipment</w:t>
      </w:r>
      <w:r w:rsidRPr="009E1EA6">
        <w:rPr>
          <w:szCs w:val="24"/>
        </w:rPr>
        <w:t xml:space="preserve">, a cost-benefit analysis should be performed, taking into account the relative cost of base-isolated solutions. It was noted that for the two sites studied, the isolation systems with a natural period </w:t>
      </w:r>
      <m:oMath>
        <m:sSub>
          <m:sSubPr>
            <m:ctrlPr>
              <w:rPr>
                <w:rFonts w:ascii="Cambria Math" w:hAnsi="Cambria Math"/>
                <w:szCs w:val="24"/>
              </w:rPr>
            </m:ctrlPr>
          </m:sSubPr>
          <m:e>
            <m:r>
              <m:rPr>
                <m:sty m:val="p"/>
              </m:rPr>
              <w:rPr>
                <w:rFonts w:ascii="Cambria Math" w:hAnsi="Cambria Math"/>
                <w:szCs w:val="24"/>
              </w:rPr>
              <m:t>T</m:t>
            </m:r>
          </m:e>
          <m:sub>
            <m:r>
              <w:rPr>
                <w:rFonts w:ascii="Cambria Math" w:hAnsi="Cambria Math"/>
                <w:szCs w:val="24"/>
                <w:vertAlign w:val="subscript"/>
              </w:rPr>
              <m:t>b</m:t>
            </m:r>
          </m:sub>
        </m:sSub>
        <m:r>
          <m:rPr>
            <m:sty m:val="p"/>
          </m:rPr>
          <w:rPr>
            <w:rFonts w:ascii="Cambria Math" w:hAnsi="Cambria Math"/>
            <w:szCs w:val="24"/>
          </w:rPr>
          <m:t>=2 s</m:t>
        </m:r>
      </m:oMath>
      <w:r w:rsidRPr="009E1EA6">
        <w:rPr>
          <w:szCs w:val="24"/>
        </w:rPr>
        <w:t xml:space="preserve"> achieved a better performance than </w:t>
      </w:r>
      <w:r w:rsidR="00E74815" w:rsidRPr="009E1EA6">
        <w:rPr>
          <w:szCs w:val="24"/>
        </w:rPr>
        <w:t xml:space="preserve">that of </w:t>
      </w:r>
      <w:r w:rsidRPr="009E1EA6">
        <w:rPr>
          <w:szCs w:val="24"/>
        </w:rPr>
        <w:t xml:space="preserve">isolation </w:t>
      </w:r>
      <w:r w:rsidRPr="009E1EA6">
        <w:rPr>
          <w:szCs w:val="24"/>
        </w:rPr>
        <w:lastRenderedPageBreak/>
        <w:t xml:space="preserve">systems with </w:t>
      </w:r>
      <m:oMath>
        <m:sSub>
          <m:sSubPr>
            <m:ctrlPr>
              <w:rPr>
                <w:rFonts w:ascii="Cambria Math" w:hAnsi="Cambria Math"/>
                <w:szCs w:val="24"/>
              </w:rPr>
            </m:ctrlPr>
          </m:sSubPr>
          <m:e>
            <m:r>
              <m:rPr>
                <m:sty m:val="p"/>
              </m:rPr>
              <w:rPr>
                <w:rFonts w:ascii="Cambria Math" w:hAnsi="Cambria Math"/>
                <w:szCs w:val="24"/>
              </w:rPr>
              <m:t>T</m:t>
            </m:r>
          </m:e>
          <m:sub>
            <m:r>
              <w:rPr>
                <w:rFonts w:ascii="Cambria Math" w:hAnsi="Cambria Math"/>
                <w:szCs w:val="24"/>
                <w:vertAlign w:val="subscript"/>
              </w:rPr>
              <m:t>b</m:t>
            </m:r>
          </m:sub>
        </m:sSub>
        <m:r>
          <m:rPr>
            <m:sty m:val="p"/>
          </m:rPr>
          <w:rPr>
            <w:rFonts w:ascii="Cambria Math" w:hAnsi="Cambria Math"/>
            <w:szCs w:val="24"/>
          </w:rPr>
          <m:t>=1 s</m:t>
        </m:r>
      </m:oMath>
      <w:r w:rsidR="00407A60" w:rsidRPr="009E1EA6">
        <w:rPr>
          <w:szCs w:val="24"/>
        </w:rPr>
        <w:t xml:space="preserve">. Out of the two </w:t>
      </w:r>
      <w:r w:rsidR="00E74815" w:rsidRPr="009E1EA6">
        <w:rPr>
          <w:szCs w:val="24"/>
        </w:rPr>
        <w:t>base-</w:t>
      </w:r>
      <w:r w:rsidR="00407A60" w:rsidRPr="009E1EA6">
        <w:rPr>
          <w:szCs w:val="24"/>
        </w:rPr>
        <w:t xml:space="preserve">isolation solutions considered, </w:t>
      </w:r>
      <w:r w:rsidR="00662B3F" w:rsidRPr="009E1EA6">
        <w:rPr>
          <w:szCs w:val="24"/>
        </w:rPr>
        <w:t xml:space="preserve">in most cases </w:t>
      </w:r>
      <w:r w:rsidR="00407A60" w:rsidRPr="009E1EA6">
        <w:rPr>
          <w:szCs w:val="24"/>
        </w:rPr>
        <w:t xml:space="preserve">the SCSS isolation </w:t>
      </w:r>
      <w:r w:rsidR="00662B3F" w:rsidRPr="009E1EA6">
        <w:rPr>
          <w:szCs w:val="24"/>
        </w:rPr>
        <w:t xml:space="preserve">system with </w:t>
      </w:r>
      <m:oMath>
        <m:sSub>
          <m:sSubPr>
            <m:ctrlPr>
              <w:rPr>
                <w:rFonts w:ascii="Cambria Math" w:hAnsi="Cambria Math"/>
                <w:szCs w:val="24"/>
              </w:rPr>
            </m:ctrlPr>
          </m:sSubPr>
          <m:e>
            <m:r>
              <m:rPr>
                <m:sty m:val="p"/>
              </m:rPr>
              <w:rPr>
                <w:rFonts w:ascii="Cambria Math" w:hAnsi="Cambria Math"/>
                <w:szCs w:val="24"/>
              </w:rPr>
              <m:t>T</m:t>
            </m:r>
          </m:e>
          <m:sub>
            <m:r>
              <w:rPr>
                <w:rFonts w:ascii="Cambria Math" w:hAnsi="Cambria Math"/>
                <w:szCs w:val="24"/>
                <w:vertAlign w:val="subscript"/>
              </w:rPr>
              <m:t>b</m:t>
            </m:r>
          </m:sub>
        </m:sSub>
        <m:r>
          <m:rPr>
            <m:sty m:val="p"/>
          </m:rPr>
          <w:rPr>
            <w:rFonts w:ascii="Cambria Math" w:hAnsi="Cambria Math"/>
            <w:szCs w:val="24"/>
          </w:rPr>
          <m:t>=2 s</m:t>
        </m:r>
      </m:oMath>
      <w:r w:rsidR="00662B3F" w:rsidRPr="009E1EA6">
        <w:rPr>
          <w:szCs w:val="24"/>
        </w:rPr>
        <w:t xml:space="preserve"> </w:t>
      </w:r>
      <w:r w:rsidR="00407A60" w:rsidRPr="009E1EA6">
        <w:rPr>
          <w:szCs w:val="24"/>
        </w:rPr>
        <w:t>perform</w:t>
      </w:r>
      <w:r w:rsidR="00662B3F" w:rsidRPr="009E1EA6">
        <w:rPr>
          <w:szCs w:val="24"/>
        </w:rPr>
        <w:t>ed</w:t>
      </w:r>
      <w:r w:rsidR="00407A60" w:rsidRPr="009E1EA6">
        <w:rPr>
          <w:szCs w:val="24"/>
        </w:rPr>
        <w:t xml:space="preserve"> </w:t>
      </w:r>
      <w:r w:rsidR="00662B3F" w:rsidRPr="009E1EA6">
        <w:rPr>
          <w:szCs w:val="24"/>
        </w:rPr>
        <w:t xml:space="preserve">better than the freestanding equipment </w:t>
      </w:r>
      <w:r w:rsidR="00407A60" w:rsidRPr="009E1EA6">
        <w:rPr>
          <w:szCs w:val="24"/>
        </w:rPr>
        <w:t xml:space="preserve">in terms of </w:t>
      </w:r>
      <w:r w:rsidR="00662B3F" w:rsidRPr="009E1EA6">
        <w:rPr>
          <w:szCs w:val="24"/>
        </w:rPr>
        <w:t xml:space="preserve">the maximum block </w:t>
      </w:r>
      <w:r w:rsidR="00407A60" w:rsidRPr="009E1EA6">
        <w:rPr>
          <w:szCs w:val="24"/>
        </w:rPr>
        <w:t>displacements.</w:t>
      </w:r>
    </w:p>
    <w:p w14:paraId="2557603C" w14:textId="5937D294" w:rsidR="00867F0F" w:rsidRPr="009E1EA6" w:rsidRDefault="00B74A7C" w:rsidP="005F0DA5">
      <w:pPr>
        <w:pStyle w:val="Textoindependiente"/>
        <w:rPr>
          <w:sz w:val="22"/>
        </w:rPr>
      </w:pPr>
      <w:r w:rsidRPr="009E1EA6">
        <w:rPr>
          <w:szCs w:val="24"/>
        </w:rPr>
        <w:t>The current study shows the importance of identifying the performance objective (e.g., acceleration or displacement) for each type of support condition and of using site-specific ground motions in the selection and design of the most appropriate mitigation measure.</w:t>
      </w:r>
    </w:p>
    <w:p w14:paraId="241399F7" w14:textId="77777777" w:rsidR="00932281" w:rsidRPr="009E1EA6" w:rsidRDefault="00B74A7C" w:rsidP="00333B77">
      <w:pPr>
        <w:pStyle w:val="Ttulo1"/>
      </w:pPr>
      <w:r w:rsidRPr="009E1EA6">
        <w:t>Conclusions</w:t>
      </w:r>
    </w:p>
    <w:p w14:paraId="1F066D1A" w14:textId="092E5864" w:rsidR="00F37CE4" w:rsidRPr="009E1EA6" w:rsidRDefault="00B74A7C" w:rsidP="00F37CE4">
      <w:pPr>
        <w:pStyle w:val="Textoindependiente"/>
      </w:pPr>
      <w:r w:rsidRPr="009E1EA6">
        <w:t>This study evaluates the reliability of rigid equipment in terms of the maximum displacement and maximum acceleration during earthquakes. Four equipment configurations were analyzed: (1) equipment simply supported on the foundation; (2) equipment restrained to a fixed base with ductile anchors; (3) equipment supported on a linear viscoelastic isolation system; and (4) equipment supported on a single concave spherical sliding (SCSS) isolation system. For each configuration, numerical fragility functions were developed using incremental dynamic analyses (IDAs).</w:t>
      </w:r>
    </w:p>
    <w:p w14:paraId="54944627" w14:textId="1D0BD5AA" w:rsidR="00863746" w:rsidRPr="009E1EA6" w:rsidRDefault="001163F9" w:rsidP="00F37CE4">
      <w:pPr>
        <w:pStyle w:val="Textoindependiente"/>
      </w:pPr>
      <w:r w:rsidRPr="009E1EA6">
        <w:t xml:space="preserve">The results show that </w:t>
      </w:r>
      <w:r w:rsidR="00E74815" w:rsidRPr="009E1EA6">
        <w:t xml:space="preserve">the </w:t>
      </w:r>
      <w:r w:rsidR="00826FAE" w:rsidRPr="009E1EA6">
        <w:t xml:space="preserve">exceedance probability </w:t>
      </w:r>
      <w:r w:rsidRPr="009E1EA6">
        <w:t>functions for maximum block displacements are very sensitive to the ground motion dataset used in the IDA</w:t>
      </w:r>
      <w:r w:rsidR="00826FAE" w:rsidRPr="009E1EA6">
        <w:t xml:space="preserve"> (Figure 13)</w:t>
      </w:r>
      <w:r w:rsidRPr="009E1EA6">
        <w:t xml:space="preserve">. Indeed, </w:t>
      </w:r>
      <w:r w:rsidR="00E74815" w:rsidRPr="009E1EA6">
        <w:t xml:space="preserve">for </w:t>
      </w:r>
      <w:r w:rsidRPr="009E1EA6">
        <w:t xml:space="preserve">freestanding and </w:t>
      </w:r>
      <w:r w:rsidR="00E74815" w:rsidRPr="009E1EA6">
        <w:t>base-</w:t>
      </w:r>
      <w:r w:rsidRPr="009E1EA6">
        <w:t xml:space="preserve">isolated blocks, the </w:t>
      </w:r>
      <w:r w:rsidR="00E74815" w:rsidRPr="009E1EA6">
        <w:t>low-</w:t>
      </w:r>
      <w:r w:rsidRPr="009E1EA6">
        <w:t xml:space="preserve">frequency ground motions (i.e., far-field) yield </w:t>
      </w:r>
      <w:r w:rsidR="000B4D0D" w:rsidRPr="009E1EA6">
        <w:t xml:space="preserve">higher probabilities of </w:t>
      </w:r>
      <w:r w:rsidR="00684851" w:rsidRPr="009E1EA6">
        <w:t xml:space="preserve">displacements </w:t>
      </w:r>
      <w:r w:rsidR="000B4D0D" w:rsidRPr="009E1EA6">
        <w:t xml:space="preserve">exceedance </w:t>
      </w:r>
      <w:r w:rsidR="00684851" w:rsidRPr="009E1EA6">
        <w:t>for a given PGA</w:t>
      </w:r>
      <w:r w:rsidR="000B4D0D" w:rsidRPr="009E1EA6">
        <w:t xml:space="preserve"> value</w:t>
      </w:r>
      <w:r w:rsidRPr="009E1EA6">
        <w:t xml:space="preserve"> compared to</w:t>
      </w:r>
      <w:r w:rsidR="00E74815" w:rsidRPr="009E1EA6">
        <w:t xml:space="preserve"> those of</w:t>
      </w:r>
      <w:r w:rsidRPr="009E1EA6">
        <w:t xml:space="preserve"> the </w:t>
      </w:r>
      <w:r w:rsidR="00E74815" w:rsidRPr="009E1EA6">
        <w:t>high-</w:t>
      </w:r>
      <w:r w:rsidRPr="009E1EA6">
        <w:t xml:space="preserve">frequency ground motions (i.e., near-source). </w:t>
      </w:r>
      <w:r w:rsidR="000B4D0D" w:rsidRPr="009E1EA6">
        <w:t>Likewise</w:t>
      </w:r>
      <w:r w:rsidRPr="009E1EA6">
        <w:t xml:space="preserve">, the fragility functions for maximum block acceleration </w:t>
      </w:r>
      <w:r w:rsidR="000B4D0D" w:rsidRPr="009E1EA6">
        <w:t xml:space="preserve">(Figure 14) </w:t>
      </w:r>
      <w:r w:rsidRPr="009E1EA6">
        <w:t xml:space="preserve">are also very sensitive to the underlying </w:t>
      </w:r>
      <w:r w:rsidR="00E74815" w:rsidRPr="009E1EA6">
        <w:t>ground-</w:t>
      </w:r>
      <w:r w:rsidRPr="009E1EA6">
        <w:t xml:space="preserve">motion dataset, with </w:t>
      </w:r>
      <w:r w:rsidR="000B4D0D" w:rsidRPr="009E1EA6">
        <w:t>higher</w:t>
      </w:r>
      <w:r w:rsidR="00684851" w:rsidRPr="009E1EA6">
        <w:t xml:space="preserve"> </w:t>
      </w:r>
      <w:r w:rsidR="000B4D0D" w:rsidRPr="009E1EA6">
        <w:t>probabilities of block acceleration exceedance</w:t>
      </w:r>
      <w:r w:rsidR="00684851" w:rsidRPr="009E1EA6">
        <w:t xml:space="preserve"> for a given PGA</w:t>
      </w:r>
      <w:r w:rsidRPr="009E1EA6">
        <w:t xml:space="preserve"> </w:t>
      </w:r>
      <w:r w:rsidR="000B4D0D" w:rsidRPr="009E1EA6">
        <w:t xml:space="preserve">value </w:t>
      </w:r>
      <w:r w:rsidRPr="009E1EA6">
        <w:t>observed at the near-source site.</w:t>
      </w:r>
    </w:p>
    <w:p w14:paraId="2F0B598C" w14:textId="3BF5AD85" w:rsidR="00EB0E55" w:rsidRPr="009E1EA6" w:rsidRDefault="00EB0E55" w:rsidP="00115C18">
      <w:pPr>
        <w:pStyle w:val="Textoindependiente"/>
      </w:pPr>
      <w:r w:rsidRPr="009E1EA6">
        <w:t>In terms of maximum displacement</w:t>
      </w:r>
      <w:r w:rsidR="00C33137" w:rsidRPr="009E1EA6">
        <w:t>s</w:t>
      </w:r>
      <w:r w:rsidRPr="009E1EA6">
        <w:t xml:space="preserve"> (D), the use of ductile anchors significantly improves the performance of blocks at the near-source and far-field sites. </w:t>
      </w:r>
      <w:r w:rsidR="00681C60" w:rsidRPr="009E1EA6">
        <w:t>V</w:t>
      </w:r>
      <w:r w:rsidRPr="009E1EA6">
        <w:t>iscous base-isolation systems with natural period</w:t>
      </w:r>
      <w:r w:rsidR="00583719" w:rsidRPr="009E1EA6">
        <w:t>s</w:t>
      </w:r>
      <w:r w:rsidRPr="009E1EA6">
        <w:t xml:space="preserv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9E1EA6">
        <w:t xml:space="preserve"> of 1</w:t>
      </w:r>
      <w:r w:rsidR="00681C60" w:rsidRPr="009E1EA6">
        <w:t xml:space="preserve"> </w:t>
      </w:r>
      <w:r w:rsidRPr="009E1EA6">
        <w:t>s and 2</w:t>
      </w:r>
      <w:r w:rsidR="00681C60" w:rsidRPr="009E1EA6">
        <w:t xml:space="preserve"> </w:t>
      </w:r>
      <w:r w:rsidRPr="009E1EA6">
        <w:t xml:space="preserve">s, </w:t>
      </w:r>
      <w:r w:rsidR="00681C60" w:rsidRPr="009E1EA6">
        <w:t>and</w:t>
      </w:r>
      <w:r w:rsidRPr="009E1EA6">
        <w:t xml:space="preserve"> SCSS isolation systems with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=1 s</m:t>
        </m:r>
      </m:oMath>
      <w:r w:rsidRPr="009E1EA6">
        <w:t xml:space="preserve"> yield larger displacements (D</w:t>
      </w:r>
      <w:r w:rsidRPr="009E1EA6">
        <w:rPr>
          <w:vertAlign w:val="subscript"/>
        </w:rPr>
        <w:t>1000</w:t>
      </w:r>
      <w:r w:rsidRPr="009E1EA6">
        <w:t>, D</w:t>
      </w:r>
      <w:r w:rsidRPr="009E1EA6">
        <w:rPr>
          <w:vertAlign w:val="subscript"/>
        </w:rPr>
        <w:t>10000</w:t>
      </w:r>
      <w:r w:rsidRPr="009E1EA6">
        <w:t xml:space="preserve">) than freestanding equipment, therefor its use is not recommended. </w:t>
      </w:r>
      <w:r w:rsidR="00681C60" w:rsidRPr="009E1EA6">
        <w:t xml:space="preserve">In contrast, SCSS isolation systems with a period </w:t>
      </w: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rPr>
          <m:t>=2 s</m:t>
        </m:r>
      </m:oMath>
      <w:r w:rsidR="00681C60" w:rsidRPr="009E1EA6">
        <w:t xml:space="preserve"> and base friction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≥0.15</m:t>
        </m:r>
      </m:oMath>
      <w:r w:rsidR="00681C60" w:rsidRPr="009E1EA6">
        <w:t xml:space="preserve"> yield slightly smaller </w:t>
      </w:r>
      <w:r w:rsidR="00583719" w:rsidRPr="009E1EA6">
        <w:t>D</w:t>
      </w:r>
      <w:r w:rsidR="00681C60" w:rsidRPr="009E1EA6">
        <w:t xml:space="preserve"> values compared to freestanding equipment.</w:t>
      </w:r>
    </w:p>
    <w:p w14:paraId="5062A9A6" w14:textId="0ECCCBD6" w:rsidR="00115C18" w:rsidRPr="009E1EA6" w:rsidRDefault="00B74A7C" w:rsidP="00115C18">
      <w:pPr>
        <w:pStyle w:val="Textoindependiente"/>
      </w:pPr>
      <w:r w:rsidRPr="009E1EA6">
        <w:t>In terms of maximum block accelerations (A), the use of ductile anchors increases the rate of exceedance of A compared to</w:t>
      </w:r>
      <w:r w:rsidR="00E74815" w:rsidRPr="009E1EA6">
        <w:t xml:space="preserve"> that of</w:t>
      </w:r>
      <w:r w:rsidRPr="009E1EA6">
        <w:t xml:space="preserve"> freestanding blocks because the anchors transmit acceleration pulses to the block in excess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m:t>
        </m:r>
      </m:oMath>
      <w:r w:rsidRPr="009E1EA6">
        <w:t xml:space="preserve"> (i.e., the ground acceleration required to </w:t>
      </w:r>
      <w:r w:rsidRPr="009E1EA6">
        <w:lastRenderedPageBreak/>
        <w:t>overcome friction).</w:t>
      </w:r>
      <w:r w:rsidR="00483F29" w:rsidRPr="009E1EA6">
        <w:t xml:space="preserve"> Since the current formulation accounts for the fracture </w:t>
      </w:r>
      <w:r w:rsidR="00E74815" w:rsidRPr="009E1EA6">
        <w:t xml:space="preserve">of the anchor </w:t>
      </w:r>
      <w:r w:rsidR="00483F29" w:rsidRPr="009E1EA6">
        <w:t xml:space="preserve">and the yield displacement of actual anchors is very small (e.g., 1-2 mm), the maximum block acceleration will be lower than the peak ground acceleration (PGA) if the anchors fail before the arrival of </w:t>
      </w:r>
      <w:r w:rsidR="00E74815" w:rsidRPr="009E1EA6">
        <w:t xml:space="preserve">the </w:t>
      </w:r>
      <w:r w:rsidR="00483F29" w:rsidRPr="009E1EA6">
        <w:t>PGA</w:t>
      </w:r>
      <w:r w:rsidR="00C33137" w:rsidRPr="009E1EA6">
        <w:t xml:space="preserve"> and </w:t>
      </w:r>
      <m:oMath>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g&lt;PGA</m:t>
        </m:r>
      </m:oMath>
      <w:r w:rsidRPr="009E1EA6">
        <w:t>. These results contrast with those obtained by Lopez Garcia and Soong (2003</w:t>
      </w:r>
      <w:r w:rsidRPr="009E1EA6">
        <w:rPr>
          <w:vertAlign w:val="superscript"/>
        </w:rPr>
        <w:t>b</w:t>
      </w:r>
      <w:r w:rsidRPr="009E1EA6">
        <w:t>) using linear elastic anchors, who argue that in most cases, the maximum block accelerations are equal to or higher than PGA.</w:t>
      </w:r>
    </w:p>
    <w:p w14:paraId="265D31DE" w14:textId="4C86453D" w:rsidR="00932281" w:rsidRPr="009E1EA6" w:rsidRDefault="0009455A" w:rsidP="00F37CE4">
      <w:pPr>
        <w:pStyle w:val="Textoindependiente"/>
      </w:pPr>
      <w:r w:rsidRPr="009E1EA6">
        <w:t xml:space="preserve">Finally, this study presents design displacement values for sliding </w:t>
      </w:r>
      <w:r w:rsidR="00B74A7C" w:rsidRPr="009E1EA6">
        <w:t>block</w:t>
      </w:r>
      <w:r w:rsidRPr="009E1EA6">
        <w:t xml:space="preserve"> supports with different support conditions and two types of input ground motion. These results contribute to </w:t>
      </w:r>
      <w:r w:rsidR="00B74A7C" w:rsidRPr="009E1EA6">
        <w:t xml:space="preserve">the </w:t>
      </w:r>
      <w:r w:rsidRPr="009E1EA6">
        <w:t xml:space="preserve">risk assessment of more complex and </w:t>
      </w:r>
      <w:r w:rsidR="00F558D7" w:rsidRPr="009E1EA6">
        <w:t>multic</w:t>
      </w:r>
      <w:r w:rsidRPr="009E1EA6">
        <w:t>omponent systems, and the extension of this methodology to different block types and seismic settings is straightforward.</w:t>
      </w:r>
    </w:p>
    <w:p w14:paraId="604EE4E4" w14:textId="77777777" w:rsidR="00607724" w:rsidRPr="009E1EA6" w:rsidRDefault="00607724" w:rsidP="00F37CE4">
      <w:pPr>
        <w:pStyle w:val="Textoindependiente"/>
      </w:pPr>
    </w:p>
    <w:p w14:paraId="4DAFF776" w14:textId="77777777" w:rsidR="00607724" w:rsidRPr="009E1EA6" w:rsidRDefault="00B74A7C" w:rsidP="00607724">
      <w:pPr>
        <w:pStyle w:val="Ttulo1"/>
        <w:spacing w:before="0" w:after="0"/>
      </w:pPr>
      <w:r w:rsidRPr="009E1EA6">
        <w:t>Acknowledgements</w:t>
      </w:r>
    </w:p>
    <w:p w14:paraId="72B554A3" w14:textId="25831E76" w:rsidR="00607724" w:rsidRPr="009E1EA6" w:rsidRDefault="00A20A0F" w:rsidP="00607724">
      <w:pPr>
        <w:spacing w:after="24" w:line="360" w:lineRule="auto"/>
        <w:ind w:firstLine="357"/>
        <w:rPr>
          <w:szCs w:val="24"/>
        </w:rPr>
      </w:pPr>
      <w:r w:rsidRPr="009E1EA6">
        <w:rPr>
          <w:szCs w:val="24"/>
        </w:rPr>
        <w:t>This research was financially supported by the Project IA100519-PAPIIT-UNAM “Propuesta de una metodología para la evaluación del riesgo de deslizamiento sísmico en equipos eléctricos debido a sismo” and the National Research Center for Integrated Natural Disaster Management CONICYT/FONDAP/15110017. Additional support was provided by Facultad de Ingeniería Civil at Universidad del Desarrollo, and FONDECYT Grant N</w:t>
      </w:r>
      <w:r w:rsidR="00A17E65" w:rsidRPr="009E1EA6">
        <w:rPr>
          <w:szCs w:val="24"/>
        </w:rPr>
        <w:t>o.</w:t>
      </w:r>
      <w:r w:rsidRPr="009E1EA6">
        <w:rPr>
          <w:szCs w:val="24"/>
        </w:rPr>
        <w:t xml:space="preserve"> 1170836 “SIBER-RISK: SImulation Based Earthquake Risk and Resilience of Interdependent Systems and NetworKs”. The authors are grateful for these supports. The authors also thank the anonymous reviewers for their comments and suggestions to improve this study</w:t>
      </w:r>
      <w:r w:rsidR="00B74A7C" w:rsidRPr="009E1EA6">
        <w:rPr>
          <w:szCs w:val="24"/>
        </w:rPr>
        <w:t>.</w:t>
      </w:r>
    </w:p>
    <w:p w14:paraId="317CEB33" w14:textId="77777777" w:rsidR="00AB6475" w:rsidRPr="009E1EA6" w:rsidRDefault="00B74A7C" w:rsidP="00656D36">
      <w:pPr>
        <w:pStyle w:val="Ttulo1"/>
        <w:rPr>
          <w:lang w:val="es-CL"/>
        </w:rPr>
      </w:pPr>
      <w:r w:rsidRPr="009E1EA6">
        <w:rPr>
          <w:lang w:val="es-CL"/>
        </w:rPr>
        <w:t>References</w:t>
      </w:r>
    </w:p>
    <w:p w14:paraId="2057D247" w14:textId="77777777" w:rsidR="00034CDA" w:rsidRPr="009E1EA6" w:rsidRDefault="00B74A7C" w:rsidP="00333B77">
      <w:pPr>
        <w:pStyle w:val="Textoindependiente"/>
      </w:pPr>
      <w:r w:rsidRPr="009E1EA6">
        <w:rPr>
          <w:lang w:val="es-CL"/>
        </w:rPr>
        <w:t xml:space="preserve">Arteta, C. A., &amp; Abrahamson, N. A. (2019). </w:t>
      </w:r>
      <w:r w:rsidRPr="009E1EA6">
        <w:t>Conditional Scenario Spectra (CSS) for Hazard-Consistent Analysis of Engineering Systems. </w:t>
      </w:r>
      <w:r w:rsidRPr="009E1EA6">
        <w:rPr>
          <w:i/>
        </w:rPr>
        <w:t>Earthquake Spectra</w:t>
      </w:r>
      <w:r w:rsidRPr="009E1EA6">
        <w:t>, </w:t>
      </w:r>
      <w:r w:rsidRPr="009E1EA6">
        <w:rPr>
          <w:b/>
        </w:rPr>
        <w:t>35</w:t>
      </w:r>
      <w:r w:rsidRPr="009E1EA6">
        <w:t>(2), 737-757.</w:t>
      </w:r>
    </w:p>
    <w:p w14:paraId="642AC3F5" w14:textId="77777777" w:rsidR="00DF51ED" w:rsidRPr="009E1EA6" w:rsidRDefault="00B74A7C" w:rsidP="00333B77">
      <w:pPr>
        <w:pStyle w:val="Textoindependiente"/>
      </w:pPr>
      <w:r w:rsidRPr="009E1EA6">
        <w:t xml:space="preserve">Abrahamson, N. A., &amp; Silva, W. J. (1997). Empirical response spectral attenuation relations for shallow crustal earthquakes. </w:t>
      </w:r>
      <w:r w:rsidRPr="009E1EA6">
        <w:rPr>
          <w:i/>
        </w:rPr>
        <w:t>Seismological research letters</w:t>
      </w:r>
      <w:r w:rsidRPr="009E1EA6">
        <w:t xml:space="preserve">, </w:t>
      </w:r>
      <w:r w:rsidRPr="009E1EA6">
        <w:rPr>
          <w:b/>
        </w:rPr>
        <w:t>68</w:t>
      </w:r>
      <w:r w:rsidRPr="009E1EA6">
        <w:t>(1), 94-127.</w:t>
      </w:r>
    </w:p>
    <w:p w14:paraId="57AC89DC" w14:textId="77777777" w:rsidR="00AB6475" w:rsidRPr="009E1EA6" w:rsidRDefault="00B74A7C" w:rsidP="00333B77">
      <w:pPr>
        <w:pStyle w:val="Textoindependiente"/>
      </w:pPr>
      <w:r w:rsidRPr="009E1EA6">
        <w:t xml:space="preserve">Agbabian, M. S., Ginell, W. S., Masri, S. F., &amp; Nigbor, R. L. (1991). Evaluation of-earthquake damage mitigation methods for museum objects. </w:t>
      </w:r>
      <w:r w:rsidRPr="009E1EA6">
        <w:rPr>
          <w:i/>
        </w:rPr>
        <w:t>Studies in conservation</w:t>
      </w:r>
      <w:r w:rsidRPr="009E1EA6">
        <w:t xml:space="preserve">, </w:t>
      </w:r>
      <w:r w:rsidRPr="009E1EA6">
        <w:rPr>
          <w:b/>
        </w:rPr>
        <w:t>36</w:t>
      </w:r>
      <w:r w:rsidRPr="009E1EA6">
        <w:t>(2), 111-120.</w:t>
      </w:r>
    </w:p>
    <w:p w14:paraId="1131A06E" w14:textId="77777777" w:rsidR="000911AD" w:rsidRPr="009E1EA6" w:rsidRDefault="00B74A7C" w:rsidP="00333B77">
      <w:pPr>
        <w:pStyle w:val="Textoindependiente"/>
      </w:pPr>
      <w:r w:rsidRPr="009E1EA6">
        <w:t xml:space="preserve">Alhan, C., &amp; Gavin, H. P. (2005). Reliability of base isolation for the protection of critical equipment from earthquake hazards. </w:t>
      </w:r>
      <w:r w:rsidRPr="009E1EA6">
        <w:rPr>
          <w:i/>
        </w:rPr>
        <w:t>Engineering Structu</w:t>
      </w:r>
      <w:r w:rsidRPr="009E1EA6">
        <w:t>res, 27(9), 1435-1449.</w:t>
      </w:r>
    </w:p>
    <w:p w14:paraId="37E457D4" w14:textId="77777777" w:rsidR="00F60E0D" w:rsidRPr="009E1EA6" w:rsidRDefault="00B74A7C" w:rsidP="00333B77">
      <w:pPr>
        <w:pStyle w:val="Textoindependiente"/>
      </w:pPr>
      <w:r w:rsidRPr="009E1EA6">
        <w:lastRenderedPageBreak/>
        <w:t xml:space="preserve">Arroyo, D., Garcia, D., Ordaz, M., Mora, M. A., &amp; Singh, S. K. (2010). Strong ground-motion relations for Mexican interplate earthquakes. </w:t>
      </w:r>
      <w:r w:rsidRPr="009E1EA6">
        <w:rPr>
          <w:i/>
        </w:rPr>
        <w:t>Journal of Seismology</w:t>
      </w:r>
      <w:r w:rsidRPr="009E1EA6">
        <w:t xml:space="preserve">, </w:t>
      </w:r>
      <w:r w:rsidRPr="009E1EA6">
        <w:rPr>
          <w:b/>
        </w:rPr>
        <w:t>14</w:t>
      </w:r>
      <w:r w:rsidRPr="009E1EA6">
        <w:t>(4), 769-785.</w:t>
      </w:r>
    </w:p>
    <w:p w14:paraId="4E0A3EE0" w14:textId="77777777" w:rsidR="00437C17" w:rsidRPr="009E1EA6" w:rsidRDefault="00B74A7C" w:rsidP="00333B77">
      <w:pPr>
        <w:pStyle w:val="Textoindependiente"/>
      </w:pPr>
      <w:r w:rsidRPr="009E1EA6">
        <w:t>ASCE/SEI 7-10 (2010). Minimum design loads for buildings and other structures (ASCE/ SEI 7-10).</w:t>
      </w:r>
    </w:p>
    <w:p w14:paraId="7A1AEF90" w14:textId="77777777" w:rsidR="00C27DCD" w:rsidRPr="009E1EA6" w:rsidRDefault="00B74A7C" w:rsidP="00333B77">
      <w:pPr>
        <w:pStyle w:val="Textoindependiente"/>
      </w:pPr>
      <w:r w:rsidRPr="009E1EA6">
        <w:t xml:space="preserve">Aslam, M., Scalise, D. T., &amp; Godden, W. G. (1975). Sliding response of rigid bodies to earthquake motions: A report of an analytical and experimental study of the sliding response of rigid blocks under simultaneous horizontal and vertical earthquake accelerations. ERDA. </w:t>
      </w:r>
    </w:p>
    <w:p w14:paraId="76655F7F" w14:textId="77777777" w:rsidR="00022F59" w:rsidRPr="009E1EA6" w:rsidRDefault="00B74A7C" w:rsidP="00333B77">
      <w:pPr>
        <w:pStyle w:val="Textoindependiente"/>
      </w:pPr>
      <w:r w:rsidRPr="009E1EA6">
        <w:t xml:space="preserve">Aydin, K. (2006). Probabilities of initiation of response modes of rigid bodies subjected to base excitations. </w:t>
      </w:r>
      <w:r w:rsidRPr="009E1EA6">
        <w:rPr>
          <w:i/>
        </w:rPr>
        <w:t>Structural Engineering and Mechanics</w:t>
      </w:r>
      <w:r w:rsidRPr="009E1EA6">
        <w:t xml:space="preserve">, </w:t>
      </w:r>
      <w:r w:rsidRPr="009E1EA6">
        <w:rPr>
          <w:b/>
        </w:rPr>
        <w:t>23</w:t>
      </w:r>
      <w:r w:rsidRPr="009E1EA6">
        <w:t>(5), 505-523.</w:t>
      </w:r>
    </w:p>
    <w:p w14:paraId="2A0D7277" w14:textId="77777777" w:rsidR="009A635C" w:rsidRPr="009E1EA6" w:rsidRDefault="00B74A7C" w:rsidP="00333B77">
      <w:pPr>
        <w:pStyle w:val="Textoindependiente"/>
      </w:pPr>
      <w:r w:rsidRPr="009E1EA6">
        <w:t>Bachmann, J. A., Strand, M., Vassiliou, M. F., Broccardo, M., &amp; Stojadinović, B. (2018). Is rocking motion predictable?. Earthquake Engineering &amp; Structural Dynamics, 47(2), 535-552.</w:t>
      </w:r>
    </w:p>
    <w:p w14:paraId="60ED0549" w14:textId="77777777" w:rsidR="008959B2" w:rsidRPr="009E1EA6" w:rsidRDefault="00B74A7C" w:rsidP="00333B77">
      <w:pPr>
        <w:pStyle w:val="Textoindependiente"/>
      </w:pPr>
      <w:r w:rsidRPr="009E1EA6">
        <w:t xml:space="preserve">Bray, J. D., &amp; Travasarou, T. (2007). Simplified procedure for estimating earthquake-induced deviatoric slope displacements. Journal of Geotechnical and Geoenvironmental Engineering, </w:t>
      </w:r>
      <w:r w:rsidRPr="009E1EA6">
        <w:rPr>
          <w:b/>
        </w:rPr>
        <w:t>133</w:t>
      </w:r>
      <w:r w:rsidRPr="009E1EA6">
        <w:t>(4), 381-392</w:t>
      </w:r>
    </w:p>
    <w:p w14:paraId="7FF0BB59" w14:textId="77777777" w:rsidR="0075270B" w:rsidRPr="009E1EA6" w:rsidRDefault="00B74A7C" w:rsidP="00333B77">
      <w:pPr>
        <w:pStyle w:val="Textoindependiente"/>
      </w:pPr>
      <w:r w:rsidRPr="009E1EA6">
        <w:t xml:space="preserve">Bouc, R. (1971). Modele mathematique d'hysteresis. </w:t>
      </w:r>
      <w:r w:rsidRPr="009E1EA6">
        <w:rPr>
          <w:i/>
        </w:rPr>
        <w:t>Acustica,</w:t>
      </w:r>
      <w:r w:rsidRPr="009E1EA6">
        <w:t xml:space="preserve"> 21, 16-25.</w:t>
      </w:r>
    </w:p>
    <w:p w14:paraId="515052DF" w14:textId="77777777" w:rsidR="00D13F3A" w:rsidRPr="009E1EA6" w:rsidRDefault="00B74A7C" w:rsidP="00333B77">
      <w:pPr>
        <w:pStyle w:val="Textoindependiente"/>
      </w:pPr>
      <w:r w:rsidRPr="009E1EA6">
        <w:t>Butcher, J. C. (2016). Numerical methods for ordinary differential equations. John Wiley &amp; Sons.</w:t>
      </w:r>
    </w:p>
    <w:p w14:paraId="11881380" w14:textId="77777777" w:rsidR="00086A1F" w:rsidRPr="009E1EA6" w:rsidRDefault="00B74A7C" w:rsidP="00951EB7">
      <w:pPr>
        <w:pStyle w:val="Textoindependiente"/>
      </w:pPr>
      <w:r w:rsidRPr="009E1EA6">
        <w:t>Candia, G., Macedo, J., Jaimes, M. A., &amp; Magna‐Verdugo, C. (2019). A New State‐of‐the‐Art Platform for Probabilistic and Deterministic Seismic Hazard Assessment. Seismological Research Letters. </w:t>
      </w:r>
      <w:r w:rsidRPr="009E1EA6">
        <w:rPr>
          <w:i/>
          <w:iCs/>
        </w:rPr>
        <w:t>Seismological Research Letters.</w:t>
      </w:r>
      <w:r w:rsidRPr="009E1EA6">
        <w:t> DOI: </w:t>
      </w:r>
      <w:hyperlink r:id="rId32" w:tgtFrame="_blank" w:history="1">
        <w:r w:rsidRPr="009E1EA6">
          <w:t>https://doi.org/10.1785/0220190025</w:t>
        </w:r>
      </w:hyperlink>
      <w:r w:rsidR="00ED76D5" w:rsidRPr="009E1EA6">
        <w:t>.</w:t>
      </w:r>
    </w:p>
    <w:p w14:paraId="2C60CADA" w14:textId="77777777" w:rsidR="00D01C85" w:rsidRPr="009E1EA6" w:rsidRDefault="00B74A7C" w:rsidP="00333B77">
      <w:pPr>
        <w:pStyle w:val="Textoindependiente"/>
      </w:pPr>
      <w:r w:rsidRPr="009E1EA6">
        <w:t xml:space="preserve">Choi, B., &amp; Tung, C. D. (2002). Estimating sliding displacement of an unanchored body subjected to earthquake excitation. </w:t>
      </w:r>
      <w:r w:rsidRPr="009E1EA6">
        <w:rPr>
          <w:i/>
        </w:rPr>
        <w:t>Earthquake Spectra</w:t>
      </w:r>
      <w:r w:rsidRPr="009E1EA6">
        <w:t xml:space="preserve">, </w:t>
      </w:r>
      <w:r w:rsidRPr="009E1EA6">
        <w:rPr>
          <w:b/>
        </w:rPr>
        <w:t>18</w:t>
      </w:r>
      <w:r w:rsidRPr="009E1EA6">
        <w:t>(4), 601-613.</w:t>
      </w:r>
    </w:p>
    <w:p w14:paraId="1852CD43" w14:textId="77777777" w:rsidR="00FA3744" w:rsidRPr="009E1EA6" w:rsidRDefault="00B74A7C" w:rsidP="00333B77">
      <w:pPr>
        <w:pStyle w:val="Textoindependiente"/>
      </w:pPr>
      <w:r w:rsidRPr="009E1EA6">
        <w:t xml:space="preserve">CEN Eurocode 8 (2004). Design of structures for earthquake resistance. Part 1: general rules, seismic actions and rules for buildings, European Standard EN 1998-1. </w:t>
      </w:r>
      <w:r w:rsidRPr="009E1EA6">
        <w:rPr>
          <w:i/>
        </w:rPr>
        <w:t>Comité Européen de Normalisation</w:t>
      </w:r>
      <w:r w:rsidRPr="009E1EA6">
        <w:t>.</w:t>
      </w:r>
    </w:p>
    <w:p w14:paraId="3B99426E" w14:textId="4C8E0F82" w:rsidR="009C10B6" w:rsidRPr="009E1EA6" w:rsidRDefault="00B74A7C" w:rsidP="00333B77">
      <w:pPr>
        <w:pStyle w:val="Textoindependiente"/>
      </w:pPr>
      <w:r w:rsidRPr="009E1EA6">
        <w:t xml:space="preserve">Contento, A., &amp; Di Egidio, A. (2014). On the use of base isolation for the protection of rigid bodies placed on a multi-storey frame under seismic excitation. </w:t>
      </w:r>
      <w:r w:rsidRPr="009E1EA6">
        <w:rPr>
          <w:i/>
        </w:rPr>
        <w:t>Engineering Structures</w:t>
      </w:r>
      <w:r w:rsidRPr="009E1EA6">
        <w:t xml:space="preserve">, </w:t>
      </w:r>
      <w:r w:rsidRPr="009E1EA6">
        <w:rPr>
          <w:b/>
        </w:rPr>
        <w:t>62</w:t>
      </w:r>
      <w:r w:rsidRPr="009E1EA6">
        <w:t>, 1-10.</w:t>
      </w:r>
    </w:p>
    <w:p w14:paraId="01964D8E" w14:textId="77777777" w:rsidR="009E4118" w:rsidRPr="009E1EA6" w:rsidRDefault="00B74A7C" w:rsidP="00333B77">
      <w:pPr>
        <w:pStyle w:val="Textoindependiente"/>
      </w:pPr>
      <w:r w:rsidRPr="009E1EA6">
        <w:lastRenderedPageBreak/>
        <w:t xml:space="preserve">Cornell, C. A. (1968). Engineering seismic risk analysis. </w:t>
      </w:r>
      <w:r w:rsidRPr="009E1EA6">
        <w:rPr>
          <w:i/>
          <w:iCs/>
        </w:rPr>
        <w:t>Bulletin of the seismological society of America</w:t>
      </w:r>
      <w:r w:rsidRPr="009E1EA6">
        <w:t xml:space="preserve">, </w:t>
      </w:r>
      <w:r w:rsidRPr="009E1EA6">
        <w:rPr>
          <w:b/>
          <w:iCs/>
        </w:rPr>
        <w:t>58</w:t>
      </w:r>
      <w:r w:rsidRPr="009E1EA6">
        <w:t>(5), 1583-1606.</w:t>
      </w:r>
    </w:p>
    <w:p w14:paraId="7E2A0105" w14:textId="77777777" w:rsidR="009E4118" w:rsidRPr="009E1EA6" w:rsidRDefault="00B74A7C" w:rsidP="00333B77">
      <w:pPr>
        <w:pStyle w:val="Textoindependiente"/>
        <w:rPr>
          <w:lang w:val="es-CL"/>
        </w:rPr>
      </w:pPr>
      <w:r w:rsidRPr="009E1EA6">
        <w:t xml:space="preserve">Cornell, C. A. (1969, December). A probability-based structural code. </w:t>
      </w:r>
      <w:r w:rsidRPr="009E1EA6">
        <w:rPr>
          <w:i/>
          <w:lang w:val="es-CL"/>
        </w:rPr>
        <w:t>In Journal Proceedings</w:t>
      </w:r>
      <w:r w:rsidR="00DB444B" w:rsidRPr="009E1EA6">
        <w:rPr>
          <w:lang w:val="es-CL"/>
        </w:rPr>
        <w:t xml:space="preserve">, </w:t>
      </w:r>
      <w:r w:rsidRPr="009E1EA6">
        <w:rPr>
          <w:b/>
          <w:lang w:val="es-CL"/>
        </w:rPr>
        <w:t>66</w:t>
      </w:r>
      <w:r w:rsidR="00DB444B" w:rsidRPr="009E1EA6">
        <w:rPr>
          <w:lang w:val="es-CL"/>
        </w:rPr>
        <w:t>(12), 974-985</w:t>
      </w:r>
    </w:p>
    <w:p w14:paraId="2C76251D" w14:textId="77777777" w:rsidR="009E4118" w:rsidRPr="009E1EA6" w:rsidRDefault="00B74A7C" w:rsidP="00333B77">
      <w:pPr>
        <w:pStyle w:val="Textoindependiente"/>
        <w:rPr>
          <w:lang w:val="es-CL"/>
        </w:rPr>
      </w:pPr>
      <w:r w:rsidRPr="009E1EA6">
        <w:rPr>
          <w:lang w:val="es-CL"/>
        </w:rPr>
        <w:t xml:space="preserve">Esteva, L. (1967, July). Criterios para la construcción de espectros para diseño sísmico. In </w:t>
      </w:r>
      <w:r w:rsidRPr="009E1EA6">
        <w:rPr>
          <w:i/>
          <w:iCs/>
          <w:lang w:val="es-CL"/>
        </w:rPr>
        <w:t>3er Simposio Panamericano de Estructuras, Caracas, Venezuela</w:t>
      </w:r>
      <w:r w:rsidR="00F109B4" w:rsidRPr="009E1EA6">
        <w:rPr>
          <w:lang w:val="es-CL"/>
        </w:rPr>
        <w:t>. (in Spanish).</w:t>
      </w:r>
    </w:p>
    <w:p w14:paraId="4B7A9822" w14:textId="77777777" w:rsidR="00DF51ED" w:rsidRPr="009E1EA6" w:rsidRDefault="00B74A7C" w:rsidP="00333B77">
      <w:pPr>
        <w:pStyle w:val="Textoindependiente"/>
      </w:pPr>
      <w:r w:rsidRPr="009E1EA6">
        <w:rPr>
          <w:lang w:val="es-CL"/>
        </w:rPr>
        <w:t xml:space="preserve">Garcia, D., Singh, S. K., Herráiz, M., Pacheco, J. F., &amp; Ordaz, M. (2004). </w:t>
      </w:r>
      <w:r w:rsidRPr="009E1EA6">
        <w:t xml:space="preserve">Inslab earthquakes of central Mexico: Q, source spectra, and stress drop. </w:t>
      </w:r>
      <w:r w:rsidRPr="009E1EA6">
        <w:rPr>
          <w:i/>
        </w:rPr>
        <w:t>Bulletin of the Seismological Society of America</w:t>
      </w:r>
      <w:r w:rsidRPr="009E1EA6">
        <w:t xml:space="preserve">, </w:t>
      </w:r>
      <w:r w:rsidRPr="009E1EA6">
        <w:rPr>
          <w:b/>
        </w:rPr>
        <w:t>94</w:t>
      </w:r>
      <w:r w:rsidRPr="009E1EA6">
        <w:t>(3), 789-802</w:t>
      </w:r>
    </w:p>
    <w:p w14:paraId="392B3EF2" w14:textId="77777777" w:rsidR="00DF51ED" w:rsidRPr="009E1EA6" w:rsidRDefault="00B74A7C" w:rsidP="00333B77">
      <w:pPr>
        <w:pStyle w:val="Textoindependiente"/>
      </w:pPr>
      <w:r w:rsidRPr="009E1EA6">
        <w:t xml:space="preserve">Garcia, D., Singh, S. K., Herráiz, M., Ordaz, M., &amp; Pacheco, J. F. (2005). Inslab earthquakes of central Mexico: peak ground-motion parameters and response spectra. </w:t>
      </w:r>
      <w:r w:rsidRPr="009E1EA6">
        <w:rPr>
          <w:i/>
        </w:rPr>
        <w:t>Bulletin of the Seismological Society of America</w:t>
      </w:r>
      <w:r w:rsidRPr="009E1EA6">
        <w:t xml:space="preserve">, </w:t>
      </w:r>
      <w:r w:rsidRPr="009E1EA6">
        <w:rPr>
          <w:b/>
        </w:rPr>
        <w:t>95</w:t>
      </w:r>
      <w:r w:rsidRPr="009E1EA6">
        <w:t>(6), 2272-2282.</w:t>
      </w:r>
    </w:p>
    <w:p w14:paraId="4B1AA7A6" w14:textId="77777777" w:rsidR="00D11711" w:rsidRPr="009E1EA6" w:rsidRDefault="00B74A7C" w:rsidP="00333B77">
      <w:pPr>
        <w:pStyle w:val="Textoindependiente"/>
      </w:pPr>
      <w:r w:rsidRPr="009E1EA6">
        <w:t xml:space="preserve">Gelagoti, F., Kourkoulis, R., Anastasopoulos, I., &amp; Gazetas, G. (2012). Rocking isolation of low‐rise frame structures founded on isolated footings. </w:t>
      </w:r>
      <w:r w:rsidRPr="009E1EA6">
        <w:rPr>
          <w:i/>
        </w:rPr>
        <w:t>Earthquake Engineering &amp; Structural Dynamics</w:t>
      </w:r>
      <w:r w:rsidRPr="009E1EA6">
        <w:t xml:space="preserve">, </w:t>
      </w:r>
      <w:r w:rsidRPr="009E1EA6">
        <w:rPr>
          <w:b/>
        </w:rPr>
        <w:t>41</w:t>
      </w:r>
      <w:r w:rsidRPr="009E1EA6">
        <w:t>(7), 1177-1197.</w:t>
      </w:r>
    </w:p>
    <w:p w14:paraId="589E6E0F" w14:textId="77777777" w:rsidR="00F109B4" w:rsidRPr="009E1EA6" w:rsidRDefault="00B74A7C" w:rsidP="00333B77">
      <w:pPr>
        <w:pStyle w:val="Textoindependiente"/>
      </w:pPr>
      <w:r w:rsidRPr="009E1EA6">
        <w:t xml:space="preserve">Hutchinson, T. C., &amp; Chaudhuri, S. R. (2006). Simplified expression for seismic fragility estimation of sliding-dominated equipment and contents. </w:t>
      </w:r>
      <w:r w:rsidRPr="009E1EA6">
        <w:rPr>
          <w:i/>
        </w:rPr>
        <w:t>Earthquake Spectra</w:t>
      </w:r>
      <w:r w:rsidRPr="009E1EA6">
        <w:t xml:space="preserve">, </w:t>
      </w:r>
      <w:r w:rsidRPr="009E1EA6">
        <w:rPr>
          <w:b/>
        </w:rPr>
        <w:t>22</w:t>
      </w:r>
      <w:r w:rsidRPr="009E1EA6">
        <w:t>(3), 709-732.</w:t>
      </w:r>
    </w:p>
    <w:p w14:paraId="50F11EB9" w14:textId="77777777" w:rsidR="00D11711" w:rsidRPr="009E1EA6" w:rsidRDefault="00B74A7C" w:rsidP="00333B77">
      <w:pPr>
        <w:pStyle w:val="Textoindependiente"/>
      </w:pPr>
      <w:r w:rsidRPr="009E1EA6">
        <w:t>IBC 2012 (2012) International building code. International Code Council, Country Club Hills, IL, USA; 2011.</w:t>
      </w:r>
    </w:p>
    <w:p w14:paraId="4D3480EA" w14:textId="77777777" w:rsidR="00F60E0D" w:rsidRPr="009E1EA6" w:rsidRDefault="00B74A7C" w:rsidP="00333B77">
      <w:pPr>
        <w:pStyle w:val="Textoindependiente"/>
        <w:rPr>
          <w:lang w:val="es-CL"/>
        </w:rPr>
      </w:pPr>
      <w:r w:rsidRPr="009E1EA6">
        <w:rPr>
          <w:lang w:val="es-CL"/>
        </w:rPr>
        <w:t xml:space="preserve">Jaimes, M. A., Reinoso, E., &amp; Ordaz, M. (2006). </w:t>
      </w:r>
      <w:r w:rsidRPr="009E1EA6">
        <w:t xml:space="preserve">Comparison of methods to predict response spectra at instrumented sites given the magnitude and distance of an earthquake. </w:t>
      </w:r>
      <w:r w:rsidRPr="009E1EA6">
        <w:rPr>
          <w:i/>
          <w:lang w:val="es-CL"/>
        </w:rPr>
        <w:t>Journal of earthquake engineering</w:t>
      </w:r>
      <w:r w:rsidRPr="009E1EA6">
        <w:rPr>
          <w:lang w:val="es-CL"/>
        </w:rPr>
        <w:t xml:space="preserve">, </w:t>
      </w:r>
      <w:r w:rsidRPr="009E1EA6">
        <w:rPr>
          <w:b/>
          <w:lang w:val="es-CL"/>
        </w:rPr>
        <w:t>10</w:t>
      </w:r>
      <w:r w:rsidRPr="009E1EA6">
        <w:rPr>
          <w:lang w:val="es-CL"/>
        </w:rPr>
        <w:t>(06), 887-902.</w:t>
      </w:r>
    </w:p>
    <w:p w14:paraId="72426573" w14:textId="00F5DACD" w:rsidR="005D378D" w:rsidRPr="009E1EA6" w:rsidRDefault="00B74A7C" w:rsidP="00333B77">
      <w:pPr>
        <w:pStyle w:val="Textoindependiente"/>
        <w:rPr>
          <w:lang w:val="es-CL"/>
        </w:rPr>
      </w:pPr>
      <w:r w:rsidRPr="009E1EA6">
        <w:rPr>
          <w:lang w:val="es-CL"/>
        </w:rPr>
        <w:t xml:space="preserve">Jaimes M. A., &amp; Reinoso, E. (2006). Comparación del comportamiento de edificios en el valle de México ante sismos de subducción y de falla normal. </w:t>
      </w:r>
      <w:r w:rsidRPr="009E1EA6">
        <w:rPr>
          <w:i/>
          <w:lang w:val="es-CL"/>
        </w:rPr>
        <w:t>Revista de Ingeniería Sísmica</w:t>
      </w:r>
      <w:r w:rsidRPr="009E1EA6">
        <w:rPr>
          <w:lang w:val="es-CL"/>
        </w:rPr>
        <w:t xml:space="preserve">, </w:t>
      </w:r>
      <w:r w:rsidRPr="009E1EA6">
        <w:rPr>
          <w:b/>
          <w:lang w:val="es-CL"/>
        </w:rPr>
        <w:t>75</w:t>
      </w:r>
      <w:r w:rsidRPr="009E1EA6">
        <w:rPr>
          <w:lang w:val="es-CL"/>
        </w:rPr>
        <w:t>, 1-22 (in Spanish).</w:t>
      </w:r>
    </w:p>
    <w:p w14:paraId="783AE1D0" w14:textId="77777777" w:rsidR="00F109B4" w:rsidRPr="009E1EA6" w:rsidRDefault="00B74A7C" w:rsidP="00333B77">
      <w:pPr>
        <w:pStyle w:val="Textoindependiente"/>
      </w:pPr>
      <w:r w:rsidRPr="009E1EA6">
        <w:rPr>
          <w:lang w:val="es-CL"/>
        </w:rPr>
        <w:t xml:space="preserve">Jaimes, M. A., Reinoso, E., &amp; Esteva, L. (2013). </w:t>
      </w:r>
      <w:r w:rsidRPr="009E1EA6">
        <w:t xml:space="preserve">Seismic vulnerability of building contents for a given occupancy due to multiple failure modes. </w:t>
      </w:r>
      <w:r w:rsidRPr="009E1EA6">
        <w:rPr>
          <w:i/>
        </w:rPr>
        <w:t>Journal of Earthquake Engineering</w:t>
      </w:r>
      <w:r w:rsidRPr="009E1EA6">
        <w:t xml:space="preserve">, </w:t>
      </w:r>
      <w:r w:rsidRPr="009E1EA6">
        <w:rPr>
          <w:b/>
        </w:rPr>
        <w:t>17</w:t>
      </w:r>
      <w:r w:rsidRPr="009E1EA6">
        <w:t>(5), 658-672.</w:t>
      </w:r>
    </w:p>
    <w:p w14:paraId="05F5DE47" w14:textId="77777777" w:rsidR="00DF51ED" w:rsidRPr="009E1EA6" w:rsidRDefault="00B74A7C" w:rsidP="00333B77">
      <w:pPr>
        <w:pStyle w:val="Textoindependiente"/>
      </w:pPr>
      <w:r w:rsidRPr="009E1EA6">
        <w:lastRenderedPageBreak/>
        <w:t xml:space="preserve">Jaimes, M. A., Ramirez-Gaytán, A., &amp; Reinoso, E. (2015). Ground-motion prediction model from intermediate-depth intraslab earthquakes at the hill and lake-bed zones of Mexico City. </w:t>
      </w:r>
      <w:r w:rsidRPr="009E1EA6">
        <w:rPr>
          <w:i/>
        </w:rPr>
        <w:t>Journal of Earthquake Engineering</w:t>
      </w:r>
      <w:r w:rsidRPr="009E1EA6">
        <w:t xml:space="preserve">, </w:t>
      </w:r>
      <w:r w:rsidRPr="009E1EA6">
        <w:rPr>
          <w:b/>
        </w:rPr>
        <w:t>19</w:t>
      </w:r>
      <w:r w:rsidRPr="009E1EA6">
        <w:t>(8), 1260-1278.</w:t>
      </w:r>
    </w:p>
    <w:p w14:paraId="445D0B0E" w14:textId="77777777" w:rsidR="00DF51ED" w:rsidRPr="009E1EA6" w:rsidRDefault="00B74A7C" w:rsidP="00333B77">
      <w:pPr>
        <w:pStyle w:val="Textoindependiente"/>
      </w:pPr>
      <w:r w:rsidRPr="009E1EA6">
        <w:t xml:space="preserve">Jaimes, M. A., Lermo, J., &amp; Garcia‐Soto, A. D. (2016). Ground‐Motion Prediction Model from Local Earthquakes of the Mexico Basin at the Hill Zone of Mexico City. </w:t>
      </w:r>
      <w:r w:rsidRPr="009E1EA6">
        <w:rPr>
          <w:i/>
        </w:rPr>
        <w:t>Bulletin of the Seismological Society of America</w:t>
      </w:r>
      <w:r w:rsidRPr="009E1EA6">
        <w:t xml:space="preserve">, </w:t>
      </w:r>
      <w:r w:rsidRPr="009E1EA6">
        <w:rPr>
          <w:b/>
        </w:rPr>
        <w:t>106</w:t>
      </w:r>
      <w:r w:rsidRPr="009E1EA6">
        <w:t>(6), 2532-2544.</w:t>
      </w:r>
    </w:p>
    <w:p w14:paraId="407DF9F1" w14:textId="77777777" w:rsidR="00D64543" w:rsidRPr="009E1EA6" w:rsidRDefault="00B74A7C" w:rsidP="00333B77">
      <w:pPr>
        <w:pStyle w:val="Textoindependiente"/>
      </w:pPr>
      <w:r w:rsidRPr="009E1EA6">
        <w:t xml:space="preserve">Jaimes, M. A., &amp; Candia, G. (2018). Toppling of rigid electric equipment during earthquakes. </w:t>
      </w:r>
      <w:r w:rsidRPr="009E1EA6">
        <w:rPr>
          <w:i/>
        </w:rPr>
        <w:t>Engineering Structures</w:t>
      </w:r>
      <w:r w:rsidRPr="009E1EA6">
        <w:t xml:space="preserve">, </w:t>
      </w:r>
      <w:r w:rsidRPr="009E1EA6">
        <w:rPr>
          <w:b/>
        </w:rPr>
        <w:t>168</w:t>
      </w:r>
      <w:r w:rsidRPr="009E1EA6">
        <w:t>, 229-242.</w:t>
      </w:r>
    </w:p>
    <w:p w14:paraId="3BEA74EF" w14:textId="77777777" w:rsidR="009F2B83" w:rsidRPr="009E1EA6" w:rsidRDefault="00C56186" w:rsidP="00333B77">
      <w:pPr>
        <w:pStyle w:val="Textoindependiente"/>
      </w:pPr>
      <w:r w:rsidRPr="009E1EA6">
        <w:t>Jones, N. P., &amp; Shenton III, H. W. (1990). Generalized slide-rock response of rigid blocks during earthquakes. In Proceedings, 4th US National Conference on Earthquake Engineering, Palm Springs, California.</w:t>
      </w:r>
    </w:p>
    <w:p w14:paraId="2C94BB42" w14:textId="77777777" w:rsidR="00E40D76" w:rsidRPr="009E1EA6" w:rsidRDefault="00B74A7C" w:rsidP="00333B77">
      <w:pPr>
        <w:pStyle w:val="Textoindependiente"/>
      </w:pPr>
      <w:r w:rsidRPr="009E1EA6">
        <w:t xml:space="preserve">Kiureghian, A. D., &amp; Neuenhofer, A. (1992). Response spectrum method for multi‐support seismic excitations. </w:t>
      </w:r>
      <w:r w:rsidRPr="009E1EA6">
        <w:rPr>
          <w:i/>
        </w:rPr>
        <w:t>Earthquake Engineering &amp; Structural Dynamics</w:t>
      </w:r>
      <w:r w:rsidRPr="009E1EA6">
        <w:t xml:space="preserve">, </w:t>
      </w:r>
      <w:r w:rsidRPr="009E1EA6">
        <w:rPr>
          <w:b/>
        </w:rPr>
        <w:t>21</w:t>
      </w:r>
      <w:r w:rsidRPr="009E1EA6">
        <w:t>(8), 713-740.</w:t>
      </w:r>
    </w:p>
    <w:p w14:paraId="60E0A2EC" w14:textId="77777777" w:rsidR="00C27DCD" w:rsidRPr="009E1EA6" w:rsidRDefault="00B74A7C" w:rsidP="00333B77">
      <w:pPr>
        <w:pStyle w:val="Textoindependiente"/>
      </w:pPr>
      <w:r w:rsidRPr="009E1EA6">
        <w:t xml:space="preserve">Konstantinidis, D., &amp; Makris, N. (2010). Experimental and analytical studies on the response of 1/4-scale models of freestanding laboratory equipment subjected to strong earthquake shaking. </w:t>
      </w:r>
      <w:r w:rsidRPr="009E1EA6">
        <w:rPr>
          <w:i/>
        </w:rPr>
        <w:t>Bulletin of Earthquake Engineering</w:t>
      </w:r>
      <w:r w:rsidRPr="009E1EA6">
        <w:t xml:space="preserve">, </w:t>
      </w:r>
      <w:r w:rsidRPr="009E1EA6">
        <w:rPr>
          <w:b/>
        </w:rPr>
        <w:t>8</w:t>
      </w:r>
      <w:r w:rsidR="00D6092A" w:rsidRPr="009E1EA6">
        <w:t>(6), 1457-1477.</w:t>
      </w:r>
    </w:p>
    <w:p w14:paraId="24D730AC" w14:textId="77777777" w:rsidR="00D13F3A" w:rsidRPr="009E1EA6" w:rsidRDefault="00B74A7C" w:rsidP="00333B77">
      <w:pPr>
        <w:pStyle w:val="Textoindependiente"/>
      </w:pPr>
      <w:r w:rsidRPr="009E1EA6">
        <w:t xml:space="preserve">Konstantinidis, D., &amp; Nikfar, F. (2015). Seismic response of sliding equipment and contents in base‐isolated buildings subjected to broadband ground motions. </w:t>
      </w:r>
      <w:r w:rsidRPr="009E1EA6">
        <w:rPr>
          <w:i/>
        </w:rPr>
        <w:t>Earthquake Engineering &amp; Structural Dynamics</w:t>
      </w:r>
      <w:r w:rsidRPr="009E1EA6">
        <w:t xml:space="preserve">, </w:t>
      </w:r>
      <w:r w:rsidRPr="009E1EA6">
        <w:rPr>
          <w:b/>
        </w:rPr>
        <w:t>44</w:t>
      </w:r>
      <w:r w:rsidRPr="009E1EA6">
        <w:t>(6), 865-887.</w:t>
      </w:r>
    </w:p>
    <w:p w14:paraId="6E72F067" w14:textId="77777777" w:rsidR="00E22F74" w:rsidRPr="009E1EA6" w:rsidRDefault="00B74A7C" w:rsidP="00333B77">
      <w:pPr>
        <w:pStyle w:val="Textoindependiente"/>
      </w:pPr>
      <w:r w:rsidRPr="009E1EA6">
        <w:t>Lin, S. L., MacRae, G. A., Dhakal, R. P., &amp; Yeow, T. Z. (2015). Building contents sliding demands in elastically responding structures</w:t>
      </w:r>
      <w:r w:rsidRPr="009E1EA6">
        <w:rPr>
          <w:i/>
        </w:rPr>
        <w:t>. Engineering Structures</w:t>
      </w:r>
      <w:r w:rsidRPr="009E1EA6">
        <w:t xml:space="preserve">, </w:t>
      </w:r>
      <w:r w:rsidRPr="009E1EA6">
        <w:rPr>
          <w:b/>
        </w:rPr>
        <w:t>86</w:t>
      </w:r>
      <w:r w:rsidRPr="009E1EA6">
        <w:t>, 182-191.</w:t>
      </w:r>
    </w:p>
    <w:p w14:paraId="4A7D88EB" w14:textId="77777777" w:rsidR="00EE3D8B" w:rsidRPr="009E1EA6" w:rsidRDefault="00B74A7C" w:rsidP="00EE3D8B">
      <w:pPr>
        <w:pStyle w:val="Textoindependiente"/>
      </w:pPr>
      <w:r w:rsidRPr="009E1EA6">
        <w:t>Lopez Garcia, D., &amp; Soong, T. T. (2003</w:t>
      </w:r>
      <w:r w:rsidRPr="009E1EA6">
        <w:rPr>
          <w:vertAlign w:val="superscript"/>
        </w:rPr>
        <w:t>a</w:t>
      </w:r>
      <w:r w:rsidRPr="009E1EA6">
        <w:t xml:space="preserve">). Sliding fragility of block‐type non‐structural components. Part 1: unrestrained components. </w:t>
      </w:r>
      <w:r w:rsidRPr="009E1EA6">
        <w:rPr>
          <w:i/>
        </w:rPr>
        <w:t>Earthquake Engineering &amp; Structural Dynamics</w:t>
      </w:r>
      <w:r w:rsidRPr="009E1EA6">
        <w:t xml:space="preserve">, </w:t>
      </w:r>
      <w:r w:rsidRPr="009E1EA6">
        <w:rPr>
          <w:b/>
        </w:rPr>
        <w:t>32</w:t>
      </w:r>
      <w:r w:rsidRPr="009E1EA6">
        <w:t>(1), 111-129.</w:t>
      </w:r>
    </w:p>
    <w:p w14:paraId="4CFA6F9E" w14:textId="77777777" w:rsidR="00EE3D8B" w:rsidRPr="009E1EA6" w:rsidRDefault="00B74A7C" w:rsidP="00EE3D8B">
      <w:pPr>
        <w:pStyle w:val="Textoindependiente"/>
      </w:pPr>
      <w:r w:rsidRPr="009E1EA6">
        <w:t>Lopez Garcia, D., &amp; Soong, T. T. (2003</w:t>
      </w:r>
      <w:r w:rsidRPr="009E1EA6">
        <w:rPr>
          <w:vertAlign w:val="superscript"/>
        </w:rPr>
        <w:t>b</w:t>
      </w:r>
      <w:r w:rsidRPr="009E1EA6">
        <w:t xml:space="preserve">). Sliding fragility of block‐type non‐structural components. Part 2: Restrained components. </w:t>
      </w:r>
      <w:r w:rsidRPr="009E1EA6">
        <w:rPr>
          <w:i/>
        </w:rPr>
        <w:t>Earthquake Engineering &amp; Structural Dynamics</w:t>
      </w:r>
      <w:r w:rsidRPr="009E1EA6">
        <w:t xml:space="preserve">, </w:t>
      </w:r>
      <w:r w:rsidRPr="009E1EA6">
        <w:rPr>
          <w:b/>
        </w:rPr>
        <w:t>32</w:t>
      </w:r>
      <w:r w:rsidRPr="009E1EA6">
        <w:t>(1), 131-149.</w:t>
      </w:r>
    </w:p>
    <w:p w14:paraId="3E98EED8" w14:textId="77777777" w:rsidR="008232F7" w:rsidRPr="009E1EA6" w:rsidRDefault="00B74A7C" w:rsidP="00333B77">
      <w:pPr>
        <w:pStyle w:val="Textoindependiente"/>
      </w:pPr>
      <w:r w:rsidRPr="009E1EA6">
        <w:t xml:space="preserve">Makris, N., &amp; Chang, S. P. (2000). Effect of viscous, viscoplastic and friction damping on the response of seismic isolated structures. </w:t>
      </w:r>
      <w:r w:rsidRPr="009E1EA6">
        <w:rPr>
          <w:i/>
        </w:rPr>
        <w:t>Earthquake engineering &amp; structural dynamics</w:t>
      </w:r>
      <w:r w:rsidRPr="009E1EA6">
        <w:t xml:space="preserve">, </w:t>
      </w:r>
      <w:r w:rsidRPr="009E1EA6">
        <w:rPr>
          <w:b/>
        </w:rPr>
        <w:t>29</w:t>
      </w:r>
      <w:r w:rsidRPr="009E1EA6">
        <w:t>(1), 85-107.</w:t>
      </w:r>
    </w:p>
    <w:p w14:paraId="0C0FA445" w14:textId="77777777" w:rsidR="007804E5" w:rsidRPr="009E1EA6" w:rsidRDefault="00B74A7C" w:rsidP="00333B77">
      <w:pPr>
        <w:pStyle w:val="Textoindependiente"/>
      </w:pPr>
      <w:r w:rsidRPr="009E1EA6">
        <w:lastRenderedPageBreak/>
        <w:t xml:space="preserve">Makris, N., &amp; Black, C. J. (2002). Uplifting and overturning of equipment anchored to a base foundation. </w:t>
      </w:r>
      <w:r w:rsidRPr="009E1EA6">
        <w:rPr>
          <w:i/>
        </w:rPr>
        <w:t>Earthquake spectra</w:t>
      </w:r>
      <w:r w:rsidRPr="009E1EA6">
        <w:t xml:space="preserve">, </w:t>
      </w:r>
      <w:r w:rsidRPr="009E1EA6">
        <w:rPr>
          <w:b/>
        </w:rPr>
        <w:t>18</w:t>
      </w:r>
      <w:r w:rsidRPr="009E1EA6">
        <w:t>(4), 631-661.</w:t>
      </w:r>
    </w:p>
    <w:p w14:paraId="4F1DAFB3" w14:textId="77777777" w:rsidR="00922D66" w:rsidRPr="009E1EA6" w:rsidRDefault="00B74A7C" w:rsidP="00333B77">
      <w:pPr>
        <w:pStyle w:val="Textoindependiente"/>
      </w:pPr>
      <w:r w:rsidRPr="009E1EA6">
        <w:t xml:space="preserve">McGuire, R. K. (2008). Probabilistic seismic hazard analysis: Early history. </w:t>
      </w:r>
      <w:r w:rsidRPr="009E1EA6">
        <w:rPr>
          <w:i/>
        </w:rPr>
        <w:t>Earthquake Engineering &amp; Structural Dynamics</w:t>
      </w:r>
      <w:r w:rsidRPr="009E1EA6">
        <w:t xml:space="preserve">, </w:t>
      </w:r>
      <w:r w:rsidRPr="009E1EA6">
        <w:rPr>
          <w:b/>
        </w:rPr>
        <w:t>37</w:t>
      </w:r>
      <w:r w:rsidRPr="009E1EA6">
        <w:t>(3), 329-338.</w:t>
      </w:r>
    </w:p>
    <w:p w14:paraId="40EA4E8D" w14:textId="77777777" w:rsidR="008C3769" w:rsidRPr="009E1EA6" w:rsidRDefault="00B74A7C" w:rsidP="00333B77">
      <w:pPr>
        <w:pStyle w:val="Textoindependiente"/>
      </w:pPr>
      <w:r w:rsidRPr="009E1EA6">
        <w:t>Mokha, A., Constantinou, M. C., &amp; Reinhorn, A. M. (1988). Teflon bearings in aseismic base isolation: experimental studies and mathematical modeling (No. NCEER-88/0038 TECHNICAL). Buffalo, NY: National Center for earthquake engineering research.</w:t>
      </w:r>
    </w:p>
    <w:p w14:paraId="77D45FF8" w14:textId="77777777" w:rsidR="00101A48" w:rsidRPr="009E1EA6" w:rsidRDefault="00B74A7C" w:rsidP="00333B77">
      <w:pPr>
        <w:pStyle w:val="Textoindependiente"/>
        <w:rPr>
          <w:lang w:val="es-CL"/>
        </w:rPr>
      </w:pPr>
      <w:r w:rsidRPr="009E1EA6">
        <w:t xml:space="preserve">Newmark, N. M. (1965). Effects of earthquakes on dams and embankments. </w:t>
      </w:r>
      <w:r w:rsidRPr="009E1EA6">
        <w:rPr>
          <w:lang w:val="es-CL"/>
        </w:rPr>
        <w:t xml:space="preserve">Geotechnique, </w:t>
      </w:r>
      <w:r w:rsidRPr="009E1EA6">
        <w:rPr>
          <w:b/>
          <w:lang w:val="es-CL"/>
        </w:rPr>
        <w:t>15</w:t>
      </w:r>
      <w:r w:rsidRPr="009E1EA6">
        <w:rPr>
          <w:lang w:val="es-CL"/>
        </w:rPr>
        <w:t>(2), 139-160.</w:t>
      </w:r>
    </w:p>
    <w:p w14:paraId="2972AAC0" w14:textId="77777777" w:rsidR="00877165" w:rsidRPr="009E1EA6" w:rsidRDefault="00B74A7C" w:rsidP="00333B77">
      <w:pPr>
        <w:pStyle w:val="Textoindependiente"/>
        <w:rPr>
          <w:lang w:val="es-CL"/>
        </w:rPr>
      </w:pPr>
      <w:r w:rsidRPr="009E1EA6">
        <w:rPr>
          <w:lang w:val="es-CL"/>
        </w:rPr>
        <w:t>NTCS-2017, 2017. Normas técnicas complementarias para diseño por sismo, Reglamento de Construcciones para el Distrito Federal, Gaceta Oficial del Departamento del Distrito Federal (in Spanish).</w:t>
      </w:r>
    </w:p>
    <w:p w14:paraId="2F0D52C1" w14:textId="77777777" w:rsidR="00D11711" w:rsidRPr="009E1EA6" w:rsidRDefault="00B74A7C" w:rsidP="00333B77">
      <w:pPr>
        <w:pStyle w:val="Textoindependiente"/>
      </w:pPr>
      <w:r w:rsidRPr="009E1EA6">
        <w:t>NZS 1170.5 (2004). Standard structural design actions - Part 5 earthquake actions, Wellington, New Zealand.</w:t>
      </w:r>
    </w:p>
    <w:p w14:paraId="2D2C8923" w14:textId="77777777" w:rsidR="005E1536" w:rsidRPr="009E1EA6" w:rsidRDefault="00B74A7C" w:rsidP="00333B77">
      <w:pPr>
        <w:pStyle w:val="Textoindependiente"/>
      </w:pPr>
      <w:r w:rsidRPr="009E1EA6">
        <w:t xml:space="preserve">Ordaz, M., &amp; Krishna Singh, S. (1992). Source spectra and spectral attenuation of seismic waves from Mexican earthquakes, and evidence of amplification in the hill zone of Mexico City. </w:t>
      </w:r>
      <w:r w:rsidRPr="009E1EA6">
        <w:rPr>
          <w:i/>
        </w:rPr>
        <w:t>Bulletin of the Seismological Society of America</w:t>
      </w:r>
      <w:r w:rsidRPr="009E1EA6">
        <w:t xml:space="preserve">, </w:t>
      </w:r>
      <w:r w:rsidRPr="009E1EA6">
        <w:rPr>
          <w:b/>
        </w:rPr>
        <w:t>82</w:t>
      </w:r>
      <w:r w:rsidRPr="009E1EA6">
        <w:t>(1), 24-43.</w:t>
      </w:r>
    </w:p>
    <w:p w14:paraId="2095C115" w14:textId="77777777" w:rsidR="005D378D" w:rsidRPr="009E1EA6" w:rsidRDefault="00B74A7C" w:rsidP="00333B77">
      <w:pPr>
        <w:pStyle w:val="Textoindependiente"/>
      </w:pPr>
      <w:r w:rsidRPr="009E1EA6">
        <w:t xml:space="preserve">Ordaz, M., &amp; Reyes, C. (1999). Earthquake hazard in Mexico City: Observations versus computations. </w:t>
      </w:r>
      <w:r w:rsidRPr="009E1EA6">
        <w:rPr>
          <w:i/>
        </w:rPr>
        <w:t>Bulletin of the Seismological Society of America</w:t>
      </w:r>
      <w:r w:rsidRPr="009E1EA6">
        <w:t xml:space="preserve">, </w:t>
      </w:r>
      <w:r w:rsidRPr="009E1EA6">
        <w:rPr>
          <w:b/>
        </w:rPr>
        <w:t>89</w:t>
      </w:r>
      <w:r w:rsidRPr="009E1EA6">
        <w:t>(5), 1379-1383.</w:t>
      </w:r>
    </w:p>
    <w:p w14:paraId="2C1D1367" w14:textId="77777777" w:rsidR="009B684F" w:rsidRPr="009E1EA6" w:rsidRDefault="003726F4" w:rsidP="00333B77">
      <w:pPr>
        <w:pStyle w:val="Textoindependiente"/>
      </w:pPr>
      <w:r w:rsidRPr="009E1EA6">
        <w:t xml:space="preserve">PEMEX Petróleos Mexicanos (2017). URL: </w:t>
      </w:r>
      <w:hyperlink r:id="rId33" w:history="1">
        <w:r w:rsidRPr="009E1EA6">
          <w:rPr>
            <w:rStyle w:val="Hipervnculo"/>
            <w:color w:val="auto"/>
          </w:rPr>
          <w:t>http://www.pemex.com/en/press_room/</w:t>
        </w:r>
      </w:hyperlink>
      <w:r w:rsidR="00B74A7C" w:rsidRPr="009E1EA6">
        <w:t xml:space="preserve"> press_releases/Paginas/2017-087-national.aspx. Acceded on December 1st, 2017</w:t>
      </w:r>
    </w:p>
    <w:p w14:paraId="727E28E9" w14:textId="77777777" w:rsidR="003726F4" w:rsidRPr="009E1EA6" w:rsidRDefault="00B74A7C" w:rsidP="00333B77">
      <w:pPr>
        <w:pStyle w:val="Textoindependiente"/>
      </w:pPr>
      <w:r w:rsidRPr="009E1EA6">
        <w:t>Rathje, E. M., Abrahamson, N. A., &amp; Bray, J. D. (1998). Simplified frequency content estimates of earthquake ground motions. Journal of Geotechnical and Geoenvironmental Engineering, 124(2), 150-159.</w:t>
      </w:r>
    </w:p>
    <w:p w14:paraId="6CF47252" w14:textId="77777777" w:rsidR="00D01C85" w:rsidRPr="009E1EA6" w:rsidRDefault="00B74A7C" w:rsidP="00333B77">
      <w:pPr>
        <w:pStyle w:val="Textoindependiente"/>
      </w:pPr>
      <w:r w:rsidRPr="009E1EA6">
        <w:t xml:space="preserve">Shao, Y., &amp; Tung, C. C. (1999). Seismic response of unanchored bodies. </w:t>
      </w:r>
      <w:r w:rsidRPr="009E1EA6">
        <w:rPr>
          <w:i/>
        </w:rPr>
        <w:t>Earthquake Spectra</w:t>
      </w:r>
      <w:r w:rsidRPr="009E1EA6">
        <w:t xml:space="preserve">, </w:t>
      </w:r>
      <w:r w:rsidRPr="009E1EA6">
        <w:rPr>
          <w:b/>
        </w:rPr>
        <w:t>15</w:t>
      </w:r>
      <w:r w:rsidRPr="009E1EA6">
        <w:t>(3), 523-536.</w:t>
      </w:r>
    </w:p>
    <w:p w14:paraId="78D2A168" w14:textId="77777777" w:rsidR="00AB6475" w:rsidRPr="009E1EA6" w:rsidRDefault="00B74A7C" w:rsidP="00333B77">
      <w:pPr>
        <w:pStyle w:val="Textoindependiente"/>
      </w:pPr>
      <w:r w:rsidRPr="009E1EA6">
        <w:t>Shenton III, H. W., &amp; Jones, N. P. (1991a). Base excitation of rigid bodies. I: Formulation</w:t>
      </w:r>
      <w:r w:rsidRPr="009E1EA6">
        <w:rPr>
          <w:i/>
        </w:rPr>
        <w:t>.</w:t>
      </w:r>
      <w:r w:rsidRPr="009E1EA6">
        <w:t xml:space="preserve"> </w:t>
      </w:r>
      <w:r w:rsidRPr="009E1EA6">
        <w:rPr>
          <w:i/>
        </w:rPr>
        <w:t>Journal of Engineering Mechanics</w:t>
      </w:r>
      <w:r w:rsidRPr="009E1EA6">
        <w:t xml:space="preserve">, </w:t>
      </w:r>
      <w:r w:rsidRPr="009E1EA6">
        <w:rPr>
          <w:b/>
        </w:rPr>
        <w:t>117</w:t>
      </w:r>
      <w:r w:rsidRPr="009E1EA6">
        <w:t>(10), 2286-2306.</w:t>
      </w:r>
    </w:p>
    <w:p w14:paraId="43870918" w14:textId="77777777" w:rsidR="00AB6475" w:rsidRPr="009E1EA6" w:rsidRDefault="00B74A7C" w:rsidP="00333B77">
      <w:pPr>
        <w:pStyle w:val="Textoindependiente"/>
      </w:pPr>
      <w:r w:rsidRPr="009E1EA6">
        <w:lastRenderedPageBreak/>
        <w:t xml:space="preserve">Shenton III, H. W., &amp; Jones, N. P. (1991b). Base excitation of rigid bodies. II: Periodic slide-rock response. </w:t>
      </w:r>
      <w:r w:rsidRPr="009E1EA6">
        <w:rPr>
          <w:i/>
        </w:rPr>
        <w:t>Journal of Engineering Mechanics</w:t>
      </w:r>
      <w:r w:rsidRPr="009E1EA6">
        <w:t xml:space="preserve">, </w:t>
      </w:r>
      <w:r w:rsidRPr="009E1EA6">
        <w:rPr>
          <w:b/>
        </w:rPr>
        <w:t>117</w:t>
      </w:r>
      <w:r w:rsidRPr="009E1EA6">
        <w:t>(10), 2307-2328.</w:t>
      </w:r>
    </w:p>
    <w:p w14:paraId="2E74B05E" w14:textId="77777777" w:rsidR="00782978" w:rsidRPr="009E1EA6" w:rsidRDefault="00B74A7C" w:rsidP="00333B77">
      <w:pPr>
        <w:pStyle w:val="Textoindependiente"/>
      </w:pPr>
      <w:r w:rsidRPr="009E1EA6">
        <w:t xml:space="preserve">Shenton III, H. W. (1996). Criteria for initiation of slide, rock, and slide-rock rigid-body modes. </w:t>
      </w:r>
      <w:r w:rsidRPr="009E1EA6">
        <w:rPr>
          <w:i/>
        </w:rPr>
        <w:t>Journal of Engineering Mechanic</w:t>
      </w:r>
      <w:r w:rsidRPr="009E1EA6">
        <w:t xml:space="preserve">s, </w:t>
      </w:r>
      <w:r w:rsidRPr="009E1EA6">
        <w:rPr>
          <w:b/>
        </w:rPr>
        <w:t>122</w:t>
      </w:r>
      <w:r w:rsidRPr="009E1EA6">
        <w:t>(7), 690-693.</w:t>
      </w:r>
    </w:p>
    <w:p w14:paraId="4D9EC709" w14:textId="77777777" w:rsidR="003F1350" w:rsidRPr="009E1EA6" w:rsidRDefault="00B74A7C" w:rsidP="00333B77">
      <w:pPr>
        <w:pStyle w:val="Textoindependiente"/>
      </w:pPr>
      <w:r w:rsidRPr="009E1EA6">
        <w:t xml:space="preserve">Soong, T. T., Yao, G. C., &amp; Lin, C. C. (2000). Near-fault seismic vulnerability of nonstructural components and retrofit strategies. </w:t>
      </w:r>
      <w:r w:rsidRPr="009E1EA6">
        <w:rPr>
          <w:i/>
        </w:rPr>
        <w:t>Earthquake Engineering and Engineering Seismology</w:t>
      </w:r>
      <w:r w:rsidRPr="009E1EA6">
        <w:t xml:space="preserve">, </w:t>
      </w:r>
      <w:r w:rsidRPr="009E1EA6">
        <w:rPr>
          <w:b/>
        </w:rPr>
        <w:t>2</w:t>
      </w:r>
      <w:r w:rsidRPr="009E1EA6">
        <w:t>(2), 67-76.</w:t>
      </w:r>
    </w:p>
    <w:p w14:paraId="5F4689A5" w14:textId="77777777" w:rsidR="00022F59" w:rsidRPr="009E1EA6" w:rsidRDefault="00B74A7C" w:rsidP="00333B77">
      <w:pPr>
        <w:pStyle w:val="Textoindependiente"/>
      </w:pPr>
      <w:r w:rsidRPr="009E1EA6">
        <w:t xml:space="preserve">Taniguchi, T. (2002). Non‐linear response analyses of rectangular rigid bodies subjected to horizontal and vertical ground motion. </w:t>
      </w:r>
      <w:r w:rsidRPr="009E1EA6">
        <w:rPr>
          <w:i/>
        </w:rPr>
        <w:t>Earthquake engineering &amp; structural dynamics</w:t>
      </w:r>
      <w:r w:rsidRPr="009E1EA6">
        <w:t xml:space="preserve">, </w:t>
      </w:r>
      <w:r w:rsidRPr="009E1EA6">
        <w:rPr>
          <w:b/>
        </w:rPr>
        <w:t>31</w:t>
      </w:r>
      <w:r w:rsidRPr="009E1EA6">
        <w:t>(8), 1481-1500.</w:t>
      </w:r>
    </w:p>
    <w:p w14:paraId="301B75EE" w14:textId="77777777" w:rsidR="00211E8F" w:rsidRPr="009E1EA6" w:rsidRDefault="00B74A7C" w:rsidP="00333B77">
      <w:pPr>
        <w:pStyle w:val="Textoindependiente"/>
      </w:pPr>
      <w:r w:rsidRPr="009E1EA6">
        <w:t xml:space="preserve">Vamvatsikos, D., &amp; Cornell, C. A. (2002). Incremental dynamic analysis. </w:t>
      </w:r>
      <w:r w:rsidRPr="009E1EA6">
        <w:rPr>
          <w:i/>
        </w:rPr>
        <w:t>Earthquake Engineering &amp; Structural Dynamics</w:t>
      </w:r>
      <w:r w:rsidRPr="009E1EA6">
        <w:t xml:space="preserve">, </w:t>
      </w:r>
      <w:r w:rsidRPr="009E1EA6">
        <w:rPr>
          <w:b/>
        </w:rPr>
        <w:t>31</w:t>
      </w:r>
      <w:r w:rsidRPr="009E1EA6">
        <w:t>(3), 491-514.</w:t>
      </w:r>
    </w:p>
    <w:p w14:paraId="2887F006" w14:textId="77777777" w:rsidR="00D13F3A" w:rsidRPr="009E1EA6" w:rsidRDefault="00B74A7C" w:rsidP="00333B77">
      <w:pPr>
        <w:pStyle w:val="Textoindependiente"/>
      </w:pPr>
      <w:r w:rsidRPr="009E1EA6">
        <w:t xml:space="preserve">Vassiliou, M. F., &amp; Makris, N. (2012). Analysis of the rocking response of rigid blocks standing free on a seismically isolated base. </w:t>
      </w:r>
      <w:r w:rsidRPr="009E1EA6">
        <w:rPr>
          <w:i/>
        </w:rPr>
        <w:t>Earthquake Engineering &amp; Structural Dynamics</w:t>
      </w:r>
      <w:r w:rsidRPr="009E1EA6">
        <w:t>, 41(2), 177-196.</w:t>
      </w:r>
    </w:p>
    <w:p w14:paraId="020FD161" w14:textId="77777777" w:rsidR="00283987" w:rsidRPr="009E1EA6" w:rsidRDefault="00B74A7C" w:rsidP="00333B77">
      <w:pPr>
        <w:pStyle w:val="Textoindependiente"/>
      </w:pPr>
      <w:r w:rsidRPr="009E1EA6">
        <w:t xml:space="preserve">Watson-Lamprey, J., &amp; Abrahamson, N. (2006). Selection of ground motion time series and limits on scaling. </w:t>
      </w:r>
      <w:r w:rsidRPr="009E1EA6">
        <w:rPr>
          <w:i/>
        </w:rPr>
        <w:t>Soil Dynamics and Earthquake Engineering</w:t>
      </w:r>
      <w:r w:rsidRPr="009E1EA6">
        <w:t xml:space="preserve">, </w:t>
      </w:r>
      <w:r w:rsidRPr="009E1EA6">
        <w:rPr>
          <w:b/>
        </w:rPr>
        <w:t>26</w:t>
      </w:r>
      <w:r w:rsidRPr="009E1EA6">
        <w:t>(5), 477-482.</w:t>
      </w:r>
    </w:p>
    <w:p w14:paraId="33E01662" w14:textId="77777777" w:rsidR="0075270B" w:rsidRPr="009E1EA6" w:rsidRDefault="00B74A7C" w:rsidP="00333B77">
      <w:pPr>
        <w:pStyle w:val="Textoindependiente"/>
      </w:pPr>
      <w:r w:rsidRPr="009E1EA6">
        <w:t xml:space="preserve">Wen, Y. K. (1976). Method for random vibration of hysteretic systems. </w:t>
      </w:r>
      <w:r w:rsidRPr="009E1EA6">
        <w:rPr>
          <w:i/>
        </w:rPr>
        <w:t>Journal of the Engineering Mechanics Division</w:t>
      </w:r>
      <w:r w:rsidRPr="009E1EA6">
        <w:t xml:space="preserve">, </w:t>
      </w:r>
      <w:r w:rsidRPr="009E1EA6">
        <w:rPr>
          <w:b/>
        </w:rPr>
        <w:t>102</w:t>
      </w:r>
      <w:r w:rsidR="00B72E61" w:rsidRPr="009E1EA6">
        <w:t>(2), 249-263.</w:t>
      </w:r>
    </w:p>
    <w:p w14:paraId="36C78486" w14:textId="77777777" w:rsidR="00B25330" w:rsidRPr="009E1EA6" w:rsidRDefault="00B74A7C" w:rsidP="00333B77">
      <w:pPr>
        <w:spacing w:line="360" w:lineRule="auto"/>
        <w:jc w:val="left"/>
      </w:pPr>
      <w:r w:rsidRPr="009E1EA6">
        <w:br w:type="page"/>
      </w:r>
    </w:p>
    <w:p w14:paraId="1F33C7C6" w14:textId="10092FCD" w:rsidR="00731941" w:rsidRPr="009E1EA6" w:rsidRDefault="00B74A7C" w:rsidP="000A0710">
      <w:pPr>
        <w:pStyle w:val="Textoindependiente"/>
        <w:ind w:firstLine="0"/>
        <w:rPr>
          <w:b/>
          <w:szCs w:val="24"/>
        </w:rPr>
      </w:pPr>
      <w:r w:rsidRPr="009E1EA6">
        <w:rPr>
          <w:b/>
          <w:szCs w:val="24"/>
        </w:rPr>
        <w:lastRenderedPageBreak/>
        <w:t xml:space="preserve">APPENDIX A. Derivation of the equations of motion for a rigid block restrained with </w:t>
      </w:r>
      <w:r w:rsidR="00F558D7" w:rsidRPr="009E1EA6">
        <w:rPr>
          <w:b/>
          <w:szCs w:val="24"/>
        </w:rPr>
        <w:t>pres</w:t>
      </w:r>
      <w:r w:rsidRPr="009E1EA6">
        <w:rPr>
          <w:b/>
          <w:szCs w:val="24"/>
        </w:rPr>
        <w:t>tressed elasto-plastic-brittle (PEPB) anchors</w:t>
      </w:r>
    </w:p>
    <w:p w14:paraId="2083A829" w14:textId="77777777" w:rsidR="00731941" w:rsidRPr="009E1EA6" w:rsidRDefault="00731941" w:rsidP="00731941">
      <w:pPr>
        <w:rPr>
          <w:b/>
          <w:szCs w:val="24"/>
        </w:rPr>
      </w:pPr>
    </w:p>
    <w:p w14:paraId="75D6ED54" w14:textId="2E7AD39C" w:rsidR="000A26DC" w:rsidRPr="009E1EA6" w:rsidRDefault="002151EF" w:rsidP="00976635">
      <w:pPr>
        <w:pStyle w:val="Textoindependiente"/>
        <w:rPr>
          <w:szCs w:val="24"/>
        </w:rPr>
      </w:pPr>
      <w:r w:rsidRPr="009E1EA6">
        <w:rPr>
          <w:szCs w:val="24"/>
        </w:rPr>
        <w:t xml:space="preserve">The equation of motion of a rigid block of mass </w:t>
      </w:r>
      <m:oMath>
        <m:r>
          <w:rPr>
            <w:rFonts w:ascii="Cambria Math" w:hAnsi="Cambria Math"/>
            <w:szCs w:val="24"/>
          </w:rPr>
          <m:t>m</m:t>
        </m:r>
      </m:oMath>
      <w:r w:rsidRPr="009E1EA6">
        <w:rPr>
          <w:szCs w:val="24"/>
        </w:rPr>
        <w:t xml:space="preserve">, anchored to </w:t>
      </w:r>
      <w:r w:rsidR="00B74A7C" w:rsidRPr="009E1EA6">
        <w:rPr>
          <w:szCs w:val="24"/>
        </w:rPr>
        <w:t xml:space="preserve">a </w:t>
      </w:r>
      <w:r w:rsidRPr="009E1EA6">
        <w:rPr>
          <w:szCs w:val="24"/>
        </w:rPr>
        <w:t xml:space="preserve">fixed base and subjected to horizontal ground acceleration </w:t>
      </w:r>
      <m:oMath>
        <m:sSub>
          <m:sSubPr>
            <m:ctrlPr>
              <w:rPr>
                <w:rFonts w:ascii="Cambria Math" w:hAnsi="Cambria Math"/>
                <w:i/>
                <w:szCs w:val="24"/>
              </w:rPr>
            </m:ctrlPr>
          </m:sSubPr>
          <m:e>
            <m:acc>
              <m:accPr>
                <m:chr m:val="̈"/>
                <m:ctrlPr>
                  <w:rPr>
                    <w:rFonts w:ascii="Cambria Math" w:hAnsi="Cambria Math"/>
                    <w:i/>
                    <w:szCs w:val="24"/>
                  </w:rPr>
                </m:ctrlPr>
              </m:accPr>
              <m:e>
                <m:r>
                  <w:rPr>
                    <w:rFonts w:ascii="Cambria Math" w:hAnsi="Cambria Math"/>
                    <w:szCs w:val="24"/>
                  </w:rPr>
                  <m:t>x</m:t>
                </m:r>
              </m:e>
            </m:acc>
          </m:e>
          <m:sub>
            <m:r>
              <w:rPr>
                <w:rFonts w:ascii="Cambria Math" w:hAnsi="Cambria Math"/>
                <w:szCs w:val="24"/>
              </w:rPr>
              <m:t>g</m:t>
            </m:r>
          </m:sub>
        </m:sSub>
      </m:oMath>
      <w:r w:rsidR="00B74A7C" w:rsidRPr="009E1EA6">
        <w:rPr>
          <w:szCs w:val="24"/>
        </w:rPr>
        <w:t xml:space="preserve"> (Figure A1) can be written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1F8BE868" w14:textId="77777777" w:rsidTr="000A26DC">
        <w:tc>
          <w:tcPr>
            <w:tcW w:w="8328" w:type="dxa"/>
            <w:vAlign w:val="center"/>
          </w:tcPr>
          <w:p w14:paraId="515BB7CF" w14:textId="77777777" w:rsidR="000A26DC" w:rsidRPr="009E1EA6" w:rsidRDefault="00B74A7C" w:rsidP="00DF5AC5">
            <w:pPr>
              <w:pStyle w:val="Textoindependiente"/>
              <w:ind w:firstLine="0"/>
              <w:rPr>
                <w:szCs w:val="24"/>
                <w:lang w:val="en-US"/>
              </w:rPr>
            </w:pPr>
            <m:oMathPara>
              <m:oMath>
                <m:r>
                  <w:rPr>
                    <w:rFonts w:ascii="Cambria Math" w:hAnsi="Cambria Math"/>
                    <w:szCs w:val="24"/>
                    <w:lang w:val="en-US"/>
                  </w:rPr>
                  <m:t>m</m:t>
                </m:r>
                <m:d>
                  <m:dPr>
                    <m:ctrlPr>
                      <w:rPr>
                        <w:rFonts w:ascii="Cambria Math" w:hAnsi="Cambria Math"/>
                        <w:i/>
                        <w:szCs w:val="24"/>
                        <w:lang w:val="en-US"/>
                      </w:rPr>
                    </m:ctrlPr>
                  </m:dPr>
                  <m:e>
                    <m:acc>
                      <m:accPr>
                        <m:chr m:val="̈"/>
                        <m:ctrlPr>
                          <w:rPr>
                            <w:rFonts w:ascii="Cambria Math" w:hAnsi="Cambria Math"/>
                            <w:i/>
                            <w:szCs w:val="24"/>
                            <w:lang w:val="en-US"/>
                          </w:rPr>
                        </m:ctrlPr>
                      </m:accPr>
                      <m:e>
                        <m:r>
                          <w:rPr>
                            <w:rFonts w:ascii="Cambria Math" w:hAnsi="Cambria Math"/>
                            <w:szCs w:val="24"/>
                            <w:lang w:val="en-US"/>
                          </w:rPr>
                          <m:t>x</m:t>
                        </m:r>
                      </m:e>
                    </m:acc>
                    <m:r>
                      <w:rPr>
                        <w:rFonts w:ascii="Cambria Math" w:eastAsiaTheme="minorEastAsia" w:hAnsi="Cambria Math"/>
                        <w:szCs w:val="24"/>
                        <w:lang w:val="en-US"/>
                      </w:rPr>
                      <m:t>+</m:t>
                    </m:r>
                    <m:sSub>
                      <m:sSubPr>
                        <m:ctrlPr>
                          <w:rPr>
                            <w:rFonts w:ascii="Cambria Math" w:hAnsi="Cambria Math"/>
                            <w:i/>
                            <w:szCs w:val="24"/>
                            <w:lang w:val="en-US"/>
                          </w:rPr>
                        </m:ctrlPr>
                      </m:sSubPr>
                      <m:e>
                        <m:acc>
                          <m:accPr>
                            <m:chr m:val="̈"/>
                            <m:ctrlPr>
                              <w:rPr>
                                <w:rFonts w:ascii="Cambria Math" w:hAnsi="Cambria Math"/>
                                <w:i/>
                                <w:szCs w:val="24"/>
                                <w:lang w:val="en-US"/>
                              </w:rPr>
                            </m:ctrlPr>
                          </m:accPr>
                          <m:e>
                            <m:r>
                              <w:rPr>
                                <w:rFonts w:ascii="Cambria Math" w:hAnsi="Cambria Math"/>
                                <w:szCs w:val="24"/>
                                <w:lang w:val="en-US"/>
                              </w:rPr>
                              <m:t>x</m:t>
                            </m:r>
                          </m:e>
                        </m:acc>
                      </m:e>
                      <m:sub>
                        <m:r>
                          <w:rPr>
                            <w:rFonts w:ascii="Cambria Math" w:hAnsi="Cambria Math"/>
                            <w:szCs w:val="24"/>
                            <w:lang w:val="en-US"/>
                          </w:rPr>
                          <m:t>g</m:t>
                        </m:r>
                      </m:sub>
                    </m:sSub>
                  </m:e>
                </m:d>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μ</m:t>
                    </m:r>
                  </m:e>
                  <m:sub>
                    <m:r>
                      <w:rPr>
                        <w:rFonts w:ascii="Cambria Math" w:hAnsi="Cambria Math"/>
                        <w:szCs w:val="24"/>
                        <w:lang w:val="en-US"/>
                      </w:rPr>
                      <m:t>k</m:t>
                    </m:r>
                  </m:sub>
                </m:sSub>
                <m:r>
                  <w:rPr>
                    <w:rFonts w:ascii="Cambria Math" w:hAnsi="Cambria Math"/>
                    <w:szCs w:val="24"/>
                    <w:lang w:val="en-US"/>
                  </w:rPr>
                  <m:t>⋅</m:t>
                </m:r>
                <m:r>
                  <m:rPr>
                    <m:sty m:val="p"/>
                  </m:rPr>
                  <w:rPr>
                    <w:rFonts w:ascii="Cambria Math" w:hAnsi="Cambria Math"/>
                    <w:szCs w:val="24"/>
                    <w:lang w:val="en-US"/>
                  </w:rPr>
                  <m:t>sgn</m:t>
                </m:r>
                <m:d>
                  <m:dPr>
                    <m:ctrlPr>
                      <w:rPr>
                        <w:rFonts w:ascii="Cambria Math" w:hAnsi="Cambria Math"/>
                        <w:i/>
                        <w:szCs w:val="24"/>
                        <w:lang w:val="en-US"/>
                      </w:rPr>
                    </m:ctrlPr>
                  </m:dPr>
                  <m:e>
                    <m:acc>
                      <m:accPr>
                        <m:chr m:val="̇"/>
                        <m:ctrlPr>
                          <w:rPr>
                            <w:rFonts w:ascii="Cambria Math" w:hAnsi="Cambria Math"/>
                            <w:i/>
                            <w:szCs w:val="24"/>
                            <w:lang w:val="en-US"/>
                          </w:rPr>
                        </m:ctrlPr>
                      </m:accPr>
                      <m:e>
                        <m:r>
                          <w:rPr>
                            <w:rFonts w:ascii="Cambria Math" w:hAnsi="Cambria Math"/>
                            <w:szCs w:val="24"/>
                            <w:lang w:val="en-US"/>
                          </w:rPr>
                          <m:t>x</m:t>
                        </m:r>
                      </m:e>
                    </m:acc>
                  </m:e>
                </m:d>
                <m:d>
                  <m:dPr>
                    <m:ctrlPr>
                      <w:rPr>
                        <w:rFonts w:ascii="Cambria Math" w:hAnsi="Cambria Math"/>
                        <w:i/>
                        <w:szCs w:val="24"/>
                        <w:lang w:val="en-US"/>
                      </w:rPr>
                    </m:ctrlPr>
                  </m:dPr>
                  <m:e>
                    <m:r>
                      <w:rPr>
                        <w:rFonts w:ascii="Cambria Math" w:hAnsi="Cambria Math"/>
                        <w:szCs w:val="24"/>
                        <w:lang w:val="en-US"/>
                      </w:rPr>
                      <m:t>mg+FY</m:t>
                    </m:r>
                  </m:e>
                </m:d>
                <m:r>
                  <w:rPr>
                    <w:rFonts w:ascii="Cambria Math" w:eastAsiaTheme="minorEastAsia" w:hAnsi="Cambria Math"/>
                    <w:szCs w:val="24"/>
                    <w:lang w:val="en-US"/>
                  </w:rPr>
                  <m:t>+FX=</m:t>
                </m:r>
                <m:r>
                  <w:rPr>
                    <w:rFonts w:ascii="Cambria Math" w:hAnsi="Cambria Math"/>
                    <w:szCs w:val="24"/>
                    <w:lang w:val="en-US"/>
                  </w:rPr>
                  <m:t>0</m:t>
                </m:r>
              </m:oMath>
            </m:oMathPara>
          </w:p>
        </w:tc>
        <w:tc>
          <w:tcPr>
            <w:tcW w:w="903" w:type="dxa"/>
            <w:vAlign w:val="center"/>
          </w:tcPr>
          <w:p w14:paraId="46A769A0" w14:textId="77777777" w:rsidR="000A26DC" w:rsidRPr="009E1EA6" w:rsidRDefault="00B74A7C" w:rsidP="004001A7">
            <w:pPr>
              <w:pStyle w:val="Textoindependiente"/>
              <w:ind w:firstLine="0"/>
              <w:rPr>
                <w:lang w:val="en-US"/>
              </w:rPr>
            </w:pPr>
            <w:r w:rsidRPr="009E1EA6">
              <w:rPr>
                <w:lang w:val="en-US"/>
              </w:rPr>
              <w:t>(A1)</w:t>
            </w:r>
          </w:p>
        </w:tc>
      </w:tr>
    </w:tbl>
    <w:p w14:paraId="555FA9FB" w14:textId="38502BE9" w:rsidR="004E69B4" w:rsidRPr="009E1EA6" w:rsidRDefault="00B74A7C" w:rsidP="00DF5AC5">
      <w:pPr>
        <w:pStyle w:val="Textoindependiente"/>
        <w:ind w:firstLine="0"/>
        <w:rPr>
          <w:szCs w:val="24"/>
        </w:rPr>
      </w:pPr>
      <w:r w:rsidRPr="009E1EA6">
        <w:rPr>
          <w:szCs w:val="24"/>
        </w:rPr>
        <w:t xml:space="preserve">where </w:t>
      </w:r>
      <m:oMath>
        <m:r>
          <w:rPr>
            <w:rFonts w:ascii="Cambria Math" w:hAnsi="Cambria Math"/>
            <w:szCs w:val="24"/>
          </w:rPr>
          <m:t>m</m:t>
        </m:r>
        <m:d>
          <m:dPr>
            <m:ctrlPr>
              <w:rPr>
                <w:rFonts w:ascii="Cambria Math" w:hAnsi="Cambria Math"/>
                <w:szCs w:val="24"/>
              </w:rPr>
            </m:ctrlPr>
          </m:dPr>
          <m:e>
            <m:acc>
              <m:accPr>
                <m:chr m:val="̈"/>
                <m:ctrlPr>
                  <w:rPr>
                    <w:rFonts w:ascii="Cambria Math" w:hAnsi="Cambria Math"/>
                    <w:szCs w:val="24"/>
                  </w:rPr>
                </m:ctrlPr>
              </m:accPr>
              <m:e>
                <m:r>
                  <w:rPr>
                    <w:rFonts w:ascii="Cambria Math" w:hAnsi="Cambria Math"/>
                    <w:szCs w:val="24"/>
                  </w:rPr>
                  <m:t>x</m:t>
                </m:r>
              </m:e>
            </m:acc>
            <m:r>
              <m:rPr>
                <m:sty m:val="p"/>
              </m:rPr>
              <w:rPr>
                <w:rFonts w:ascii="Cambria Math" w:hAnsi="Cambria Math"/>
                <w:szCs w:val="24"/>
              </w:rPr>
              <m:t>+</m:t>
            </m:r>
            <m:sSub>
              <m:sSubPr>
                <m:ctrlPr>
                  <w:rPr>
                    <w:rFonts w:ascii="Cambria Math" w:hAnsi="Cambria Math"/>
                    <w:szCs w:val="24"/>
                  </w:rPr>
                </m:ctrlPr>
              </m:sSubPr>
              <m:e>
                <m:acc>
                  <m:accPr>
                    <m:chr m:val="̈"/>
                    <m:ctrlPr>
                      <w:rPr>
                        <w:rFonts w:ascii="Cambria Math" w:hAnsi="Cambria Math"/>
                        <w:szCs w:val="24"/>
                      </w:rPr>
                    </m:ctrlPr>
                  </m:accPr>
                  <m:e>
                    <m:r>
                      <w:rPr>
                        <w:rFonts w:ascii="Cambria Math" w:hAnsi="Cambria Math"/>
                        <w:szCs w:val="24"/>
                      </w:rPr>
                      <m:t>x</m:t>
                    </m:r>
                  </m:e>
                </m:acc>
              </m:e>
              <m:sub>
                <m:r>
                  <w:rPr>
                    <w:rFonts w:ascii="Cambria Math" w:hAnsi="Cambria Math"/>
                    <w:szCs w:val="24"/>
                  </w:rPr>
                  <m:t>g</m:t>
                </m:r>
              </m:sub>
            </m:sSub>
          </m:e>
        </m:d>
      </m:oMath>
      <w:r w:rsidR="001B5153" w:rsidRPr="009E1EA6">
        <w:rPr>
          <w:szCs w:val="24"/>
        </w:rPr>
        <w:t xml:space="preserve"> is the total block acceleration in the </w:t>
      </w:r>
      <m:oMath>
        <m:r>
          <m:rPr>
            <m:sty m:val="p"/>
          </m:rPr>
          <w:rPr>
            <w:rFonts w:ascii="Cambria Math" w:hAnsi="Cambria Math"/>
            <w:szCs w:val="24"/>
          </w:rPr>
          <m:t>X</m:t>
        </m:r>
      </m:oMath>
      <w:r w:rsidR="008239C7" w:rsidRPr="009E1EA6">
        <w:rPr>
          <w:szCs w:val="24"/>
        </w:rPr>
        <w:t xml:space="preserve"> direction, </w:t>
      </w:r>
      <m:oMath>
        <m:sSub>
          <m:sSubPr>
            <m:ctrlPr>
              <w:rPr>
                <w:rFonts w:ascii="Cambria Math" w:hAnsi="Cambria Math"/>
                <w:szCs w:val="24"/>
              </w:rPr>
            </m:ctrlPr>
          </m:sSubPr>
          <m:e>
            <m:r>
              <w:rPr>
                <w:rFonts w:ascii="Cambria Math" w:hAnsi="Cambria Math"/>
                <w:szCs w:val="24"/>
              </w:rPr>
              <m:t>μ</m:t>
            </m:r>
          </m:e>
          <m:sub>
            <m:r>
              <w:rPr>
                <w:rFonts w:ascii="Cambria Math" w:hAnsi="Cambria Math"/>
                <w:szCs w:val="24"/>
              </w:rPr>
              <m:t>k</m:t>
            </m:r>
          </m:sub>
        </m:sSub>
      </m:oMath>
      <w:r w:rsidR="002151EF" w:rsidRPr="009E1EA6">
        <w:rPr>
          <w:szCs w:val="24"/>
        </w:rPr>
        <w:t xml:space="preserve"> is the coefficient of kinetic friction, and </w:t>
      </w:r>
      <m:oMath>
        <m:r>
          <w:rPr>
            <w:rFonts w:ascii="Cambria Math" w:hAnsi="Cambria Math"/>
            <w:szCs w:val="24"/>
          </w:rPr>
          <m:t>g</m:t>
        </m:r>
      </m:oMath>
      <w:r w:rsidR="002151EF" w:rsidRPr="009E1EA6">
        <w:rPr>
          <w:szCs w:val="24"/>
        </w:rPr>
        <w:t xml:space="preserve"> </w:t>
      </w:r>
      <w:r w:rsidRPr="009E1EA6">
        <w:rPr>
          <w:szCs w:val="24"/>
        </w:rPr>
        <w:t xml:space="preserve">is </w:t>
      </w:r>
      <w:r w:rsidR="002151EF" w:rsidRPr="009E1EA6">
        <w:rPr>
          <w:szCs w:val="24"/>
        </w:rPr>
        <w:t xml:space="preserve">the acceleration of gravity. The terms </w:t>
      </w:r>
      <m:oMath>
        <m:r>
          <w:rPr>
            <w:rFonts w:ascii="Cambria Math" w:hAnsi="Cambria Math"/>
            <w:szCs w:val="24"/>
          </w:rPr>
          <m:t>FX</m:t>
        </m:r>
      </m:oMath>
      <w:r w:rsidR="002151EF" w:rsidRPr="009E1EA6">
        <w:rPr>
          <w:szCs w:val="24"/>
        </w:rPr>
        <w:t xml:space="preserve"> and </w:t>
      </w:r>
      <m:oMath>
        <m:r>
          <w:rPr>
            <w:rFonts w:ascii="Cambria Math" w:hAnsi="Cambria Math"/>
            <w:szCs w:val="24"/>
          </w:rPr>
          <m:t>FY</m:t>
        </m:r>
      </m:oMath>
      <w:r w:rsidRPr="009E1EA6">
        <w:rPr>
          <w:szCs w:val="24"/>
        </w:rPr>
        <w:t xml:space="preserve"> are the added horizontal and vertical forces</w:t>
      </w:r>
      <w:r w:rsidR="00230E02" w:rsidRPr="009E1EA6">
        <w:rPr>
          <w:szCs w:val="24"/>
        </w:rPr>
        <w:t>, respectively,</w:t>
      </w:r>
      <w:r w:rsidRPr="009E1EA6">
        <w:rPr>
          <w:szCs w:val="24"/>
        </w:rPr>
        <w:t xml:space="preserve"> exerted by the anchors on the block, which are a function of the block displacement </w:t>
      </w:r>
      <m:oMath>
        <m:r>
          <w:rPr>
            <w:rFonts w:ascii="Cambria Math" w:hAnsi="Cambria Math"/>
            <w:szCs w:val="24"/>
          </w:rPr>
          <m:t>x</m:t>
        </m:r>
      </m:oMath>
      <w:r w:rsidR="00DF5AC5" w:rsidRPr="009E1EA6">
        <w:rPr>
          <w:szCs w:val="24"/>
        </w:rPr>
        <w:t xml:space="preserve">. The derivation of the forces </w:t>
      </w:r>
      <m:oMath>
        <m:r>
          <w:rPr>
            <w:rFonts w:ascii="Cambria Math" w:hAnsi="Cambria Math"/>
            <w:szCs w:val="24"/>
          </w:rPr>
          <m:t>FX</m:t>
        </m:r>
      </m:oMath>
      <w:r w:rsidR="00DF5AC5" w:rsidRPr="009E1EA6">
        <w:rPr>
          <w:szCs w:val="24"/>
        </w:rPr>
        <w:t xml:space="preserve"> and </w:t>
      </w:r>
      <m:oMath>
        <m:r>
          <w:rPr>
            <w:rFonts w:ascii="Cambria Math" w:hAnsi="Cambria Math"/>
            <w:szCs w:val="24"/>
          </w:rPr>
          <m:t>FY</m:t>
        </m:r>
      </m:oMath>
      <w:r w:rsidR="00DF5AC5" w:rsidRPr="009E1EA6">
        <w:rPr>
          <w:szCs w:val="24"/>
        </w:rPr>
        <w:t>, presented next, take into account the large displacements and an idealized elasto-plastic-brittle model for each anchor.</w:t>
      </w:r>
    </w:p>
    <w:p w14:paraId="5208F7F8" w14:textId="596D3001" w:rsidR="004E69B4" w:rsidRPr="009E1EA6" w:rsidRDefault="00B74A7C" w:rsidP="004E69B4">
      <w:pPr>
        <w:jc w:val="center"/>
        <w:rPr>
          <w:rFonts w:eastAsiaTheme="minorEastAsia"/>
          <w:szCs w:val="24"/>
        </w:rPr>
      </w:pPr>
      <w:r w:rsidRPr="009E1EA6">
        <w:rPr>
          <w:szCs w:val="24"/>
        </w:rPr>
        <w:t xml:space="preserve"> </w:t>
      </w:r>
      <w:r w:rsidRPr="009E1EA6">
        <w:rPr>
          <w:rFonts w:eastAsiaTheme="minorEastAsia"/>
          <w:szCs w:val="24"/>
        </w:rPr>
        <w:t xml:space="preserve"> </w:t>
      </w:r>
      <w:r w:rsidR="00920D1C" w:rsidRPr="009E1EA6">
        <w:rPr>
          <w:noProof/>
          <w:lang w:eastAsia="es-CL"/>
        </w:rPr>
        <w:t xml:space="preserve"> </w:t>
      </w:r>
      <w:r w:rsidR="00212B9F" w:rsidRPr="009E1EA6">
        <w:rPr>
          <w:noProof/>
          <w:lang w:val="es-CL" w:eastAsia="es-CL"/>
        </w:rPr>
        <w:drawing>
          <wp:inline distT="0" distB="0" distL="0" distR="0" wp14:anchorId="0C68770F" wp14:editId="1CF7E7E4">
            <wp:extent cx="4331611" cy="2320506"/>
            <wp:effectExtent l="0" t="0" r="0" b="38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5071" t="24929" r="30062" b="22792"/>
                    <a:stretch/>
                  </pic:blipFill>
                  <pic:spPr bwMode="auto">
                    <a:xfrm>
                      <a:off x="0" y="0"/>
                      <a:ext cx="4343021" cy="2326619"/>
                    </a:xfrm>
                    <a:prstGeom prst="rect">
                      <a:avLst/>
                    </a:prstGeom>
                    <a:ln>
                      <a:noFill/>
                    </a:ln>
                    <a:extLst>
                      <a:ext uri="{53640926-AAD7-44D8-BBD7-CCE9431645EC}">
                        <a14:shadowObscured xmlns:a14="http://schemas.microsoft.com/office/drawing/2010/main"/>
                      </a:ext>
                    </a:extLst>
                  </pic:spPr>
                </pic:pic>
              </a:graphicData>
            </a:graphic>
          </wp:inline>
        </w:drawing>
      </w:r>
    </w:p>
    <w:p w14:paraId="3D1DD39D" w14:textId="57650115" w:rsidR="004E69B4" w:rsidRPr="009E1EA6" w:rsidRDefault="00B74A7C" w:rsidP="004E69B4">
      <w:pPr>
        <w:pStyle w:val="FigureCaption"/>
        <w:spacing w:line="360" w:lineRule="auto"/>
        <w:rPr>
          <w:sz w:val="24"/>
        </w:rPr>
      </w:pPr>
      <w:r w:rsidRPr="009E1EA6">
        <w:rPr>
          <w:b/>
        </w:rPr>
        <w:t>Figure</w:t>
      </w:r>
      <w:r w:rsidRPr="009E1EA6">
        <w:rPr>
          <w:b/>
          <w:sz w:val="24"/>
        </w:rPr>
        <w:t xml:space="preserve"> A1.</w:t>
      </w:r>
      <w:r w:rsidRPr="009E1EA6">
        <w:rPr>
          <w:sz w:val="24"/>
        </w:rPr>
        <w:t xml:space="preserve"> </w:t>
      </w:r>
      <w:r w:rsidR="00724949" w:rsidRPr="009E1EA6">
        <w:rPr>
          <w:sz w:val="24"/>
        </w:rPr>
        <w:t>P</w:t>
      </w:r>
      <w:r w:rsidRPr="009E1EA6">
        <w:rPr>
          <w:sz w:val="24"/>
        </w:rPr>
        <w:t>osition of the rigid block restrained to a fixed base to the foundation</w:t>
      </w:r>
      <w:r w:rsidRPr="009E1EA6">
        <w:rPr>
          <w:b/>
          <w:sz w:val="24"/>
        </w:rPr>
        <w:t xml:space="preserve"> </w:t>
      </w:r>
      <w:r w:rsidRPr="009E1EA6">
        <w:rPr>
          <w:sz w:val="24"/>
        </w:rPr>
        <w:t>in sliding motion.</w:t>
      </w:r>
    </w:p>
    <w:p w14:paraId="3C4C04CD" w14:textId="77777777" w:rsidR="00731941" w:rsidRPr="009E1EA6" w:rsidRDefault="00B74A7C" w:rsidP="00976635">
      <w:pPr>
        <w:pStyle w:val="Textoindependiente"/>
        <w:rPr>
          <w:rFonts w:eastAsiaTheme="minorEastAsia"/>
          <w:szCs w:val="24"/>
        </w:rPr>
      </w:pPr>
      <w:r w:rsidRPr="009E1EA6">
        <w:rPr>
          <w:szCs w:val="24"/>
        </w:rPr>
        <w:t xml:space="preserve">From Figure A1, the deformation in the left anchor </w:t>
      </w:r>
      <m:oMath>
        <m:r>
          <w:rPr>
            <w:rFonts w:ascii="Cambria Math" w:hAnsi="Cambria Math"/>
            <w:szCs w:val="24"/>
          </w:rPr>
          <m:t>v</m:t>
        </m:r>
      </m:oMath>
      <w:r w:rsidRPr="009E1EA6">
        <w:rPr>
          <w:szCs w:val="24"/>
        </w:rPr>
        <w:t xml:space="preserve"> </w:t>
      </w:r>
      <w:r w:rsidRPr="009E1EA6">
        <w:rPr>
          <w:rFonts w:eastAsiaTheme="minorEastAsia"/>
          <w:szCs w:val="24"/>
        </w:rPr>
        <w:t xml:space="preserve">and the right anchor </w:t>
      </w:r>
      <m:oMath>
        <m:r>
          <w:rPr>
            <w:rFonts w:ascii="Cambria Math" w:eastAsiaTheme="minorEastAsia" w:hAnsi="Cambria Math"/>
            <w:szCs w:val="24"/>
          </w:rPr>
          <m:t>w</m:t>
        </m:r>
      </m:oMath>
      <w:r w:rsidRPr="009E1EA6">
        <w:rPr>
          <w:rFonts w:eastAsiaTheme="minorEastAsia"/>
          <w:szCs w:val="24"/>
        </w:rPr>
        <w:t xml:space="preserve"> as a function of the block displacement are</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60378AA9" w14:textId="77777777" w:rsidTr="00563FAC">
        <w:tc>
          <w:tcPr>
            <w:tcW w:w="8328" w:type="dxa"/>
            <w:vAlign w:val="center"/>
          </w:tcPr>
          <w:p w14:paraId="4B611359" w14:textId="77777777" w:rsidR="00731941" w:rsidRPr="009E1EA6" w:rsidRDefault="00B74A7C" w:rsidP="00563FAC">
            <w:pPr>
              <w:pStyle w:val="Textoindependiente"/>
              <w:ind w:firstLine="0"/>
              <w:rPr>
                <w:szCs w:val="24"/>
                <w:lang w:val="en-US"/>
              </w:rPr>
            </w:pPr>
            <m:oMathPara>
              <m:oMath>
                <m:r>
                  <w:rPr>
                    <w:rFonts w:ascii="Cambria Math" w:hAnsi="Cambria Math"/>
                    <w:szCs w:val="24"/>
                    <w:lang w:val="en-US"/>
                  </w:rPr>
                  <m:t>v=</m:t>
                </m:r>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L</m:t>
                    </m:r>
                  </m:e>
                  <m:sub>
                    <m:r>
                      <w:rPr>
                        <w:rFonts w:ascii="Cambria Math" w:hAnsi="Cambria Math"/>
                        <w:szCs w:val="24"/>
                        <w:lang w:val="en-US"/>
                      </w:rPr>
                      <m:t>0</m:t>
                    </m:r>
                  </m:sub>
                </m:sSub>
              </m:oMath>
            </m:oMathPara>
          </w:p>
        </w:tc>
        <w:tc>
          <w:tcPr>
            <w:tcW w:w="903" w:type="dxa"/>
            <w:vAlign w:val="center"/>
          </w:tcPr>
          <w:p w14:paraId="6630263B" w14:textId="77777777" w:rsidR="00731941" w:rsidRPr="009E1EA6" w:rsidRDefault="00B74A7C" w:rsidP="004001A7">
            <w:pPr>
              <w:pStyle w:val="Textoindependiente"/>
              <w:ind w:firstLine="0"/>
              <w:rPr>
                <w:lang w:val="en-US"/>
              </w:rPr>
            </w:pPr>
            <w:r w:rsidRPr="009E1EA6">
              <w:rPr>
                <w:lang w:val="en-US"/>
              </w:rPr>
              <w:t>(A2)</w:t>
            </w:r>
          </w:p>
        </w:tc>
      </w:tr>
      <w:tr w:rsidR="009E1EA6" w:rsidRPr="009E1EA6" w14:paraId="36B306CA" w14:textId="77777777" w:rsidTr="00563FAC">
        <w:tc>
          <w:tcPr>
            <w:tcW w:w="8328" w:type="dxa"/>
            <w:vAlign w:val="center"/>
          </w:tcPr>
          <w:p w14:paraId="4DCF5E72" w14:textId="77777777" w:rsidR="00731941" w:rsidRPr="009E1EA6" w:rsidRDefault="00B74A7C" w:rsidP="00563FAC">
            <w:pPr>
              <w:pStyle w:val="Textoindependiente"/>
              <w:ind w:firstLine="0"/>
              <w:rPr>
                <w:szCs w:val="24"/>
                <w:lang w:val="en-US"/>
              </w:rPr>
            </w:pPr>
            <m:oMathPara>
              <m:oMath>
                <m:r>
                  <w:rPr>
                    <w:rFonts w:ascii="Cambria Math" w:hAnsi="Cambria Math"/>
                    <w:szCs w:val="24"/>
                    <w:lang w:val="en-US"/>
                  </w:rPr>
                  <m:t>w=</m:t>
                </m:r>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L</m:t>
                    </m:r>
                  </m:e>
                  <m:sub>
                    <m:r>
                      <w:rPr>
                        <w:rFonts w:ascii="Cambria Math" w:hAnsi="Cambria Math"/>
                        <w:szCs w:val="24"/>
                        <w:lang w:val="en-US"/>
                      </w:rPr>
                      <m:t>0</m:t>
                    </m:r>
                  </m:sub>
                </m:sSub>
              </m:oMath>
            </m:oMathPara>
          </w:p>
        </w:tc>
        <w:tc>
          <w:tcPr>
            <w:tcW w:w="903" w:type="dxa"/>
            <w:vAlign w:val="center"/>
          </w:tcPr>
          <w:p w14:paraId="27670838" w14:textId="77777777" w:rsidR="00731941" w:rsidRPr="009E1EA6" w:rsidRDefault="00B74A7C" w:rsidP="004001A7">
            <w:pPr>
              <w:pStyle w:val="Textoindependiente"/>
              <w:ind w:firstLine="0"/>
              <w:rPr>
                <w:lang w:val="en-US"/>
              </w:rPr>
            </w:pPr>
            <w:r w:rsidRPr="009E1EA6">
              <w:rPr>
                <w:lang w:val="en-US"/>
              </w:rPr>
              <w:t>(A3)</w:t>
            </w:r>
          </w:p>
        </w:tc>
      </w:tr>
    </w:tbl>
    <w:p w14:paraId="0D1840F0" w14:textId="58E4936F" w:rsidR="000A0710" w:rsidRPr="009E1EA6" w:rsidRDefault="00B74A7C" w:rsidP="00EB49F7">
      <w:pPr>
        <w:pStyle w:val="Textoindependiente"/>
        <w:ind w:firstLine="0"/>
        <w:rPr>
          <w:rFonts w:eastAsiaTheme="minorEastAsia"/>
          <w:szCs w:val="24"/>
        </w:rPr>
      </w:pPr>
      <w:r w:rsidRPr="009E1EA6">
        <w:rPr>
          <w:szCs w:val="24"/>
        </w:rPr>
        <w:lastRenderedPageBreak/>
        <w:t xml:space="preserve">where </w:t>
      </w:r>
      <m:oMath>
        <m:sSub>
          <m:sSubPr>
            <m:ctrlPr>
              <w:rPr>
                <w:rFonts w:ascii="Cambria Math" w:hAnsi="Cambria Math"/>
                <w:szCs w:val="24"/>
              </w:rPr>
            </m:ctrlPr>
          </m:sSubPr>
          <m:e>
            <m:r>
              <w:rPr>
                <w:rFonts w:ascii="Cambria Math" w:hAnsi="Cambria Math"/>
                <w:szCs w:val="24"/>
              </w:rPr>
              <m:t>L</m:t>
            </m:r>
          </m:e>
          <m:sub>
            <m:r>
              <m:rPr>
                <m:sty m:val="p"/>
              </m:rPr>
              <w:rPr>
                <w:rFonts w:ascii="Cambria Math" w:hAnsi="Cambria Math"/>
                <w:szCs w:val="24"/>
              </w:rPr>
              <m:t>0</m:t>
            </m:r>
          </m:sub>
        </m:sSub>
        <m:r>
          <m:rPr>
            <m:sty m:val="p"/>
          </m:rPr>
          <w:rPr>
            <w:rFonts w:ascii="Cambria Math" w:hAnsi="Cambria Math"/>
            <w:szCs w:val="24"/>
          </w:rPr>
          <m:t>=</m:t>
        </m:r>
        <m:rad>
          <m:radPr>
            <m:degHide m:val="1"/>
            <m:ctrlPr>
              <w:rPr>
                <w:rFonts w:ascii="Cambria Math" w:hAnsi="Cambria Math"/>
                <w:szCs w:val="24"/>
              </w:rPr>
            </m:ctrlPr>
          </m:radPr>
          <m:deg/>
          <m:e>
            <m:sSubSup>
              <m:sSubSupPr>
                <m:ctrlPr>
                  <w:rPr>
                    <w:rFonts w:ascii="Cambria Math" w:hAnsi="Cambria Math"/>
                    <w:szCs w:val="24"/>
                  </w:rPr>
                </m:ctrlPr>
              </m:sSubSupPr>
              <m:e>
                <m:r>
                  <w:rPr>
                    <w:rFonts w:ascii="Cambria Math" w:hAnsi="Cambria Math"/>
                    <w:szCs w:val="24"/>
                  </w:rPr>
                  <m:t>x</m:t>
                </m:r>
              </m:e>
              <m:sub>
                <m:r>
                  <m:rPr>
                    <m:sty m:val="p"/>
                  </m:rPr>
                  <w:rPr>
                    <w:rFonts w:ascii="Cambria Math" w:hAnsi="Cambria Math"/>
                    <w:szCs w:val="24"/>
                  </w:rPr>
                  <m:t>0</m:t>
                </m:r>
              </m:sub>
              <m:sup>
                <m:r>
                  <m:rPr>
                    <m:sty m:val="p"/>
                  </m:rPr>
                  <w:rPr>
                    <w:rFonts w:ascii="Cambria Math" w:hAnsi="Cambria Math"/>
                    <w:szCs w:val="24"/>
                  </w:rPr>
                  <m:t>2</m:t>
                </m:r>
              </m:sup>
            </m:sSubSup>
            <m:r>
              <m:rPr>
                <m:sty m:val="p"/>
              </m:rPr>
              <w:rPr>
                <w:rFonts w:ascii="Cambria Math" w:hAnsi="Cambria Math"/>
                <w:szCs w:val="24"/>
              </w:rPr>
              <m:t>+</m:t>
            </m:r>
            <m:sSubSup>
              <m:sSubSupPr>
                <m:ctrlPr>
                  <w:rPr>
                    <w:rFonts w:ascii="Cambria Math" w:hAnsi="Cambria Math"/>
                    <w:szCs w:val="24"/>
                  </w:rPr>
                </m:ctrlPr>
              </m:sSubSupPr>
              <m:e>
                <m:r>
                  <w:rPr>
                    <w:rFonts w:ascii="Cambria Math" w:hAnsi="Cambria Math"/>
                    <w:szCs w:val="24"/>
                  </w:rPr>
                  <m:t>y</m:t>
                </m:r>
              </m:e>
              <m:sub>
                <m:r>
                  <m:rPr>
                    <m:sty m:val="p"/>
                  </m:rPr>
                  <w:rPr>
                    <w:rFonts w:ascii="Cambria Math" w:hAnsi="Cambria Math"/>
                    <w:szCs w:val="24"/>
                  </w:rPr>
                  <m:t>0</m:t>
                </m:r>
              </m:sub>
              <m:sup>
                <m:r>
                  <m:rPr>
                    <m:sty m:val="p"/>
                  </m:rPr>
                  <w:rPr>
                    <w:rFonts w:ascii="Cambria Math" w:hAnsi="Cambria Math"/>
                    <w:szCs w:val="24"/>
                  </w:rPr>
                  <m:t>2</m:t>
                </m:r>
              </m:sup>
            </m:sSubSup>
            <m:r>
              <m:rPr>
                <m:sty m:val="p"/>
              </m:rPr>
              <w:rPr>
                <w:rFonts w:ascii="Cambria Math" w:hAnsi="Cambria Math"/>
                <w:szCs w:val="24"/>
              </w:rPr>
              <m:t>+</m:t>
            </m:r>
            <m:sSubSup>
              <m:sSubSupPr>
                <m:ctrlPr>
                  <w:rPr>
                    <w:rFonts w:ascii="Cambria Math" w:hAnsi="Cambria Math"/>
                    <w:szCs w:val="24"/>
                  </w:rPr>
                </m:ctrlPr>
              </m:sSubSupPr>
              <m:e>
                <m:r>
                  <w:rPr>
                    <w:rFonts w:ascii="Cambria Math" w:hAnsi="Cambria Math"/>
                    <w:szCs w:val="24"/>
                  </w:rPr>
                  <m:t>z</m:t>
                </m:r>
              </m:e>
              <m:sub>
                <m:r>
                  <m:rPr>
                    <m:sty m:val="p"/>
                  </m:rPr>
                  <w:rPr>
                    <w:rFonts w:ascii="Cambria Math" w:hAnsi="Cambria Math"/>
                    <w:szCs w:val="24"/>
                  </w:rPr>
                  <m:t>0</m:t>
                </m:r>
              </m:sub>
              <m:sup>
                <m:r>
                  <m:rPr>
                    <m:sty m:val="p"/>
                  </m:rPr>
                  <w:rPr>
                    <w:rFonts w:ascii="Cambria Math" w:hAnsi="Cambria Math"/>
                    <w:szCs w:val="24"/>
                  </w:rPr>
                  <m:t>2</m:t>
                </m:r>
              </m:sup>
            </m:sSubSup>
          </m:e>
        </m:rad>
      </m:oMath>
      <w:r w:rsidR="00DF5AC5" w:rsidRPr="009E1EA6">
        <w:rPr>
          <w:szCs w:val="24"/>
        </w:rPr>
        <w:t xml:space="preserve"> is the initial anchor length, (</w:t>
      </w:r>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z</m:t>
            </m:r>
          </m:e>
          <m:sub>
            <m:r>
              <w:rPr>
                <w:rFonts w:ascii="Cambria Math" w:hAnsi="Cambria Math"/>
                <w:szCs w:val="24"/>
              </w:rPr>
              <m:t>0</m:t>
            </m:r>
          </m:sub>
        </m:sSub>
      </m:oMath>
      <w:r w:rsidRPr="009E1EA6">
        <w:rPr>
          <w:szCs w:val="24"/>
        </w:rPr>
        <w:t xml:space="preserve">) are the anchor offsets, and the anchor deformation rates </w:t>
      </w:r>
      <m:oMath>
        <m:acc>
          <m:accPr>
            <m:chr m:val="̇"/>
            <m:ctrlPr>
              <w:rPr>
                <w:rFonts w:ascii="Cambria Math" w:hAnsi="Cambria Math"/>
                <w:i/>
                <w:szCs w:val="24"/>
              </w:rPr>
            </m:ctrlPr>
          </m:accPr>
          <m:e>
            <m:r>
              <w:rPr>
                <w:rFonts w:ascii="Cambria Math" w:hAnsi="Cambria Math"/>
                <w:szCs w:val="24"/>
              </w:rPr>
              <m:t>v</m:t>
            </m:r>
          </m:e>
        </m:acc>
      </m:oMath>
      <w:r w:rsidRPr="009E1EA6">
        <w:rPr>
          <w:szCs w:val="24"/>
        </w:rPr>
        <w:t xml:space="preserve"> and </w:t>
      </w:r>
      <m:oMath>
        <m:acc>
          <m:accPr>
            <m:chr m:val="̇"/>
            <m:ctrlPr>
              <w:rPr>
                <w:rFonts w:ascii="Cambria Math" w:hAnsi="Cambria Math"/>
                <w:i/>
                <w:szCs w:val="24"/>
              </w:rPr>
            </m:ctrlPr>
          </m:accPr>
          <m:e>
            <m:r>
              <w:rPr>
                <w:rFonts w:ascii="Cambria Math" w:hAnsi="Cambria Math"/>
                <w:szCs w:val="24"/>
              </w:rPr>
              <m:t>w</m:t>
            </m:r>
          </m:e>
        </m:acc>
      </m:oMath>
      <w:r w:rsidRPr="009E1EA6">
        <w:rPr>
          <w:szCs w:val="24"/>
        </w:rPr>
        <w:t xml:space="preserve"> are expressed in terms of the block position </w:t>
      </w:r>
      <m:oMath>
        <m:r>
          <w:rPr>
            <w:rFonts w:ascii="Cambria Math" w:hAnsi="Cambria Math"/>
            <w:szCs w:val="24"/>
          </w:rPr>
          <m:t>x</m:t>
        </m:r>
      </m:oMath>
      <w:r w:rsidRPr="009E1EA6">
        <w:rPr>
          <w:szCs w:val="24"/>
        </w:rPr>
        <w:t xml:space="preserve"> and velocity </w:t>
      </w:r>
      <m:oMath>
        <m:acc>
          <m:accPr>
            <m:chr m:val="̇"/>
            <m:ctrlPr>
              <w:rPr>
                <w:rFonts w:ascii="Cambria Math" w:hAnsi="Cambria Math"/>
                <w:i/>
                <w:szCs w:val="24"/>
              </w:rPr>
            </m:ctrlPr>
          </m:accPr>
          <m:e>
            <m:r>
              <w:rPr>
                <w:rFonts w:ascii="Cambria Math" w:hAnsi="Cambria Math"/>
                <w:szCs w:val="24"/>
              </w:rPr>
              <m:t>x</m:t>
            </m:r>
          </m:e>
        </m:acc>
      </m:oMath>
      <w:r w:rsidR="00EB49F7" w:rsidRPr="009E1EA6">
        <w:rPr>
          <w:szCs w:val="24"/>
        </w:rPr>
        <w:t xml:space="preserve">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4912E489" w14:textId="77777777" w:rsidTr="000C6975">
        <w:tc>
          <w:tcPr>
            <w:tcW w:w="8328" w:type="dxa"/>
            <w:vAlign w:val="center"/>
          </w:tcPr>
          <w:p w14:paraId="767FEA96" w14:textId="77777777" w:rsidR="000A0710" w:rsidRPr="009E1EA6" w:rsidRDefault="006E3CB7" w:rsidP="00EB49F7">
            <w:pPr>
              <w:pStyle w:val="Textoindependiente"/>
              <w:ind w:firstLine="0"/>
              <w:rPr>
                <w:szCs w:val="24"/>
                <w:lang w:val="en-US"/>
              </w:rPr>
            </w:pPr>
            <m:oMathPara>
              <m:oMath>
                <m:acc>
                  <m:accPr>
                    <m:chr m:val="̇"/>
                    <m:ctrlPr>
                      <w:rPr>
                        <w:rFonts w:ascii="Cambria Math" w:hAnsi="Cambria Math"/>
                        <w:i/>
                        <w:szCs w:val="24"/>
                        <w:lang w:val="en-US"/>
                      </w:rPr>
                    </m:ctrlPr>
                  </m:accPr>
                  <m:e>
                    <m:r>
                      <w:rPr>
                        <w:rFonts w:ascii="Cambria Math" w:hAnsi="Cambria Math"/>
                        <w:szCs w:val="24"/>
                        <w:lang w:val="en-US"/>
                      </w:rPr>
                      <m:t>v</m:t>
                    </m:r>
                  </m:e>
                </m:acc>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acc>
                  <m:accPr>
                    <m:chr m:val="̇"/>
                    <m:ctrlPr>
                      <w:rPr>
                        <w:rFonts w:ascii="Cambria Math" w:hAnsi="Cambria Math"/>
                        <w:i/>
                        <w:szCs w:val="24"/>
                        <w:lang w:val="en-US" w:eastAsia="en-US"/>
                      </w:rPr>
                    </m:ctrlPr>
                  </m:accPr>
                  <m:e>
                    <m:r>
                      <w:rPr>
                        <w:rFonts w:ascii="Cambria Math" w:hAnsi="Cambria Math"/>
                        <w:szCs w:val="24"/>
                        <w:lang w:val="en-US"/>
                      </w:rPr>
                      <m:t>x</m:t>
                    </m:r>
                  </m:e>
                </m:acc>
              </m:oMath>
            </m:oMathPara>
          </w:p>
        </w:tc>
        <w:tc>
          <w:tcPr>
            <w:tcW w:w="903" w:type="dxa"/>
            <w:vAlign w:val="center"/>
          </w:tcPr>
          <w:p w14:paraId="24576D90" w14:textId="77777777" w:rsidR="000A0710" w:rsidRPr="009E1EA6" w:rsidRDefault="00B74A7C" w:rsidP="00883332">
            <w:pPr>
              <w:pStyle w:val="Textoindependiente"/>
              <w:ind w:firstLine="0"/>
              <w:rPr>
                <w:lang w:val="en-US"/>
              </w:rPr>
            </w:pPr>
            <w:r w:rsidRPr="009E1EA6">
              <w:rPr>
                <w:lang w:val="en-US"/>
              </w:rPr>
              <w:t>(A4)</w:t>
            </w:r>
          </w:p>
        </w:tc>
      </w:tr>
      <w:tr w:rsidR="009E1EA6" w:rsidRPr="009E1EA6" w14:paraId="668F19C2" w14:textId="77777777" w:rsidTr="000C6975">
        <w:tc>
          <w:tcPr>
            <w:tcW w:w="8328" w:type="dxa"/>
            <w:vAlign w:val="center"/>
          </w:tcPr>
          <w:p w14:paraId="74D63096" w14:textId="77777777" w:rsidR="000A0710" w:rsidRPr="009E1EA6" w:rsidRDefault="006E3CB7" w:rsidP="00EB49F7">
            <w:pPr>
              <w:pStyle w:val="Textoindependiente"/>
              <w:ind w:firstLine="0"/>
              <w:rPr>
                <w:szCs w:val="24"/>
                <w:lang w:val="en-US"/>
              </w:rPr>
            </w:pPr>
            <m:oMathPara>
              <m:oMath>
                <m:acc>
                  <m:accPr>
                    <m:chr m:val="̇"/>
                    <m:ctrlPr>
                      <w:rPr>
                        <w:rFonts w:ascii="Cambria Math" w:hAnsi="Cambria Math"/>
                        <w:i/>
                        <w:szCs w:val="24"/>
                        <w:lang w:val="en-US"/>
                      </w:rPr>
                    </m:ctrlPr>
                  </m:accPr>
                  <m:e>
                    <m:r>
                      <w:rPr>
                        <w:rFonts w:ascii="Cambria Math" w:hAnsi="Cambria Math"/>
                        <w:szCs w:val="24"/>
                        <w:lang w:val="en-US"/>
                      </w:rPr>
                      <m:t>w</m:t>
                    </m:r>
                  </m:e>
                </m:acc>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acc>
                  <m:accPr>
                    <m:chr m:val="̇"/>
                    <m:ctrlPr>
                      <w:rPr>
                        <w:rFonts w:ascii="Cambria Math" w:hAnsi="Cambria Math"/>
                        <w:i/>
                        <w:szCs w:val="24"/>
                        <w:lang w:val="en-US" w:eastAsia="en-US"/>
                      </w:rPr>
                    </m:ctrlPr>
                  </m:accPr>
                  <m:e>
                    <m:r>
                      <w:rPr>
                        <w:rFonts w:ascii="Cambria Math" w:hAnsi="Cambria Math"/>
                        <w:szCs w:val="24"/>
                        <w:lang w:val="en-US"/>
                      </w:rPr>
                      <m:t>x</m:t>
                    </m:r>
                  </m:e>
                </m:acc>
              </m:oMath>
            </m:oMathPara>
          </w:p>
        </w:tc>
        <w:tc>
          <w:tcPr>
            <w:tcW w:w="903" w:type="dxa"/>
            <w:vAlign w:val="center"/>
          </w:tcPr>
          <w:p w14:paraId="5812DC02" w14:textId="77777777" w:rsidR="000A0710" w:rsidRPr="009E1EA6" w:rsidRDefault="00B74A7C" w:rsidP="00883332">
            <w:pPr>
              <w:pStyle w:val="Textoindependiente"/>
              <w:ind w:firstLine="0"/>
              <w:rPr>
                <w:lang w:val="en-US"/>
              </w:rPr>
            </w:pPr>
            <w:r w:rsidRPr="009E1EA6">
              <w:rPr>
                <w:lang w:val="en-US"/>
              </w:rPr>
              <w:t>(A5)</w:t>
            </w:r>
          </w:p>
        </w:tc>
      </w:tr>
    </w:tbl>
    <w:p w14:paraId="1ADC09EF" w14:textId="514A9680" w:rsidR="00731941" w:rsidRPr="009E1EA6" w:rsidRDefault="00B74A7C" w:rsidP="00DF5AC5">
      <w:pPr>
        <w:pStyle w:val="Textoindependiente"/>
        <w:ind w:firstLine="0"/>
        <w:rPr>
          <w:szCs w:val="24"/>
        </w:rPr>
      </w:pPr>
      <w:r w:rsidRPr="009E1EA6">
        <w:rPr>
          <w:szCs w:val="24"/>
        </w:rPr>
        <w:t xml:space="preserve">As an example, Figure A2(a) shows the anchor deformations for </w:t>
      </w:r>
      <m:oMath>
        <m:sSub>
          <m:sSubPr>
            <m:ctrlPr>
              <w:rPr>
                <w:rFonts w:ascii="Cambria Math" w:hAnsi="Cambria Math"/>
                <w:szCs w:val="24"/>
              </w:rPr>
            </m:ctrlPr>
          </m:sSubPr>
          <m:e>
            <m:r>
              <w:rPr>
                <w:rFonts w:ascii="Cambria Math" w:hAnsi="Cambria Math"/>
                <w:szCs w:val="24"/>
              </w:rPr>
              <m:t>x</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y</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z</m:t>
            </m:r>
          </m:e>
          <m:sub>
            <m:r>
              <m:rPr>
                <m:sty m:val="p"/>
              </m:rPr>
              <w:rPr>
                <w:rFonts w:ascii="Cambria Math" w:hAnsi="Cambria Math"/>
                <w:szCs w:val="24"/>
              </w:rPr>
              <m:t>0</m:t>
            </m:r>
          </m:sub>
        </m:sSub>
        <m:r>
          <m:rPr>
            <m:sty m:val="p"/>
          </m:rPr>
          <w:rPr>
            <w:rFonts w:ascii="Cambria Math" w:hAnsi="Cambria Math"/>
            <w:szCs w:val="24"/>
          </w:rPr>
          <m:t xml:space="preserve">=0.2 </m:t>
        </m:r>
        <m:r>
          <w:rPr>
            <w:rFonts w:ascii="Cambria Math" w:hAnsi="Cambria Math"/>
            <w:szCs w:val="24"/>
          </w:rPr>
          <m:t>m</m:t>
        </m:r>
      </m:oMath>
      <w:r w:rsidRPr="009E1EA6">
        <w:rPr>
          <w:szCs w:val="24"/>
        </w:rPr>
        <w:t xml:space="preserve"> as </w:t>
      </w:r>
      <w:r w:rsidR="00230E02" w:rsidRPr="009E1EA6">
        <w:rPr>
          <w:szCs w:val="24"/>
        </w:rPr>
        <w:t xml:space="preserve">the </w:t>
      </w:r>
      <w:r w:rsidRPr="009E1EA6">
        <w:rPr>
          <w:szCs w:val="24"/>
        </w:rPr>
        <w:t xml:space="preserve">block displacement </w:t>
      </w:r>
      <m:oMath>
        <m:r>
          <w:rPr>
            <w:rFonts w:ascii="Cambria Math" w:hAnsi="Cambria Math"/>
            <w:szCs w:val="24"/>
          </w:rPr>
          <m:t>x</m:t>
        </m:r>
      </m:oMath>
      <w:r w:rsidRPr="009E1EA6">
        <w:rPr>
          <w:szCs w:val="24"/>
        </w:rPr>
        <w:t xml:space="preserve"> increases monotonically from 0 to 0.5 m. Notice that for </w:t>
      </w:r>
      <m:oMath>
        <m:r>
          <w:rPr>
            <w:rFonts w:ascii="Cambria Math" w:hAnsi="Cambria Math"/>
            <w:szCs w:val="24"/>
          </w:rPr>
          <m:t>x</m:t>
        </m:r>
      </m:oMath>
      <w:r w:rsidRPr="009E1EA6">
        <w:rPr>
          <w:szCs w:val="24"/>
        </w:rPr>
        <w:t xml:space="preserve"> values greater than </w:t>
      </w:r>
      <m:oMath>
        <m:r>
          <m:rPr>
            <m:sty m:val="p"/>
          </m:rPr>
          <w:rPr>
            <w:rFonts w:ascii="Cambria Math" w:hAnsi="Cambria Math"/>
            <w:szCs w:val="24"/>
          </w:rPr>
          <m:t xml:space="preserve">50% </m:t>
        </m:r>
        <m:sSub>
          <m:sSubPr>
            <m:ctrlPr>
              <w:rPr>
                <w:rFonts w:ascii="Cambria Math" w:hAnsi="Cambria Math"/>
                <w:szCs w:val="24"/>
              </w:rPr>
            </m:ctrlPr>
          </m:sSubPr>
          <m:e>
            <m:r>
              <w:rPr>
                <w:rFonts w:ascii="Cambria Math" w:hAnsi="Cambria Math"/>
                <w:szCs w:val="24"/>
              </w:rPr>
              <m:t>x</m:t>
            </m:r>
          </m:e>
          <m:sub>
            <m:r>
              <m:rPr>
                <m:sty m:val="p"/>
              </m:rPr>
              <w:rPr>
                <w:rFonts w:ascii="Cambria Math" w:hAnsi="Cambria Math"/>
                <w:szCs w:val="24"/>
              </w:rPr>
              <m:t>0</m:t>
            </m:r>
          </m:sub>
        </m:sSub>
      </m:oMath>
      <w:r w:rsidRPr="009E1EA6">
        <w:rPr>
          <w:rFonts w:ascii="Cambria Math" w:hAnsi="Cambria Math"/>
          <w:szCs w:val="24"/>
        </w:rPr>
        <w:t>,</w:t>
      </w:r>
      <w:r w:rsidRPr="009E1EA6">
        <w:rPr>
          <w:szCs w:val="24"/>
        </w:rPr>
        <w:t xml:space="preserve"> the anchor deformations </w:t>
      </w:r>
      <m:oMath>
        <m:r>
          <w:rPr>
            <w:rFonts w:ascii="Cambria Math" w:hAnsi="Cambria Math"/>
            <w:szCs w:val="24"/>
          </w:rPr>
          <m:t>v</m:t>
        </m:r>
      </m:oMath>
      <w:r w:rsidRPr="009E1EA6">
        <w:rPr>
          <w:szCs w:val="24"/>
        </w:rPr>
        <w:t xml:space="preserve"> and </w:t>
      </w:r>
      <m:oMath>
        <m:r>
          <w:rPr>
            <w:rFonts w:ascii="Cambria Math" w:hAnsi="Cambria Math"/>
            <w:szCs w:val="24"/>
          </w:rPr>
          <m:t>w</m:t>
        </m:r>
      </m:oMath>
      <w:r w:rsidRPr="009E1EA6">
        <w:rPr>
          <w:szCs w:val="24"/>
        </w:rPr>
        <w:t xml:space="preserve"> depart from the linear approximation </w:t>
      </w:r>
      <m:oMath>
        <m:r>
          <m:rPr>
            <m:sty m:val="p"/>
          </m:rPr>
          <w:rPr>
            <w:rFonts w:ascii="Cambria Math" w:hAnsi="Cambria Math"/>
            <w:szCs w:val="24"/>
          </w:rPr>
          <m:t>±</m:t>
        </m:r>
        <m:r>
          <w:rPr>
            <w:rFonts w:ascii="Cambria Math" w:hAnsi="Cambria Math"/>
            <w:szCs w:val="24"/>
          </w:rPr>
          <m:t>x</m:t>
        </m:r>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x</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m:t>
            </m:r>
          </m:e>
          <m:sub>
            <m:r>
              <m:rPr>
                <m:sty m:val="p"/>
              </m:rPr>
              <w:rPr>
                <w:rFonts w:ascii="Cambria Math" w:hAnsi="Cambria Math"/>
                <w:szCs w:val="24"/>
              </w:rPr>
              <m:t>0</m:t>
            </m:r>
          </m:sub>
        </m:sSub>
        <m:r>
          <m:rPr>
            <m:sty m:val="p"/>
          </m:rPr>
          <w:rPr>
            <w:rFonts w:ascii="Cambria Math" w:hAnsi="Cambria Math"/>
            <w:szCs w:val="24"/>
          </w:rPr>
          <m:t>)</m:t>
        </m:r>
      </m:oMath>
      <w:r w:rsidRPr="009E1EA6">
        <w:rPr>
          <w:szCs w:val="24"/>
        </w:rPr>
        <w:t xml:space="preserve"> used by Lopez Garcia and Soong (2003</w:t>
      </w:r>
      <w:r w:rsidRPr="009E1EA6">
        <w:rPr>
          <w:szCs w:val="24"/>
          <w:vertAlign w:val="superscript"/>
        </w:rPr>
        <w:t>b</w:t>
      </w:r>
      <w:r w:rsidR="00D4166A" w:rsidRPr="009E1EA6">
        <w:rPr>
          <w:szCs w:val="24"/>
        </w:rPr>
        <w:t xml:space="preserve">). The anchors were modeled using a </w:t>
      </w:r>
      <w:r w:rsidR="00F558D7" w:rsidRPr="009E1EA6">
        <w:rPr>
          <w:szCs w:val="24"/>
        </w:rPr>
        <w:t>pres</w:t>
      </w:r>
      <w:r w:rsidR="00D4166A" w:rsidRPr="009E1EA6">
        <w:rPr>
          <w:szCs w:val="24"/>
        </w:rPr>
        <w:t>tressed elasto-plastic-brittle (PEPB) element (see full derivation in Subsection 2.1.2.) with stiffness</w:t>
      </w:r>
      <m:oMath>
        <m:r>
          <m:rPr>
            <m:sty m:val="p"/>
          </m:rPr>
          <w:rPr>
            <w:rFonts w:ascii="Cambria Math" w:hAnsi="Cambria Math"/>
            <w:szCs w:val="24"/>
          </w:rPr>
          <m:t xml:space="preserve"> </m:t>
        </m:r>
        <m:r>
          <w:rPr>
            <w:rFonts w:ascii="Cambria Math" w:hAnsi="Cambria Math"/>
            <w:szCs w:val="24"/>
          </w:rPr>
          <m:t>K=1030 kN</m:t>
        </m:r>
      </m:oMath>
      <w:r w:rsidR="00D4166A" w:rsidRPr="009E1EA6">
        <w:rPr>
          <w:rFonts w:eastAsiaTheme="minorEastAsia"/>
          <w:szCs w:val="24"/>
        </w:rPr>
        <w:t xml:space="preserve">, strength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u</m:t>
            </m:r>
          </m:sub>
        </m:sSub>
        <m:r>
          <w:rPr>
            <w:rFonts w:ascii="Cambria Math" w:eastAsiaTheme="minorEastAsia" w:hAnsi="Cambria Math"/>
            <w:szCs w:val="24"/>
          </w:rPr>
          <m:t>=34.1 kN</m:t>
        </m:r>
      </m:oMath>
      <w:r w:rsidR="00D4166A" w:rsidRPr="009E1EA6">
        <w:rPr>
          <w:rFonts w:eastAsiaTheme="minorEastAsia"/>
          <w:szCs w:val="24"/>
        </w:rPr>
        <w:t xml:space="preserve"> in tension and compression, ductility ratio</w:t>
      </w:r>
      <m:oMath>
        <m:r>
          <m:rPr>
            <m:sty m:val="p"/>
          </m:rPr>
          <w:rPr>
            <w:rFonts w:ascii="Cambria Math" w:eastAsiaTheme="minorEastAsia" w:hAnsi="Cambria Math"/>
            <w:szCs w:val="24"/>
          </w:rPr>
          <m:t xml:space="preserve"> </m:t>
        </m:r>
        <m:r>
          <w:rPr>
            <w:rFonts w:ascii="Cambria Math" w:eastAsiaTheme="minorEastAsia" w:hAnsi="Cambria Math"/>
            <w:szCs w:val="24"/>
          </w:rPr>
          <m:t>μ=2.0</m:t>
        </m:r>
      </m:oMath>
      <w:r w:rsidR="00D4166A" w:rsidRPr="009E1EA6">
        <w:rPr>
          <w:rFonts w:eastAsiaTheme="minorEastAsia"/>
          <w:szCs w:val="24"/>
        </w:rPr>
        <w:t xml:space="preserve">, and </w:t>
      </w:r>
      <w:r w:rsidR="00F558D7" w:rsidRPr="009E1EA6">
        <w:rPr>
          <w:rFonts w:eastAsiaTheme="minorEastAsia"/>
          <w:szCs w:val="24"/>
        </w:rPr>
        <w:t>pres</w:t>
      </w:r>
      <w:r w:rsidR="00D4166A" w:rsidRPr="009E1EA6">
        <w:rPr>
          <w:rFonts w:eastAsiaTheme="minorEastAsia"/>
          <w:szCs w:val="24"/>
        </w:rPr>
        <w:t xml:space="preserve">tress load </w:t>
      </w:r>
      <m:oMath>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0</m:t>
            </m:r>
          </m:sub>
        </m:sSub>
        <m:r>
          <w:rPr>
            <w:rFonts w:ascii="Cambria Math" w:eastAsiaTheme="minorEastAsia" w:hAnsi="Cambria Math"/>
            <w:szCs w:val="24"/>
          </w:rPr>
          <m:t>=17.06 kN</m:t>
        </m:r>
      </m:oMath>
      <w:r w:rsidR="004E4513" w:rsidRPr="009E1EA6">
        <w:rPr>
          <w:rFonts w:eastAsiaTheme="minorEastAsia"/>
          <w:szCs w:val="24"/>
        </w:rPr>
        <w:t>, i.e., 50% of the ultimate strength</w:t>
      </w:r>
      <w:r w:rsidR="00D4166A" w:rsidRPr="009E1EA6">
        <w:rPr>
          <w:szCs w:val="24"/>
        </w:rPr>
        <w:t xml:space="preserve">. At each time step, the left anchor load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v</m:t>
            </m:r>
          </m:sub>
        </m:sSub>
      </m:oMath>
      <w:r w:rsidR="00261BD1" w:rsidRPr="009E1EA6">
        <w:rPr>
          <w:szCs w:val="24"/>
        </w:rPr>
        <w:t xml:space="preserve"> and the right anchor load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w</m:t>
            </m:r>
          </m:sub>
        </m:sSub>
      </m:oMath>
      <w:r w:rsidR="00261BD1" w:rsidRPr="009E1EA6">
        <w:rPr>
          <w:szCs w:val="24"/>
        </w:rPr>
        <w:t xml:space="preserve"> are computed as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1A8B9181" w14:textId="77777777" w:rsidTr="00563FAC">
        <w:tc>
          <w:tcPr>
            <w:tcW w:w="8328" w:type="dxa"/>
            <w:vAlign w:val="center"/>
          </w:tcPr>
          <w:p w14:paraId="0675E33B" w14:textId="77777777" w:rsidR="00731941" w:rsidRPr="009E1EA6" w:rsidRDefault="006E3CB7" w:rsidP="00D4166A">
            <w:pPr>
              <w:pStyle w:val="Textoindependiente"/>
              <w:ind w:firstLine="0"/>
              <w:rPr>
                <w:szCs w:val="24"/>
                <w:lang w:val="en-US"/>
              </w:rPr>
            </w:pPr>
            <m:oMathPara>
              <m:oMath>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NL</m:t>
                    </m:r>
                  </m:sub>
                </m:sSub>
                <m:d>
                  <m:dPr>
                    <m:ctrlPr>
                      <w:rPr>
                        <w:rFonts w:ascii="Cambria Math" w:hAnsi="Cambria Math"/>
                        <w:i/>
                        <w:szCs w:val="24"/>
                        <w:lang w:val="en-US"/>
                      </w:rPr>
                    </m:ctrlPr>
                  </m:dPr>
                  <m:e>
                    <m:r>
                      <w:rPr>
                        <w:rFonts w:ascii="Cambria Math" w:hAnsi="Cambria Math"/>
                        <w:szCs w:val="24"/>
                        <w:lang w:val="en-US"/>
                      </w:rPr>
                      <m:t>t,v,</m:t>
                    </m:r>
                    <m:acc>
                      <m:accPr>
                        <m:chr m:val="̇"/>
                        <m:ctrlPr>
                          <w:rPr>
                            <w:rFonts w:ascii="Cambria Math" w:hAnsi="Cambria Math"/>
                            <w:i/>
                            <w:szCs w:val="24"/>
                            <w:lang w:val="en-US"/>
                          </w:rPr>
                        </m:ctrlPr>
                      </m:accPr>
                      <m:e>
                        <m:r>
                          <w:rPr>
                            <w:rFonts w:ascii="Cambria Math" w:hAnsi="Cambria Math"/>
                            <w:szCs w:val="24"/>
                            <w:lang w:val="en-US"/>
                          </w:rPr>
                          <m:t>v</m:t>
                        </m:r>
                      </m:e>
                    </m:acc>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v</m:t>
                        </m:r>
                      </m:sub>
                    </m:sSub>
                  </m:e>
                </m:d>
                <m:r>
                  <w:rPr>
                    <w:rFonts w:ascii="Cambria Math" w:hAnsi="Cambria Math"/>
                    <w:szCs w:val="24"/>
                    <w:lang w:val="en-US"/>
                  </w:rPr>
                  <m:t xml:space="preserve"> </m:t>
                </m:r>
              </m:oMath>
            </m:oMathPara>
          </w:p>
        </w:tc>
        <w:tc>
          <w:tcPr>
            <w:tcW w:w="903" w:type="dxa"/>
            <w:vAlign w:val="center"/>
          </w:tcPr>
          <w:p w14:paraId="739AF3E5" w14:textId="77777777" w:rsidR="00731941" w:rsidRPr="009E1EA6" w:rsidRDefault="00B74A7C" w:rsidP="00883332">
            <w:pPr>
              <w:pStyle w:val="Textoindependiente"/>
              <w:ind w:firstLine="0"/>
              <w:rPr>
                <w:lang w:val="en-US"/>
              </w:rPr>
            </w:pPr>
            <w:r w:rsidRPr="009E1EA6">
              <w:rPr>
                <w:lang w:val="en-US"/>
              </w:rPr>
              <w:t>(A6)</w:t>
            </w:r>
          </w:p>
        </w:tc>
      </w:tr>
      <w:tr w:rsidR="009E1EA6" w:rsidRPr="009E1EA6" w14:paraId="000EB4F7" w14:textId="77777777" w:rsidTr="00563FAC">
        <w:tc>
          <w:tcPr>
            <w:tcW w:w="8328" w:type="dxa"/>
            <w:vAlign w:val="center"/>
          </w:tcPr>
          <w:p w14:paraId="7759B855" w14:textId="77777777" w:rsidR="00731941" w:rsidRPr="009E1EA6" w:rsidRDefault="006E3CB7" w:rsidP="00D16D27">
            <w:pPr>
              <w:pStyle w:val="Textoindependiente"/>
              <w:ind w:firstLine="0"/>
              <w:rPr>
                <w:szCs w:val="24"/>
                <w:lang w:val="en-US"/>
              </w:rPr>
            </w:pPr>
            <m:oMathPara>
              <m:oMath>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NL</m:t>
                    </m:r>
                  </m:sub>
                </m:sSub>
                <m:d>
                  <m:dPr>
                    <m:ctrlPr>
                      <w:rPr>
                        <w:rFonts w:ascii="Cambria Math" w:hAnsi="Cambria Math"/>
                        <w:i/>
                        <w:szCs w:val="24"/>
                        <w:lang w:val="en-US"/>
                      </w:rPr>
                    </m:ctrlPr>
                  </m:dPr>
                  <m:e>
                    <m:r>
                      <w:rPr>
                        <w:rFonts w:ascii="Cambria Math" w:hAnsi="Cambria Math"/>
                        <w:szCs w:val="24"/>
                        <w:lang w:val="en-US"/>
                      </w:rPr>
                      <m:t>t,w,</m:t>
                    </m:r>
                    <m:acc>
                      <m:accPr>
                        <m:chr m:val="̇"/>
                        <m:ctrlPr>
                          <w:rPr>
                            <w:rFonts w:ascii="Cambria Math" w:hAnsi="Cambria Math"/>
                            <w:i/>
                            <w:szCs w:val="24"/>
                            <w:lang w:val="en-US"/>
                          </w:rPr>
                        </m:ctrlPr>
                      </m:accPr>
                      <m:e>
                        <m:r>
                          <w:rPr>
                            <w:rFonts w:ascii="Cambria Math" w:hAnsi="Cambria Math"/>
                            <w:szCs w:val="24"/>
                            <w:lang w:val="en-US"/>
                          </w:rPr>
                          <m:t>w</m:t>
                        </m:r>
                      </m:e>
                    </m:acc>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w</m:t>
                        </m:r>
                      </m:sub>
                    </m:sSub>
                  </m:e>
                </m:d>
              </m:oMath>
            </m:oMathPara>
          </w:p>
        </w:tc>
        <w:tc>
          <w:tcPr>
            <w:tcW w:w="903" w:type="dxa"/>
            <w:vAlign w:val="center"/>
          </w:tcPr>
          <w:p w14:paraId="4801971B" w14:textId="77777777" w:rsidR="00731941" w:rsidRPr="009E1EA6" w:rsidRDefault="00B74A7C" w:rsidP="00883332">
            <w:pPr>
              <w:pStyle w:val="Textoindependiente"/>
              <w:ind w:firstLine="0"/>
              <w:rPr>
                <w:lang w:val="en-US"/>
              </w:rPr>
            </w:pPr>
            <w:r w:rsidRPr="009E1EA6">
              <w:rPr>
                <w:lang w:val="en-US"/>
              </w:rPr>
              <w:t>(A7)</w:t>
            </w:r>
          </w:p>
        </w:tc>
      </w:tr>
    </w:tbl>
    <w:p w14:paraId="4F410627" w14:textId="6A785D5F" w:rsidR="00731941" w:rsidRPr="009E1EA6" w:rsidRDefault="00B74A7C" w:rsidP="00976635">
      <w:pPr>
        <w:pStyle w:val="Textoindependiente"/>
        <w:ind w:firstLine="0"/>
        <w:rPr>
          <w:rFonts w:eastAsiaTheme="minorEastAsia"/>
          <w:szCs w:val="24"/>
        </w:rPr>
      </w:pPr>
      <w:r w:rsidRPr="009E1EA6">
        <w:rPr>
          <w:szCs w:val="24"/>
        </w:rPr>
        <w:t xml:space="preserve">where </w:t>
      </w:r>
      <m:oMath>
        <m:sSub>
          <m:sSubPr>
            <m:ctrlPr>
              <w:rPr>
                <w:rFonts w:ascii="Cambria Math" w:hAnsi="Cambria Math"/>
                <w:i/>
                <w:szCs w:val="24"/>
              </w:rPr>
            </m:ctrlPr>
          </m:sSubPr>
          <m:e>
            <m:r>
              <w:rPr>
                <w:rFonts w:ascii="Cambria Math" w:hAnsi="Cambria Math"/>
                <w:szCs w:val="24"/>
              </w:rPr>
              <m:t>z</m:t>
            </m:r>
          </m:e>
          <m:sub>
            <m:r>
              <w:rPr>
                <w:rFonts w:ascii="Cambria Math" w:hAnsi="Cambria Math"/>
                <w:szCs w:val="24"/>
              </w:rPr>
              <m:t>v</m:t>
            </m:r>
          </m:sub>
        </m:sSub>
      </m:oMath>
      <w:r w:rsidRPr="009E1EA6">
        <w:rPr>
          <w:rFonts w:eastAsiaTheme="minorEastAsia"/>
          <w:szCs w:val="24"/>
        </w:rPr>
        <w:t xml:space="preserve"> and </w:t>
      </w:r>
      <m:oMath>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w</m:t>
            </m:r>
          </m:sub>
        </m:sSub>
      </m:oMath>
      <w:r w:rsidR="00D4166A" w:rsidRPr="009E1EA6">
        <w:rPr>
          <w:rFonts w:eastAsiaTheme="minorEastAsia"/>
          <w:szCs w:val="24"/>
        </w:rPr>
        <w:t xml:space="preserve"> are the </w:t>
      </w:r>
      <w:r w:rsidRPr="009E1EA6">
        <w:rPr>
          <w:rFonts w:eastAsia="MS Mincho"/>
          <w:szCs w:val="24"/>
        </w:rPr>
        <w:t>anchor</w:t>
      </w:r>
      <w:r w:rsidR="00D4166A" w:rsidRPr="009E1EA6">
        <w:rPr>
          <w:rFonts w:eastAsiaTheme="minorEastAsia"/>
          <w:szCs w:val="24"/>
        </w:rPr>
        <w:t xml:space="preserve"> memory parameters, and the function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NL</m:t>
            </m:r>
          </m:sub>
        </m:sSub>
        <m:d>
          <m:dPr>
            <m:ctrlPr>
              <w:rPr>
                <w:rFonts w:ascii="Cambria Math" w:eastAsiaTheme="minorEastAsia" w:hAnsi="Cambria Math"/>
                <w:i/>
                <w:szCs w:val="24"/>
              </w:rPr>
            </m:ctrlPr>
          </m:dPr>
          <m:e>
            <m:r>
              <w:rPr>
                <w:rFonts w:ascii="Cambria Math" w:eastAsiaTheme="minorEastAsia" w:hAnsi="Cambria Math"/>
                <w:szCs w:val="24"/>
              </w:rPr>
              <m:t>⋅</m:t>
            </m:r>
          </m:e>
        </m:d>
      </m:oMath>
      <w:r w:rsidR="00D4166A" w:rsidRPr="009E1EA6">
        <w:rPr>
          <w:rFonts w:eastAsiaTheme="minorEastAsia"/>
          <w:szCs w:val="24"/>
        </w:rPr>
        <w:t xml:space="preserve"> represents the </w:t>
      </w:r>
      <w:r w:rsidR="00F558D7" w:rsidRPr="009E1EA6">
        <w:rPr>
          <w:rFonts w:eastAsiaTheme="minorEastAsia"/>
          <w:szCs w:val="24"/>
        </w:rPr>
        <w:t>nonl</w:t>
      </w:r>
      <w:r w:rsidR="00D4166A" w:rsidRPr="009E1EA6">
        <w:rPr>
          <w:rFonts w:eastAsiaTheme="minorEastAsia"/>
          <w:szCs w:val="24"/>
        </w:rPr>
        <w:t xml:space="preserve">inear constitutive relation. For this loading path, the forces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v</m:t>
            </m:r>
          </m:sub>
        </m:sSub>
      </m:oMath>
      <w:r w:rsidR="00D4166A" w:rsidRPr="009E1EA6">
        <w:rPr>
          <w:rFonts w:eastAsiaTheme="minorEastAsia"/>
          <w:szCs w:val="24"/>
        </w:rPr>
        <w:t xml:space="preserve"> and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w</m:t>
            </m:r>
          </m:sub>
        </m:sSub>
      </m:oMath>
      <w:r w:rsidRPr="009E1EA6">
        <w:rPr>
          <w:rFonts w:eastAsiaTheme="minorEastAsia"/>
          <w:szCs w:val="24"/>
        </w:rPr>
        <w:t xml:space="preserve"> are shown in Figure A2(b); notice that for displacements less than 0.</w:t>
      </w:r>
      <w:r w:rsidRPr="009E1EA6">
        <w:rPr>
          <w:rFonts w:eastAsia="MS Mincho"/>
          <w:szCs w:val="24"/>
        </w:rPr>
        <w:t>05 m</w:t>
      </w:r>
      <w:r w:rsidRPr="009E1EA6">
        <w:rPr>
          <w:rFonts w:eastAsiaTheme="minorEastAsia"/>
          <w:szCs w:val="24"/>
        </w:rPr>
        <w:t xml:space="preserve">, the loads match the small displacement formulation (i.e., </w:t>
      </w:r>
      <m:oMath>
        <m:sSub>
          <m:sSubPr>
            <m:ctrlPr>
              <w:rPr>
                <w:rFonts w:ascii="Cambria Math" w:eastAsiaTheme="minorEastAsia" w:hAnsi="Cambria Math"/>
                <w:i/>
                <w:szCs w:val="24"/>
              </w:rPr>
            </m:ctrlPr>
          </m:sSubPr>
          <m:e>
            <m:r>
              <w:rPr>
                <w:rFonts w:ascii="Cambria Math" w:eastAsiaTheme="minorEastAsia" w:hAnsi="Cambria Math"/>
                <w:szCs w:val="24"/>
              </w:rPr>
              <m:t>f</m:t>
            </m:r>
          </m:e>
          <m:sub>
            <m:r>
              <w:rPr>
                <w:rFonts w:ascii="Cambria Math" w:eastAsiaTheme="minorEastAsia" w:hAnsi="Cambria Math"/>
                <w:szCs w:val="24"/>
              </w:rPr>
              <m:t>v,w</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0</m:t>
            </m:r>
          </m:sub>
        </m:sSub>
        <m:r>
          <w:rPr>
            <w:rFonts w:ascii="Cambria Math" w:eastAsiaTheme="minorEastAsia" w:hAnsi="Cambria Math"/>
            <w:szCs w:val="24"/>
          </w:rPr>
          <m:t>±K x (</m:t>
        </m:r>
        <m:sSub>
          <m:sSubPr>
            <m:ctrlPr>
              <w:rPr>
                <w:rFonts w:ascii="Cambria Math" w:eastAsiaTheme="minorEastAsia" w:hAnsi="Cambria Math"/>
                <w:i/>
                <w:szCs w:val="24"/>
              </w:rPr>
            </m:ctrlPr>
          </m:sSubPr>
          <m:e>
            <m:r>
              <w:rPr>
                <w:rFonts w:ascii="Cambria Math" w:eastAsiaTheme="minorEastAsia" w:hAnsi="Cambria Math"/>
                <w:szCs w:val="24"/>
              </w:rPr>
              <m:t>x</m:t>
            </m:r>
          </m:e>
          <m:sub>
            <m:r>
              <w:rPr>
                <w:rFonts w:ascii="Cambria Math" w:eastAsiaTheme="minorEastAsia" w:hAnsi="Cambria Math"/>
                <w:szCs w:val="24"/>
              </w:rPr>
              <m:t>0</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L</m:t>
            </m:r>
          </m:e>
          <m:sub>
            <m:r>
              <w:rPr>
                <w:rFonts w:ascii="Cambria Math" w:eastAsiaTheme="minorEastAsia" w:hAnsi="Cambria Math"/>
                <w:szCs w:val="24"/>
              </w:rPr>
              <m:t>0</m:t>
            </m:r>
          </m:sub>
        </m:sSub>
        <m:r>
          <w:rPr>
            <w:rFonts w:ascii="Cambria Math" w:eastAsiaTheme="minorEastAsia" w:hAnsi="Cambria Math"/>
            <w:szCs w:val="24"/>
          </w:rPr>
          <m:t>)</m:t>
        </m:r>
      </m:oMath>
      <w:r w:rsidRPr="009E1EA6">
        <w:rPr>
          <w:rFonts w:eastAsiaTheme="minorEastAsia"/>
          <w:szCs w:val="24"/>
        </w:rPr>
        <w:t xml:space="preserve"> defined in Lopez Garcia and Soong </w:t>
      </w:r>
      <w:r w:rsidR="00230E02" w:rsidRPr="009E1EA6">
        <w:rPr>
          <w:rFonts w:eastAsiaTheme="minorEastAsia"/>
          <w:szCs w:val="24"/>
        </w:rPr>
        <w:t>(</w:t>
      </w:r>
      <w:r w:rsidRPr="009E1EA6">
        <w:rPr>
          <w:rFonts w:eastAsiaTheme="minorEastAsia"/>
          <w:szCs w:val="24"/>
        </w:rPr>
        <w:t>2003</w:t>
      </w:r>
      <w:r w:rsidRPr="009E1EA6">
        <w:rPr>
          <w:rFonts w:eastAsiaTheme="minorEastAsia"/>
          <w:szCs w:val="24"/>
          <w:vertAlign w:val="superscript"/>
        </w:rPr>
        <w:t>b</w:t>
      </w:r>
      <w:r w:rsidR="00D07660" w:rsidRPr="009E1EA6">
        <w:rPr>
          <w:rFonts w:eastAsiaTheme="minorEastAsia"/>
          <w:szCs w:val="24"/>
        </w:rPr>
        <w:t>). At large displacements, the anchors exhibit plastic behavior and both rupture in tension.</w:t>
      </w:r>
    </w:p>
    <w:p w14:paraId="0C95D645" w14:textId="77777777" w:rsidR="00731941" w:rsidRPr="009E1EA6" w:rsidRDefault="00B74A7C" w:rsidP="00976635">
      <w:pPr>
        <w:pStyle w:val="Textoindependiente"/>
        <w:rPr>
          <w:szCs w:val="24"/>
        </w:rPr>
      </w:pPr>
      <w:r w:rsidRPr="009E1EA6">
        <w:rPr>
          <w:rFonts w:eastAsiaTheme="minorEastAsia"/>
          <w:szCs w:val="24"/>
        </w:rPr>
        <w:t xml:space="preserve">To evaluate the terms </w:t>
      </w:r>
      <m:oMath>
        <m:r>
          <w:rPr>
            <w:rFonts w:ascii="Cambria Math" w:eastAsiaTheme="minorEastAsia" w:hAnsi="Cambria Math"/>
            <w:szCs w:val="24"/>
          </w:rPr>
          <m:t>FX</m:t>
        </m:r>
      </m:oMath>
      <w:r w:rsidRPr="009E1EA6">
        <w:rPr>
          <w:rFonts w:eastAsiaTheme="minorEastAsia"/>
          <w:szCs w:val="24"/>
        </w:rPr>
        <w:t xml:space="preserve"> and </w:t>
      </w:r>
      <m:oMath>
        <m:r>
          <w:rPr>
            <w:rFonts w:ascii="Cambria Math" w:eastAsiaTheme="minorEastAsia" w:hAnsi="Cambria Math"/>
            <w:szCs w:val="24"/>
          </w:rPr>
          <m:t>FY</m:t>
        </m:r>
      </m:oMath>
      <w:r w:rsidR="00EB7B9F" w:rsidRPr="009E1EA6">
        <w:rPr>
          <w:rFonts w:eastAsiaTheme="minorEastAsia"/>
          <w:szCs w:val="24"/>
        </w:rPr>
        <w:t xml:space="preserve"> of Equation A1, we decomposed the anchor loads into their horizontal and vertical components. Using basic trigonometry, t</w:t>
      </w:r>
      <w:r w:rsidR="00261BD1" w:rsidRPr="009E1EA6">
        <w:rPr>
          <w:szCs w:val="24"/>
        </w:rPr>
        <w:t>he horizontal component of the left and right anchors are</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1F10B975" w14:textId="77777777" w:rsidTr="00563FAC">
        <w:tc>
          <w:tcPr>
            <w:tcW w:w="8328" w:type="dxa"/>
            <w:vAlign w:val="center"/>
          </w:tcPr>
          <w:p w14:paraId="6B49DCD8" w14:textId="705CBAD5" w:rsidR="00731941" w:rsidRPr="009E1EA6" w:rsidRDefault="006E3CB7" w:rsidP="00724949">
            <w:pPr>
              <w:pStyle w:val="Textoindependiente"/>
              <w:ind w:firstLine="0"/>
              <w:rPr>
                <w:szCs w:val="24"/>
                <w:lang w:val="en-US"/>
              </w:rPr>
            </w:pPr>
            <m:oMathPara>
              <m:oMath>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vx</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wx</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oMath>
            </m:oMathPara>
          </w:p>
        </w:tc>
        <w:tc>
          <w:tcPr>
            <w:tcW w:w="903" w:type="dxa"/>
            <w:vAlign w:val="center"/>
          </w:tcPr>
          <w:p w14:paraId="0BAA4B20" w14:textId="77777777" w:rsidR="00731941" w:rsidRPr="009E1EA6" w:rsidRDefault="00B74A7C" w:rsidP="00883332">
            <w:pPr>
              <w:pStyle w:val="Textoindependiente"/>
              <w:ind w:firstLine="0"/>
              <w:rPr>
                <w:lang w:val="en-US"/>
              </w:rPr>
            </w:pPr>
            <w:r w:rsidRPr="009E1EA6">
              <w:rPr>
                <w:lang w:val="en-US"/>
              </w:rPr>
              <w:t>(A8)</w:t>
            </w:r>
          </w:p>
        </w:tc>
      </w:tr>
    </w:tbl>
    <w:p w14:paraId="5FA78522" w14:textId="671D484B" w:rsidR="00731941" w:rsidRPr="009E1EA6" w:rsidRDefault="00D07660" w:rsidP="00976635">
      <w:pPr>
        <w:pStyle w:val="Textoindependiente"/>
        <w:ind w:firstLine="0"/>
        <w:rPr>
          <w:rFonts w:eastAsiaTheme="minorEastAsia"/>
          <w:szCs w:val="24"/>
        </w:rPr>
      </w:pPr>
      <w:r w:rsidRPr="009E1EA6">
        <w:rPr>
          <w:rFonts w:eastAsiaTheme="minorEastAsia"/>
          <w:szCs w:val="24"/>
        </w:rPr>
        <w:t xml:space="preserve">from </w:t>
      </w:r>
      <w:r w:rsidR="005C246E" w:rsidRPr="009E1EA6">
        <w:rPr>
          <w:rFonts w:eastAsiaTheme="minorEastAsia"/>
          <w:szCs w:val="24"/>
        </w:rPr>
        <w:t xml:space="preserve">which </w:t>
      </w:r>
      <w:r w:rsidRPr="009E1EA6">
        <w:rPr>
          <w:rFonts w:eastAsiaTheme="minorEastAsia"/>
          <w:szCs w:val="24"/>
        </w:rPr>
        <w:t>the net horizontal force is (Figure A</w:t>
      </w:r>
      <w:r w:rsidR="00AB1A73" w:rsidRPr="009E1EA6">
        <w:rPr>
          <w:rFonts w:eastAsiaTheme="minorEastAsia"/>
          <w:szCs w:val="24"/>
        </w:rPr>
        <w:t>2</w:t>
      </w:r>
      <w:r w:rsidRPr="009E1EA6">
        <w:rPr>
          <w:rFonts w:eastAsiaTheme="minorEastAsia"/>
          <w:szCs w:val="24"/>
        </w:rPr>
        <w:t>(</w:t>
      </w:r>
      <w:r w:rsidR="00AB1A73" w:rsidRPr="009E1EA6">
        <w:rPr>
          <w:rFonts w:eastAsiaTheme="minorEastAsia"/>
          <w:szCs w:val="24"/>
        </w:rPr>
        <w:t>c</w:t>
      </w:r>
      <w:r w:rsidRPr="009E1EA6">
        <w:rPr>
          <w:rFonts w:eastAsiaTheme="minorEastAsia"/>
          <w:szCs w:val="24"/>
        </w:rPr>
        <w:t>))</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5EC7CF0C" w14:textId="77777777" w:rsidTr="00563FAC">
        <w:tc>
          <w:tcPr>
            <w:tcW w:w="8328" w:type="dxa"/>
            <w:vAlign w:val="center"/>
          </w:tcPr>
          <w:p w14:paraId="38AB5C11" w14:textId="77777777" w:rsidR="00731941" w:rsidRPr="009E1EA6" w:rsidRDefault="00B74A7C" w:rsidP="00CD01C8">
            <w:pPr>
              <w:pStyle w:val="Textoindependiente"/>
              <w:ind w:firstLine="0"/>
              <w:rPr>
                <w:szCs w:val="24"/>
                <w:lang w:val="en-US"/>
              </w:rPr>
            </w:pPr>
            <m:oMathPara>
              <m:oMath>
                <m:r>
                  <w:rPr>
                    <w:rFonts w:ascii="Cambria Math" w:eastAsiaTheme="minorEastAsia" w:hAnsi="Cambria Math"/>
                    <w:szCs w:val="24"/>
                    <w:lang w:val="en-US"/>
                  </w:rPr>
                  <w:lastRenderedPageBreak/>
                  <m:t>FX=2</m:t>
                </m:r>
                <m:sSub>
                  <m:sSubPr>
                    <m:ctrlPr>
                      <w:rPr>
                        <w:rFonts w:ascii="Cambria Math" w:eastAsiaTheme="minorEastAsia" w:hAnsi="Cambria Math"/>
                        <w:i/>
                        <w:szCs w:val="24"/>
                        <w:lang w:val="en-US"/>
                      </w:rPr>
                    </m:ctrlPr>
                  </m:sSubPr>
                  <m:e>
                    <m:r>
                      <w:rPr>
                        <w:rFonts w:ascii="Cambria Math" w:eastAsiaTheme="minorEastAsia" w:hAnsi="Cambria Math"/>
                        <w:szCs w:val="24"/>
                        <w:lang w:val="en-US"/>
                      </w:rPr>
                      <m:t>F</m:t>
                    </m:r>
                  </m:e>
                  <m:sub>
                    <m:r>
                      <w:rPr>
                        <w:rFonts w:ascii="Cambria Math" w:eastAsiaTheme="minorEastAsia" w:hAnsi="Cambria Math"/>
                        <w:szCs w:val="24"/>
                        <w:lang w:val="en-US"/>
                      </w:rPr>
                      <m:t>vx</m:t>
                    </m:r>
                  </m:sub>
                </m:sSub>
                <m:r>
                  <w:rPr>
                    <w:rFonts w:ascii="Cambria Math" w:eastAsiaTheme="minorEastAsia" w:hAnsi="Cambria Math"/>
                    <w:szCs w:val="24"/>
                    <w:lang w:val="en-US"/>
                  </w:rPr>
                  <m:t>-</m:t>
                </m:r>
                <m:sSub>
                  <m:sSubPr>
                    <m:ctrlPr>
                      <w:rPr>
                        <w:rFonts w:ascii="Cambria Math" w:eastAsiaTheme="minorEastAsia" w:hAnsi="Cambria Math"/>
                        <w:i/>
                        <w:szCs w:val="24"/>
                        <w:lang w:val="en-US"/>
                      </w:rPr>
                    </m:ctrlPr>
                  </m:sSubPr>
                  <m:e>
                    <m:r>
                      <w:rPr>
                        <w:rFonts w:ascii="Cambria Math" w:eastAsiaTheme="minorEastAsia" w:hAnsi="Cambria Math"/>
                        <w:szCs w:val="24"/>
                        <w:lang w:val="en-US"/>
                      </w:rPr>
                      <m:t>2F</m:t>
                    </m:r>
                  </m:e>
                  <m:sub>
                    <m:r>
                      <w:rPr>
                        <w:rFonts w:ascii="Cambria Math" w:eastAsiaTheme="minorEastAsia" w:hAnsi="Cambria Math"/>
                        <w:szCs w:val="24"/>
                        <w:lang w:val="en-US"/>
                      </w:rPr>
                      <m:t>wx</m:t>
                    </m:r>
                  </m:sub>
                </m:sSub>
                <m:r>
                  <w:rPr>
                    <w:rFonts w:ascii="Cambria Math" w:eastAsiaTheme="minorEastAsia" w:hAnsi="Cambria Math"/>
                    <w:szCs w:val="24"/>
                    <w:lang w:val="en-US"/>
                  </w:rPr>
                  <m:t>=2</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r>
                  <w:rPr>
                    <w:rFonts w:ascii="Cambria Math" w:hAnsi="Cambria Math"/>
                    <w:szCs w:val="24"/>
                    <w:lang w:val="en-US"/>
                  </w:rPr>
                  <m:t>-</m:t>
                </m:r>
                <m:r>
                  <w:rPr>
                    <w:rFonts w:ascii="Cambria Math" w:eastAsiaTheme="minorEastAsia" w:hAnsi="Cambria Math"/>
                    <w:szCs w:val="24"/>
                    <w:lang w:val="en-US"/>
                  </w:rPr>
                  <m:t>2</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oMath>
            </m:oMathPara>
          </w:p>
        </w:tc>
        <w:tc>
          <w:tcPr>
            <w:tcW w:w="903" w:type="dxa"/>
            <w:vAlign w:val="center"/>
          </w:tcPr>
          <w:p w14:paraId="20F7D58A" w14:textId="5DAFC6E7" w:rsidR="00731941" w:rsidRPr="009E1EA6" w:rsidRDefault="00B74A7C" w:rsidP="00883332">
            <w:pPr>
              <w:pStyle w:val="Textoindependiente"/>
              <w:ind w:firstLine="0"/>
              <w:rPr>
                <w:lang w:val="en-US"/>
              </w:rPr>
            </w:pPr>
            <w:r w:rsidRPr="009E1EA6">
              <w:rPr>
                <w:lang w:val="en-US"/>
              </w:rPr>
              <w:t>(A9)</w:t>
            </w:r>
          </w:p>
        </w:tc>
      </w:tr>
    </w:tbl>
    <w:p w14:paraId="157DF792" w14:textId="360E82D3" w:rsidR="00B664D5" w:rsidRPr="009E1EA6" w:rsidRDefault="00BF5813" w:rsidP="00B664D5">
      <w:pPr>
        <w:rPr>
          <w:szCs w:val="24"/>
        </w:rPr>
      </w:pPr>
      <w:r w:rsidRPr="009E1EA6">
        <w:rPr>
          <w:noProof/>
          <w:highlight w:val="yellow"/>
          <w:lang w:val="es-CL" w:eastAsia="es-CL"/>
        </w:rPr>
        <mc:AlternateContent>
          <mc:Choice Requires="wps">
            <w:drawing>
              <wp:anchor distT="45720" distB="45720" distL="114300" distR="114300" simplePos="0" relativeHeight="251705344" behindDoc="0" locked="0" layoutInCell="1" allowOverlap="1" wp14:anchorId="29A9C1CD" wp14:editId="52468C39">
                <wp:simplePos x="0" y="0"/>
                <wp:positionH relativeFrom="margin">
                  <wp:posOffset>2859405</wp:posOffset>
                </wp:positionH>
                <wp:positionV relativeFrom="paragraph">
                  <wp:posOffset>51597</wp:posOffset>
                </wp:positionV>
                <wp:extent cx="248285" cy="1724025"/>
                <wp:effectExtent l="0" t="0" r="0" b="6350"/>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025"/>
                        </a:xfrm>
                        <a:prstGeom prst="rect">
                          <a:avLst/>
                        </a:prstGeom>
                        <a:noFill/>
                        <a:ln w="9525">
                          <a:noFill/>
                          <a:miter lim="800000"/>
                          <a:headEnd/>
                          <a:tailEnd/>
                        </a:ln>
                      </wps:spPr>
                      <wps:txbx>
                        <w:txbxContent>
                          <w:p w14:paraId="3D668F40" w14:textId="77777777" w:rsidR="00F005E1" w:rsidRPr="00452F3B" w:rsidRDefault="00F005E1" w:rsidP="00B664D5">
                            <w:pPr>
                              <w:jc w:val="center"/>
                            </w:pPr>
                            <w:r w:rsidRPr="00452F3B">
                              <w:t>(b)</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29A9C1CD" id="_x0000_s1043" type="#_x0000_t202" style="position:absolute;left:0;text-align:left;margin-left:225.15pt;margin-top:4.05pt;width:19.55pt;height:135.75pt;z-index:2517053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" filled="f" stroked="f">
                <v:textbox style="mso-fit-shape-to-text:t" inset="0,0,0,0">
                  <w:txbxContent>
                    <w:p w14:paraId="3D668F40" w14:textId="77777777" w:rsidR="00F005E1" w:rsidRPr="00452F3B" w:rsidRDefault="00F005E1" w:rsidP="00B664D5">
                      <w:pPr>
                        <w:jc w:val="center"/>
                      </w:pPr>
                      <w:r w:rsidRPr="00452F3B">
                        <w:t>(b)</w:t>
                      </w:r>
                    </w:p>
                  </w:txbxContent>
                </v:textbox>
                <w10:wrap anchorx="margin"/>
              </v:shape>
            </w:pict>
          </mc:Fallback>
        </mc:AlternateContent>
      </w:r>
      <w:r w:rsidRPr="009E1EA6">
        <w:rPr>
          <w:noProof/>
          <w:highlight w:val="yellow"/>
          <w:lang w:val="es-CL" w:eastAsia="es-CL"/>
        </w:rPr>
        <mc:AlternateContent>
          <mc:Choice Requires="wps">
            <w:drawing>
              <wp:anchor distT="45720" distB="45720" distL="114300" distR="114300" simplePos="0" relativeHeight="251704320" behindDoc="0" locked="0" layoutInCell="1" allowOverlap="1" wp14:anchorId="78A97564" wp14:editId="3F754A1F">
                <wp:simplePos x="0" y="0"/>
                <wp:positionH relativeFrom="margin">
                  <wp:posOffset>248920</wp:posOffset>
                </wp:positionH>
                <wp:positionV relativeFrom="paragraph">
                  <wp:posOffset>30007</wp:posOffset>
                </wp:positionV>
                <wp:extent cx="248285" cy="1724025"/>
                <wp:effectExtent l="0" t="0" r="0" b="6350"/>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025"/>
                        </a:xfrm>
                        <a:prstGeom prst="rect">
                          <a:avLst/>
                        </a:prstGeom>
                        <a:noFill/>
                        <a:ln w="9525">
                          <a:noFill/>
                          <a:miter lim="800000"/>
                          <a:headEnd/>
                          <a:tailEnd/>
                        </a:ln>
                      </wps:spPr>
                      <wps:txbx>
                        <w:txbxContent>
                          <w:p w14:paraId="22925960" w14:textId="77777777" w:rsidR="00F005E1" w:rsidRPr="00452F3B" w:rsidRDefault="00F005E1" w:rsidP="00B664D5">
                            <w:pPr>
                              <w:jc w:val="center"/>
                            </w:pPr>
                            <w:r w:rsidRPr="00452F3B">
                              <w:t>(a)</w:t>
                            </w:r>
                          </w:p>
                        </w:txbxContent>
                      </wps:txbx>
                      <wps:bodyPr rot="0" vert="horz" wrap="square" lIns="0" tIns="0" rIns="0" bIns="0" anchor="t" anchorCtr="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8A97564" id="_x0000_s1044" type="#_x0000_t202" style="position:absolute;left:0;text-align:left;margin-left:19.6pt;margin-top:2.35pt;width:19.55pt;height:135.75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" filled="f" stroked="f">
                <v:textbox style="mso-fit-shape-to-text:t" inset="0,0,0,0">
                  <w:txbxContent>
                    <w:p w14:paraId="22925960" w14:textId="77777777" w:rsidR="00F005E1" w:rsidRPr="00452F3B" w:rsidRDefault="00F005E1" w:rsidP="00B664D5">
                      <w:pPr>
                        <w:jc w:val="center"/>
                      </w:pPr>
                      <w:r w:rsidRPr="00452F3B">
                        <w:t>(a)</w:t>
                      </w:r>
                    </w:p>
                  </w:txbxContent>
                </v:textbox>
                <w10:wrap anchorx="margin"/>
              </v:shape>
            </w:pict>
          </mc:Fallback>
        </mc:AlternateContent>
      </w:r>
      <w:r w:rsidR="00B664D5" w:rsidRPr="009E1EA6">
        <w:rPr>
          <w:noProof/>
          <w:highlight w:val="yellow"/>
          <w:lang w:val="es-CL" w:eastAsia="es-CL"/>
        </w:rPr>
        <mc:AlternateContent>
          <mc:Choice Requires="wps">
            <w:drawing>
              <wp:anchor distT="45720" distB="45720" distL="114300" distR="114300" simplePos="0" relativeHeight="251707392" behindDoc="0" locked="0" layoutInCell="1" allowOverlap="1" wp14:anchorId="42A4F8B5" wp14:editId="2335242D">
                <wp:simplePos x="0" y="0"/>
                <wp:positionH relativeFrom="margin">
                  <wp:posOffset>2860040</wp:posOffset>
                </wp:positionH>
                <wp:positionV relativeFrom="paragraph">
                  <wp:posOffset>1885950</wp:posOffset>
                </wp:positionV>
                <wp:extent cx="248285" cy="1724025"/>
                <wp:effectExtent l="0" t="0" r="0" b="6350"/>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025"/>
                        </a:xfrm>
                        <a:prstGeom prst="rect">
                          <a:avLst/>
                        </a:prstGeom>
                        <a:noFill/>
                        <a:ln w="9525">
                          <a:noFill/>
                          <a:miter lim="800000"/>
                          <a:headEnd/>
                          <a:tailEnd/>
                        </a:ln>
                      </wps:spPr>
                      <wps:txbx>
                        <w:txbxContent>
                          <w:p w14:paraId="109E40EB" w14:textId="77777777" w:rsidR="00F005E1" w:rsidRPr="00452F3B" w:rsidRDefault="00F005E1" w:rsidP="00B664D5">
                            <w:pPr>
                              <w:jc w:val="center"/>
                            </w:pPr>
                            <w:r w:rsidRPr="00452F3B">
                              <w:t>(d)</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42A4F8B5" id="_x0000_s1045" type="#_x0000_t202" style="position:absolute;left:0;text-align:left;margin-left:225.2pt;margin-top:148.5pt;width:19.55pt;height:135.75pt;z-index:2517073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" filled="f" stroked="f">
                <v:textbox style="mso-fit-shape-to-text:t" inset="0,0,0,0">
                  <w:txbxContent>
                    <w:p w14:paraId="109E40EB" w14:textId="77777777" w:rsidR="00F005E1" w:rsidRPr="00452F3B" w:rsidRDefault="00F005E1" w:rsidP="00B664D5">
                      <w:pPr>
                        <w:jc w:val="center"/>
                      </w:pPr>
                      <w:r w:rsidRPr="00452F3B">
                        <w:t>(d)</w:t>
                      </w:r>
                    </w:p>
                  </w:txbxContent>
                </v:textbox>
                <w10:wrap anchorx="margin"/>
              </v:shape>
            </w:pict>
          </mc:Fallback>
        </mc:AlternateContent>
      </w:r>
      <w:r w:rsidR="00B664D5" w:rsidRPr="009E1EA6">
        <w:rPr>
          <w:noProof/>
          <w:highlight w:val="yellow"/>
          <w:lang w:val="es-CL" w:eastAsia="es-CL"/>
        </w:rPr>
        <mc:AlternateContent>
          <mc:Choice Requires="wps">
            <w:drawing>
              <wp:anchor distT="45720" distB="45720" distL="114300" distR="114300" simplePos="0" relativeHeight="251706368" behindDoc="0" locked="0" layoutInCell="1" allowOverlap="1" wp14:anchorId="10CD2868" wp14:editId="303D0231">
                <wp:simplePos x="0" y="0"/>
                <wp:positionH relativeFrom="margin">
                  <wp:posOffset>269551</wp:posOffset>
                </wp:positionH>
                <wp:positionV relativeFrom="paragraph">
                  <wp:posOffset>1898060</wp:posOffset>
                </wp:positionV>
                <wp:extent cx="248285" cy="1724025"/>
                <wp:effectExtent l="0" t="0" r="0" b="6350"/>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1724025"/>
                        </a:xfrm>
                        <a:prstGeom prst="rect">
                          <a:avLst/>
                        </a:prstGeom>
                        <a:noFill/>
                        <a:ln w="9525">
                          <a:noFill/>
                          <a:miter lim="800000"/>
                          <a:headEnd/>
                          <a:tailEnd/>
                        </a:ln>
                      </wps:spPr>
                      <wps:txbx>
                        <w:txbxContent>
                          <w:p w14:paraId="222D42C0" w14:textId="77777777" w:rsidR="00F005E1" w:rsidRPr="00452F3B" w:rsidRDefault="00F005E1" w:rsidP="00B664D5">
                            <w:pPr>
                              <w:jc w:val="center"/>
                            </w:pPr>
                            <w:r w:rsidRPr="00452F3B">
                              <w:t>(c)</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10CD2868" id="_x0000_s1046" type="#_x0000_t202" style="position:absolute;left:0;text-align:left;margin-left:21.2pt;margin-top:149.45pt;width:19.55pt;height:135.75pt;z-index:2517063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" filled="f" stroked="f">
                <v:textbox style="mso-fit-shape-to-text:t" inset="0,0,0,0">
                  <w:txbxContent>
                    <w:p w14:paraId="222D42C0" w14:textId="77777777" w:rsidR="00F005E1" w:rsidRPr="00452F3B" w:rsidRDefault="00F005E1" w:rsidP="00B664D5">
                      <w:pPr>
                        <w:jc w:val="center"/>
                      </w:pPr>
                      <w:r w:rsidRPr="00452F3B">
                        <w:t>(c)</w:t>
                      </w:r>
                    </w:p>
                  </w:txbxContent>
                </v:textbox>
                <w10:wrap anchorx="margin"/>
              </v:shape>
            </w:pict>
          </mc:Fallback>
        </mc:AlternateContent>
      </w:r>
      <w:r w:rsidR="00B664D5" w:rsidRPr="009E1EA6">
        <w:rPr>
          <w:noProof/>
          <w:szCs w:val="24"/>
          <w:lang w:val="es-CL" w:eastAsia="es-CL"/>
        </w:rPr>
        <w:drawing>
          <wp:inline distT="0" distB="0" distL="0" distR="0" wp14:anchorId="02105297" wp14:editId="65BDB197">
            <wp:extent cx="5723097" cy="3468414"/>
            <wp:effectExtent l="0" t="0" r="0" b="0"/>
            <wp:docPr id="15251725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926902" name="Picture 6"/>
                    <pic:cNvPicPr>
                      <a:picLocks noChangeAspect="1" noChangeArrowheads="1"/>
                    </pic:cNvPicPr>
                  </pic:nvPicPr>
                  <pic:blipFill>
                    <a:blip r:embed="rId35">
                      <a:extLst>
                        <a:ext uri="{28A0092B-C50C-407E-A947-70E740481C1C}">
                          <a14:useLocalDpi xmlns:a14="http://schemas.microsoft.com/office/drawing/2010/main" val="0"/>
                        </a:ext>
                      </a:extLst>
                    </a:blip>
                    <a:srcRect t="3377" b="3739"/>
                    <a:stretch>
                      <a:fillRect/>
                    </a:stretch>
                  </pic:blipFill>
                  <pic:spPr bwMode="auto">
                    <a:xfrm>
                      <a:off x="0" y="0"/>
                      <a:ext cx="5723890" cy="3468895"/>
                    </a:xfrm>
                    <a:prstGeom prst="rect">
                      <a:avLst/>
                    </a:prstGeom>
                    <a:noFill/>
                    <a:ln>
                      <a:noFill/>
                    </a:ln>
                    <a:extLst>
                      <a:ext uri="{53640926-AAD7-44D8-BBD7-CCE9431645EC}">
                        <a14:shadowObscured xmlns:a14="http://schemas.microsoft.com/office/drawing/2010/main"/>
                      </a:ext>
                    </a:extLst>
                  </pic:spPr>
                </pic:pic>
              </a:graphicData>
            </a:graphic>
          </wp:inline>
        </w:drawing>
      </w:r>
    </w:p>
    <w:p w14:paraId="1C8F5B0E" w14:textId="77777777" w:rsidR="00B664D5" w:rsidRPr="009E1EA6" w:rsidRDefault="00B664D5" w:rsidP="00B664D5">
      <w:pPr>
        <w:spacing w:before="60" w:after="300" w:line="360" w:lineRule="auto"/>
        <w:rPr>
          <w:lang w:eastAsia="es-CL"/>
        </w:rPr>
      </w:pPr>
      <w:r w:rsidRPr="009E1EA6">
        <w:rPr>
          <w:b/>
          <w:sz w:val="22"/>
        </w:rPr>
        <w:t>Figure</w:t>
      </w:r>
      <w:r w:rsidRPr="009E1EA6">
        <w:rPr>
          <w:b/>
        </w:rPr>
        <w:t xml:space="preserve"> A2. </w:t>
      </w:r>
      <w:r w:rsidRPr="009E1EA6">
        <w:rPr>
          <w:szCs w:val="24"/>
        </w:rPr>
        <w:t>(a) Anchor deformations, and (b) anchor loads for a block that displaces horizontally from 0 to 0.5 m, (c) projection of anchor loads in the x-direction, and (d) projection of anchor loads in the y-direction.</w:t>
      </w:r>
    </w:p>
    <w:p w14:paraId="325ED6E0" w14:textId="78DFDB15" w:rsidR="00D54643" w:rsidRPr="009E1EA6" w:rsidRDefault="00F36BC3" w:rsidP="00057A26">
      <w:pPr>
        <w:pStyle w:val="Textoindependiente"/>
        <w:rPr>
          <w:szCs w:val="24"/>
        </w:rPr>
      </w:pPr>
      <w:r w:rsidRPr="009E1EA6">
        <w:rPr>
          <w:szCs w:val="24"/>
        </w:rPr>
        <w:t xml:space="preserve">Interestingly, for </w:t>
      </w:r>
      <m:oMath>
        <m:r>
          <w:rPr>
            <w:rFonts w:ascii="Cambria Math" w:hAnsi="Cambria Math"/>
            <w:szCs w:val="24"/>
          </w:rPr>
          <m:t>x≪</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0</m:t>
            </m:r>
          </m:sub>
        </m:sSub>
      </m:oMath>
      <w:r w:rsidR="00B74A7C" w:rsidRPr="009E1EA6">
        <w:rPr>
          <w:szCs w:val="24"/>
        </w:rPr>
        <w:t xml:space="preserve"> and assuming a linear elastic anchor within this range, the first-order approximation of the lateral stiffness is</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6E829B75" w14:textId="77777777" w:rsidTr="004E4513">
        <w:tc>
          <w:tcPr>
            <w:tcW w:w="8328" w:type="dxa"/>
            <w:vAlign w:val="center"/>
          </w:tcPr>
          <w:p w14:paraId="7B662F34" w14:textId="77777777" w:rsidR="00D54643" w:rsidRPr="009E1EA6" w:rsidRDefault="006E3CB7" w:rsidP="00497DF6">
            <w:pPr>
              <w:pStyle w:val="Textoindependiente"/>
              <w:ind w:firstLine="0"/>
              <w:rPr>
                <w:szCs w:val="24"/>
                <w:lang w:val="en-US"/>
              </w:rPr>
            </w:pPr>
            <m:oMathPara>
              <m:oMath>
                <m:sSub>
                  <m:sSubPr>
                    <m:ctrlPr>
                      <w:rPr>
                        <w:rFonts w:ascii="Cambria Math" w:eastAsiaTheme="minorEastAsia" w:hAnsi="Cambria Math"/>
                        <w:i/>
                        <w:szCs w:val="24"/>
                        <w:lang w:val="en-US"/>
                      </w:rPr>
                    </m:ctrlPr>
                  </m:sSubPr>
                  <m:e>
                    <m:r>
                      <w:rPr>
                        <w:rFonts w:ascii="Cambria Math" w:eastAsiaTheme="minorEastAsia" w:hAnsi="Cambria Math"/>
                        <w:szCs w:val="24"/>
                        <w:lang w:val="en-US"/>
                      </w:rPr>
                      <m:t>k</m:t>
                    </m:r>
                  </m:e>
                  <m:sub>
                    <m:r>
                      <w:rPr>
                        <w:rFonts w:ascii="Cambria Math" w:eastAsiaTheme="minorEastAsia" w:hAnsi="Cambria Math"/>
                        <w:szCs w:val="24"/>
                        <w:lang w:val="en-US"/>
                      </w:rPr>
                      <m:t>lat</m:t>
                    </m:r>
                  </m:sub>
                </m:sSub>
                <m:r>
                  <w:rPr>
                    <w:rFonts w:ascii="Cambria Math" w:eastAsiaTheme="minorEastAsia" w:hAnsi="Cambria Math"/>
                    <w:szCs w:val="24"/>
                    <w:lang w:val="en-US"/>
                  </w:rPr>
                  <m:t>=</m:t>
                </m:r>
                <m:f>
                  <m:fPr>
                    <m:ctrlPr>
                      <w:rPr>
                        <w:rFonts w:ascii="Cambria Math" w:eastAsiaTheme="minorEastAsia" w:hAnsi="Cambria Math"/>
                        <w:i/>
                        <w:szCs w:val="24"/>
                        <w:lang w:val="en-US"/>
                      </w:rPr>
                    </m:ctrlPr>
                  </m:fPr>
                  <m:num>
                    <m:r>
                      <w:rPr>
                        <w:rFonts w:ascii="Cambria Math" w:eastAsiaTheme="minorEastAsia" w:hAnsi="Cambria Math"/>
                        <w:szCs w:val="24"/>
                        <w:lang w:val="en-US"/>
                      </w:rPr>
                      <m:t>dFX</m:t>
                    </m:r>
                  </m:num>
                  <m:den>
                    <m:r>
                      <w:rPr>
                        <w:rFonts w:ascii="Cambria Math" w:eastAsiaTheme="minorEastAsia" w:hAnsi="Cambria Math"/>
                        <w:szCs w:val="24"/>
                        <w:lang w:val="en-US"/>
                      </w:rPr>
                      <m:t>dx</m:t>
                    </m:r>
                  </m:den>
                </m:f>
                <m:r>
                  <w:rPr>
                    <w:rFonts w:ascii="Cambria Math" w:eastAsiaTheme="minorEastAsia" w:hAnsi="Cambria Math"/>
                    <w:szCs w:val="24"/>
                    <w:lang w:val="en-US"/>
                  </w:rPr>
                  <m:t>=4</m:t>
                </m:r>
                <m:sSub>
                  <m:sSubPr>
                    <m:ctrlPr>
                      <w:rPr>
                        <w:rFonts w:ascii="Cambria Math" w:eastAsiaTheme="minorEastAsia" w:hAnsi="Cambria Math"/>
                        <w:i/>
                        <w:szCs w:val="24"/>
                        <w:lang w:val="en-US"/>
                      </w:rPr>
                    </m:ctrlPr>
                  </m:sSubPr>
                  <m:e>
                    <m:r>
                      <w:rPr>
                        <w:rFonts w:ascii="Cambria Math" w:eastAsiaTheme="minorEastAsia" w:hAnsi="Cambria Math"/>
                        <w:szCs w:val="24"/>
                        <w:lang w:val="en-US"/>
                      </w:rPr>
                      <m:t>K</m:t>
                    </m:r>
                  </m:e>
                  <m:sub>
                    <m:r>
                      <w:rPr>
                        <w:rFonts w:ascii="Cambria Math" w:eastAsiaTheme="minorEastAsia" w:hAnsi="Cambria Math"/>
                        <w:szCs w:val="24"/>
                        <w:lang w:val="en-US"/>
                      </w:rPr>
                      <m:t>0</m:t>
                    </m:r>
                  </m:sub>
                </m:sSub>
                <m:sSup>
                  <m:sSupPr>
                    <m:ctrlPr>
                      <w:rPr>
                        <w:rFonts w:ascii="Cambria Math" w:eastAsiaTheme="minorEastAsia" w:hAnsi="Cambria Math"/>
                        <w:i/>
                        <w:szCs w:val="24"/>
                        <w:lang w:val="en-US"/>
                      </w:rPr>
                    </m:ctrlPr>
                  </m:sSupPr>
                  <m:e>
                    <m:d>
                      <m:dPr>
                        <m:ctrlPr>
                          <w:rPr>
                            <w:rFonts w:ascii="Cambria Math" w:eastAsiaTheme="minorEastAsia" w:hAnsi="Cambria Math"/>
                            <w:i/>
                            <w:szCs w:val="24"/>
                            <w:lang w:val="en-US"/>
                          </w:rPr>
                        </m:ctrlPr>
                      </m:dPr>
                      <m:e>
                        <m:f>
                          <m:fPr>
                            <m:ctrlPr>
                              <w:rPr>
                                <w:rFonts w:ascii="Cambria Math" w:eastAsiaTheme="minorEastAsia" w:hAnsi="Cambria Math"/>
                                <w:i/>
                                <w:szCs w:val="24"/>
                                <w:lang w:val="en-US"/>
                              </w:rPr>
                            </m:ctrlPr>
                          </m:fPr>
                          <m:num>
                            <m:sSub>
                              <m:sSubPr>
                                <m:ctrlPr>
                                  <w:rPr>
                                    <w:rFonts w:ascii="Cambria Math" w:eastAsiaTheme="minorEastAsia" w:hAnsi="Cambria Math"/>
                                    <w:i/>
                                    <w:szCs w:val="24"/>
                                    <w:lang w:val="en-US"/>
                                  </w:rPr>
                                </m:ctrlPr>
                              </m:sSubPr>
                              <m:e>
                                <m:r>
                                  <w:rPr>
                                    <w:rFonts w:ascii="Cambria Math" w:eastAsiaTheme="minorEastAsia" w:hAnsi="Cambria Math"/>
                                    <w:szCs w:val="24"/>
                                    <w:lang w:val="en-US"/>
                                  </w:rPr>
                                  <m:t>x</m:t>
                                </m:r>
                              </m:e>
                              <m:sub>
                                <m:r>
                                  <w:rPr>
                                    <w:rFonts w:ascii="Cambria Math" w:eastAsiaTheme="minorEastAsia" w:hAnsi="Cambria Math"/>
                                    <w:szCs w:val="24"/>
                                    <w:lang w:val="en-US"/>
                                  </w:rPr>
                                  <m:t>0</m:t>
                                </m:r>
                              </m:sub>
                            </m:sSub>
                          </m:num>
                          <m:den>
                            <m:sSub>
                              <m:sSubPr>
                                <m:ctrlPr>
                                  <w:rPr>
                                    <w:rFonts w:ascii="Cambria Math" w:eastAsiaTheme="minorEastAsia" w:hAnsi="Cambria Math"/>
                                    <w:i/>
                                    <w:szCs w:val="24"/>
                                    <w:lang w:val="en-US"/>
                                  </w:rPr>
                                </m:ctrlPr>
                              </m:sSubPr>
                              <m:e>
                                <m:r>
                                  <w:rPr>
                                    <w:rFonts w:ascii="Cambria Math" w:eastAsiaTheme="minorEastAsia" w:hAnsi="Cambria Math"/>
                                    <w:szCs w:val="24"/>
                                    <w:lang w:val="en-US"/>
                                  </w:rPr>
                                  <m:t>L</m:t>
                                </m:r>
                              </m:e>
                              <m:sub>
                                <m:r>
                                  <w:rPr>
                                    <w:rFonts w:ascii="Cambria Math" w:eastAsiaTheme="minorEastAsia" w:hAnsi="Cambria Math"/>
                                    <w:szCs w:val="24"/>
                                    <w:lang w:val="en-US"/>
                                  </w:rPr>
                                  <m:t>0</m:t>
                                </m:r>
                              </m:sub>
                            </m:sSub>
                          </m:den>
                        </m:f>
                      </m:e>
                    </m:d>
                  </m:e>
                  <m:sup>
                    <m:r>
                      <w:rPr>
                        <w:rFonts w:ascii="Cambria Math" w:eastAsiaTheme="minorEastAsia" w:hAnsi="Cambria Math"/>
                        <w:szCs w:val="24"/>
                        <w:lang w:val="en-US"/>
                      </w:rPr>
                      <m:t>2</m:t>
                    </m:r>
                  </m:sup>
                </m:sSup>
                <m:r>
                  <w:rPr>
                    <w:rFonts w:ascii="Cambria Math" w:eastAsiaTheme="minorEastAsia" w:hAnsi="Cambria Math"/>
                    <w:szCs w:val="24"/>
                    <w:lang w:val="en-US"/>
                  </w:rPr>
                  <m:t>+</m:t>
                </m:r>
                <m:f>
                  <m:fPr>
                    <m:ctrlPr>
                      <w:rPr>
                        <w:rFonts w:ascii="Cambria Math" w:eastAsiaTheme="minorEastAsia" w:hAnsi="Cambria Math"/>
                        <w:i/>
                        <w:szCs w:val="24"/>
                        <w:lang w:val="en-US"/>
                      </w:rPr>
                    </m:ctrlPr>
                  </m:fPr>
                  <m:num>
                    <m:r>
                      <w:rPr>
                        <w:rFonts w:ascii="Cambria Math" w:eastAsiaTheme="minorEastAsia" w:hAnsi="Cambria Math"/>
                        <w:szCs w:val="24"/>
                        <w:lang w:val="en-US"/>
                      </w:rPr>
                      <m:t>4</m:t>
                    </m:r>
                    <m:sSub>
                      <m:sSubPr>
                        <m:ctrlPr>
                          <w:rPr>
                            <w:rFonts w:ascii="Cambria Math" w:eastAsiaTheme="minorEastAsia" w:hAnsi="Cambria Math"/>
                            <w:i/>
                            <w:szCs w:val="24"/>
                            <w:lang w:val="en-US"/>
                          </w:rPr>
                        </m:ctrlPr>
                      </m:sSubPr>
                      <m:e>
                        <m:r>
                          <w:rPr>
                            <w:rFonts w:ascii="Cambria Math" w:eastAsiaTheme="minorEastAsia" w:hAnsi="Cambria Math"/>
                            <w:szCs w:val="24"/>
                            <w:lang w:val="en-US"/>
                          </w:rPr>
                          <m:t>T</m:t>
                        </m:r>
                      </m:e>
                      <m:sub>
                        <m:r>
                          <w:rPr>
                            <w:rFonts w:ascii="Cambria Math" w:eastAsiaTheme="minorEastAsia" w:hAnsi="Cambria Math"/>
                            <w:szCs w:val="24"/>
                            <w:lang w:val="en-US"/>
                          </w:rPr>
                          <m:t>0</m:t>
                        </m:r>
                      </m:sub>
                    </m:sSub>
                  </m:num>
                  <m:den>
                    <m:sSub>
                      <m:sSubPr>
                        <m:ctrlPr>
                          <w:rPr>
                            <w:rFonts w:ascii="Cambria Math" w:eastAsiaTheme="minorEastAsia" w:hAnsi="Cambria Math"/>
                            <w:i/>
                            <w:szCs w:val="24"/>
                            <w:lang w:val="en-US"/>
                          </w:rPr>
                        </m:ctrlPr>
                      </m:sSubPr>
                      <m:e>
                        <m:r>
                          <w:rPr>
                            <w:rFonts w:ascii="Cambria Math" w:eastAsiaTheme="minorEastAsia" w:hAnsi="Cambria Math"/>
                            <w:szCs w:val="24"/>
                            <w:lang w:val="en-US"/>
                          </w:rPr>
                          <m:t>L</m:t>
                        </m:r>
                      </m:e>
                      <m:sub>
                        <m:r>
                          <w:rPr>
                            <w:rFonts w:ascii="Cambria Math" w:eastAsiaTheme="minorEastAsia" w:hAnsi="Cambria Math"/>
                            <w:szCs w:val="24"/>
                            <w:lang w:val="en-US"/>
                          </w:rPr>
                          <m:t>0</m:t>
                        </m:r>
                      </m:sub>
                    </m:sSub>
                  </m:den>
                </m:f>
                <m:d>
                  <m:dPr>
                    <m:ctrlPr>
                      <w:rPr>
                        <w:rFonts w:ascii="Cambria Math" w:eastAsiaTheme="minorEastAsia" w:hAnsi="Cambria Math"/>
                        <w:i/>
                        <w:szCs w:val="24"/>
                        <w:lang w:val="en-US"/>
                      </w:rPr>
                    </m:ctrlPr>
                  </m:dPr>
                  <m:e>
                    <m:r>
                      <w:rPr>
                        <w:rFonts w:ascii="Cambria Math" w:eastAsiaTheme="minorEastAsia" w:hAnsi="Cambria Math"/>
                        <w:szCs w:val="24"/>
                        <w:lang w:val="en-US"/>
                      </w:rPr>
                      <m:t>1-</m:t>
                    </m:r>
                    <m:sSup>
                      <m:sSupPr>
                        <m:ctrlPr>
                          <w:rPr>
                            <w:rFonts w:ascii="Cambria Math" w:eastAsiaTheme="minorEastAsia" w:hAnsi="Cambria Math"/>
                            <w:i/>
                            <w:szCs w:val="24"/>
                            <w:lang w:val="en-US"/>
                          </w:rPr>
                        </m:ctrlPr>
                      </m:sSupPr>
                      <m:e>
                        <m:d>
                          <m:dPr>
                            <m:ctrlPr>
                              <w:rPr>
                                <w:rFonts w:ascii="Cambria Math" w:eastAsiaTheme="minorEastAsia" w:hAnsi="Cambria Math"/>
                                <w:i/>
                                <w:szCs w:val="24"/>
                                <w:lang w:val="en-US"/>
                              </w:rPr>
                            </m:ctrlPr>
                          </m:dPr>
                          <m:e>
                            <m:f>
                              <m:fPr>
                                <m:ctrlPr>
                                  <w:rPr>
                                    <w:rFonts w:ascii="Cambria Math" w:eastAsiaTheme="minorEastAsia" w:hAnsi="Cambria Math"/>
                                    <w:i/>
                                    <w:szCs w:val="24"/>
                                    <w:lang w:val="en-US"/>
                                  </w:rPr>
                                </m:ctrlPr>
                              </m:fPr>
                              <m:num>
                                <m:sSub>
                                  <m:sSubPr>
                                    <m:ctrlPr>
                                      <w:rPr>
                                        <w:rFonts w:ascii="Cambria Math" w:eastAsiaTheme="minorEastAsia" w:hAnsi="Cambria Math"/>
                                        <w:i/>
                                        <w:szCs w:val="24"/>
                                        <w:lang w:val="en-US"/>
                                      </w:rPr>
                                    </m:ctrlPr>
                                  </m:sSubPr>
                                  <m:e>
                                    <m:r>
                                      <w:rPr>
                                        <w:rFonts w:ascii="Cambria Math" w:eastAsiaTheme="minorEastAsia" w:hAnsi="Cambria Math"/>
                                        <w:szCs w:val="24"/>
                                        <w:lang w:val="en-US"/>
                                      </w:rPr>
                                      <m:t>x</m:t>
                                    </m:r>
                                  </m:e>
                                  <m:sub>
                                    <m:r>
                                      <w:rPr>
                                        <w:rFonts w:ascii="Cambria Math" w:eastAsiaTheme="minorEastAsia" w:hAnsi="Cambria Math"/>
                                        <w:szCs w:val="24"/>
                                        <w:lang w:val="en-US"/>
                                      </w:rPr>
                                      <m:t>0</m:t>
                                    </m:r>
                                  </m:sub>
                                </m:sSub>
                              </m:num>
                              <m:den>
                                <m:sSub>
                                  <m:sSubPr>
                                    <m:ctrlPr>
                                      <w:rPr>
                                        <w:rFonts w:ascii="Cambria Math" w:eastAsiaTheme="minorEastAsia" w:hAnsi="Cambria Math"/>
                                        <w:i/>
                                        <w:szCs w:val="24"/>
                                        <w:lang w:val="en-US"/>
                                      </w:rPr>
                                    </m:ctrlPr>
                                  </m:sSubPr>
                                  <m:e>
                                    <m:r>
                                      <w:rPr>
                                        <w:rFonts w:ascii="Cambria Math" w:eastAsiaTheme="minorEastAsia" w:hAnsi="Cambria Math"/>
                                        <w:szCs w:val="24"/>
                                        <w:lang w:val="en-US"/>
                                      </w:rPr>
                                      <m:t>L</m:t>
                                    </m:r>
                                  </m:e>
                                  <m:sub>
                                    <m:r>
                                      <w:rPr>
                                        <w:rFonts w:ascii="Cambria Math" w:eastAsiaTheme="minorEastAsia" w:hAnsi="Cambria Math"/>
                                        <w:szCs w:val="24"/>
                                        <w:lang w:val="en-US"/>
                                      </w:rPr>
                                      <m:t>0</m:t>
                                    </m:r>
                                  </m:sub>
                                </m:sSub>
                              </m:den>
                            </m:f>
                          </m:e>
                        </m:d>
                      </m:e>
                      <m:sup>
                        <m:r>
                          <w:rPr>
                            <w:rFonts w:ascii="Cambria Math" w:eastAsiaTheme="minorEastAsia" w:hAnsi="Cambria Math"/>
                            <w:szCs w:val="24"/>
                            <w:lang w:val="en-US"/>
                          </w:rPr>
                          <m:t>2</m:t>
                        </m:r>
                      </m:sup>
                    </m:sSup>
                  </m:e>
                </m:d>
              </m:oMath>
            </m:oMathPara>
          </w:p>
        </w:tc>
        <w:tc>
          <w:tcPr>
            <w:tcW w:w="903" w:type="dxa"/>
            <w:vAlign w:val="center"/>
          </w:tcPr>
          <w:p w14:paraId="1A2DEA4F" w14:textId="77777777" w:rsidR="00D54643" w:rsidRPr="009E1EA6" w:rsidRDefault="00B74A7C" w:rsidP="00883332">
            <w:pPr>
              <w:pStyle w:val="Textoindependiente"/>
              <w:ind w:firstLine="0"/>
              <w:rPr>
                <w:lang w:val="en-US"/>
              </w:rPr>
            </w:pPr>
            <w:r w:rsidRPr="009E1EA6">
              <w:rPr>
                <w:lang w:val="en-US"/>
              </w:rPr>
              <w:t>(A10)</w:t>
            </w:r>
          </w:p>
        </w:tc>
      </w:tr>
    </w:tbl>
    <w:p w14:paraId="2392D1A4" w14:textId="18389295" w:rsidR="00497DF6" w:rsidRPr="009E1EA6" w:rsidRDefault="00B74A7C" w:rsidP="00497DF6">
      <w:pPr>
        <w:pStyle w:val="Textoindependiente"/>
        <w:ind w:firstLine="0"/>
        <w:rPr>
          <w:rFonts w:eastAsiaTheme="minorEastAsia"/>
          <w:szCs w:val="24"/>
        </w:rPr>
      </w:pPr>
      <w:r w:rsidRPr="009E1EA6">
        <w:rPr>
          <w:rFonts w:eastAsiaTheme="minorEastAsia"/>
          <w:szCs w:val="24"/>
        </w:rPr>
        <w:t xml:space="preserve">which coincides with the approximation of </w:t>
      </w:r>
      <m:oMath>
        <m:sSub>
          <m:sSubPr>
            <m:ctrlPr>
              <w:rPr>
                <w:rFonts w:ascii="Cambria Math" w:eastAsiaTheme="minorEastAsia" w:hAnsi="Cambria Math"/>
                <w:i/>
                <w:szCs w:val="24"/>
              </w:rPr>
            </m:ctrlPr>
          </m:sSubPr>
          <m:e>
            <m:r>
              <w:rPr>
                <w:rFonts w:ascii="Cambria Math" w:eastAsiaTheme="minorEastAsia" w:hAnsi="Cambria Math"/>
                <w:szCs w:val="24"/>
              </w:rPr>
              <m:t>k</m:t>
            </m:r>
          </m:e>
          <m:sub>
            <m:r>
              <w:rPr>
                <w:rFonts w:ascii="Cambria Math" w:eastAsiaTheme="minorEastAsia" w:hAnsi="Cambria Math"/>
                <w:szCs w:val="24"/>
              </w:rPr>
              <m:t>lat</m:t>
            </m:r>
          </m:sub>
        </m:sSub>
      </m:oMath>
      <w:r w:rsidRPr="009E1EA6">
        <w:rPr>
          <w:rFonts w:eastAsiaTheme="minorEastAsia"/>
          <w:szCs w:val="24"/>
        </w:rPr>
        <w:t xml:space="preserve"> by Lopez Garcia and Soong (2003</w:t>
      </w:r>
      <w:r w:rsidR="00CD01C8" w:rsidRPr="009E1EA6">
        <w:rPr>
          <w:rFonts w:eastAsiaTheme="minorEastAsia"/>
          <w:szCs w:val="24"/>
          <w:vertAlign w:val="superscript"/>
        </w:rPr>
        <w:t>b</w:t>
      </w:r>
      <w:r w:rsidRPr="009E1EA6">
        <w:rPr>
          <w:rFonts w:eastAsiaTheme="minorEastAsia"/>
          <w:szCs w:val="24"/>
        </w:rPr>
        <w:t xml:space="preserve">) for the case of no </w:t>
      </w:r>
      <w:r w:rsidR="00F558D7" w:rsidRPr="009E1EA6">
        <w:rPr>
          <w:rFonts w:eastAsiaTheme="minorEastAsia"/>
          <w:szCs w:val="24"/>
        </w:rPr>
        <w:t>pres</w:t>
      </w:r>
      <w:r w:rsidRPr="009E1EA6">
        <w:rPr>
          <w:rFonts w:eastAsiaTheme="minorEastAsia"/>
          <w:szCs w:val="24"/>
        </w:rPr>
        <w:t xml:space="preserve">tress in the anchors. For cases where </w:t>
      </w:r>
      <m:oMath>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0</m:t>
            </m:r>
          </m:sub>
        </m:sSub>
        <m:r>
          <w:rPr>
            <w:rFonts w:ascii="Cambria Math" w:eastAsiaTheme="minorEastAsia" w:hAnsi="Cambria Math"/>
            <w:szCs w:val="24"/>
          </w:rPr>
          <m:t>≠0</m:t>
        </m:r>
      </m:oMath>
      <w:r w:rsidRPr="009E1EA6">
        <w:rPr>
          <w:rFonts w:eastAsiaTheme="minorEastAsia"/>
          <w:szCs w:val="24"/>
        </w:rPr>
        <w:t xml:space="preserve">, the term </w:t>
      </w:r>
      <m:oMath>
        <m:f>
          <m:fPr>
            <m:ctrlPr>
              <w:rPr>
                <w:rFonts w:ascii="Cambria Math" w:eastAsiaTheme="minorEastAsia" w:hAnsi="Cambria Math"/>
                <w:i/>
                <w:szCs w:val="24"/>
              </w:rPr>
            </m:ctrlPr>
          </m:fPr>
          <m:num>
            <m:r>
              <w:rPr>
                <w:rFonts w:ascii="Cambria Math" w:eastAsiaTheme="minorEastAsia" w:hAnsi="Cambria Math"/>
                <w:szCs w:val="24"/>
              </w:rPr>
              <m:t>4</m:t>
            </m:r>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0</m:t>
                </m:r>
              </m:sub>
            </m:sSub>
          </m:num>
          <m:den>
            <m:sSub>
              <m:sSubPr>
                <m:ctrlPr>
                  <w:rPr>
                    <w:rFonts w:ascii="Cambria Math" w:eastAsiaTheme="minorEastAsia" w:hAnsi="Cambria Math"/>
                    <w:i/>
                    <w:szCs w:val="24"/>
                  </w:rPr>
                </m:ctrlPr>
              </m:sSubPr>
              <m:e>
                <m:r>
                  <w:rPr>
                    <w:rFonts w:ascii="Cambria Math" w:eastAsiaTheme="minorEastAsia" w:hAnsi="Cambria Math"/>
                    <w:szCs w:val="24"/>
                  </w:rPr>
                  <m:t>L</m:t>
                </m:r>
              </m:e>
              <m:sub>
                <m:r>
                  <w:rPr>
                    <w:rFonts w:ascii="Cambria Math" w:eastAsiaTheme="minorEastAsia" w:hAnsi="Cambria Math"/>
                    <w:szCs w:val="24"/>
                  </w:rPr>
                  <m:t>0</m:t>
                </m:r>
              </m:sub>
            </m:sSub>
          </m:den>
        </m:f>
        <m:d>
          <m:dPr>
            <m:ctrlPr>
              <w:rPr>
                <w:rFonts w:ascii="Cambria Math" w:eastAsiaTheme="minorEastAsia" w:hAnsi="Cambria Math"/>
                <w:i/>
                <w:szCs w:val="24"/>
              </w:rPr>
            </m:ctrlPr>
          </m:dPr>
          <m:e>
            <m:r>
              <w:rPr>
                <w:rFonts w:ascii="Cambria Math" w:eastAsiaTheme="minorEastAsia" w:hAnsi="Cambria Math"/>
                <w:szCs w:val="24"/>
              </w:rPr>
              <m:t>1-</m:t>
            </m:r>
            <m:sSup>
              <m:sSupPr>
                <m:ctrlPr>
                  <w:rPr>
                    <w:rFonts w:ascii="Cambria Math" w:eastAsiaTheme="minorEastAsia" w:hAnsi="Cambria Math"/>
                    <w:i/>
                    <w:szCs w:val="24"/>
                  </w:rPr>
                </m:ctrlPr>
              </m:sSupPr>
              <m:e>
                <m:d>
                  <m:dPr>
                    <m:ctrlPr>
                      <w:rPr>
                        <w:rFonts w:ascii="Cambria Math" w:eastAsiaTheme="minorEastAsia" w:hAnsi="Cambria Math"/>
                        <w:i/>
                        <w:szCs w:val="24"/>
                      </w:rPr>
                    </m:ctrlPr>
                  </m:dPr>
                  <m:e>
                    <m:f>
                      <m:fPr>
                        <m:ctrlPr>
                          <w:rPr>
                            <w:rFonts w:ascii="Cambria Math" w:eastAsiaTheme="minorEastAsia" w:hAnsi="Cambria Math"/>
                            <w:i/>
                            <w:szCs w:val="24"/>
                          </w:rPr>
                        </m:ctrlPr>
                      </m:fPr>
                      <m:num>
                        <m:sSub>
                          <m:sSubPr>
                            <m:ctrlPr>
                              <w:rPr>
                                <w:rFonts w:ascii="Cambria Math" w:eastAsiaTheme="minorEastAsia" w:hAnsi="Cambria Math"/>
                                <w:i/>
                                <w:szCs w:val="24"/>
                              </w:rPr>
                            </m:ctrlPr>
                          </m:sSubPr>
                          <m:e>
                            <m:r>
                              <w:rPr>
                                <w:rFonts w:ascii="Cambria Math" w:eastAsiaTheme="minorEastAsia" w:hAnsi="Cambria Math"/>
                                <w:szCs w:val="24"/>
                              </w:rPr>
                              <m:t>x</m:t>
                            </m:r>
                          </m:e>
                          <m:sub>
                            <m:r>
                              <w:rPr>
                                <w:rFonts w:ascii="Cambria Math" w:eastAsiaTheme="minorEastAsia" w:hAnsi="Cambria Math"/>
                                <w:szCs w:val="24"/>
                              </w:rPr>
                              <m:t>0</m:t>
                            </m:r>
                          </m:sub>
                        </m:sSub>
                      </m:num>
                      <m:den>
                        <m:sSub>
                          <m:sSubPr>
                            <m:ctrlPr>
                              <w:rPr>
                                <w:rFonts w:ascii="Cambria Math" w:eastAsiaTheme="minorEastAsia" w:hAnsi="Cambria Math"/>
                                <w:i/>
                                <w:szCs w:val="24"/>
                              </w:rPr>
                            </m:ctrlPr>
                          </m:sSubPr>
                          <m:e>
                            <m:r>
                              <w:rPr>
                                <w:rFonts w:ascii="Cambria Math" w:eastAsiaTheme="minorEastAsia" w:hAnsi="Cambria Math"/>
                                <w:szCs w:val="24"/>
                              </w:rPr>
                              <m:t>L</m:t>
                            </m:r>
                          </m:e>
                          <m:sub>
                            <m:r>
                              <w:rPr>
                                <w:rFonts w:ascii="Cambria Math" w:eastAsiaTheme="minorEastAsia" w:hAnsi="Cambria Math"/>
                                <w:szCs w:val="24"/>
                              </w:rPr>
                              <m:t>0</m:t>
                            </m:r>
                          </m:sub>
                        </m:sSub>
                      </m:den>
                    </m:f>
                  </m:e>
                </m:d>
              </m:e>
              <m:sup>
                <m:r>
                  <w:rPr>
                    <w:rFonts w:ascii="Cambria Math" w:eastAsiaTheme="minorEastAsia" w:hAnsi="Cambria Math"/>
                    <w:szCs w:val="24"/>
                  </w:rPr>
                  <m:t>2</m:t>
                </m:r>
              </m:sup>
            </m:sSup>
          </m:e>
        </m:d>
      </m:oMath>
      <w:r w:rsidRPr="009E1EA6">
        <w:rPr>
          <w:rFonts w:eastAsiaTheme="minorEastAsia"/>
          <w:szCs w:val="24"/>
        </w:rPr>
        <w:t xml:space="preserve"> must be considered for a correct assessment of the horizontal block stiffness.</w:t>
      </w:r>
    </w:p>
    <w:p w14:paraId="5281370D" w14:textId="3F67C5CD" w:rsidR="00731941" w:rsidRPr="009E1EA6" w:rsidRDefault="00B74A7C" w:rsidP="00057A26">
      <w:pPr>
        <w:pStyle w:val="Textoindependiente"/>
        <w:rPr>
          <w:szCs w:val="24"/>
        </w:rPr>
      </w:pPr>
      <w:r w:rsidRPr="009E1EA6">
        <w:rPr>
          <w:szCs w:val="24"/>
        </w:rPr>
        <w:t xml:space="preserve">Analogously, the vertical </w:t>
      </w:r>
      <w:r w:rsidRPr="009E1EA6">
        <w:rPr>
          <w:rFonts w:eastAsiaTheme="minorEastAsia"/>
          <w:szCs w:val="24"/>
        </w:rPr>
        <w:t>components</w:t>
      </w:r>
      <w:r w:rsidRPr="009E1EA6">
        <w:rPr>
          <w:szCs w:val="24"/>
        </w:rPr>
        <w:t xml:space="preserve"> of the left and right anchor</w:t>
      </w:r>
      <w:r w:rsidR="005C246E" w:rsidRPr="009E1EA6">
        <w:rPr>
          <w:szCs w:val="24"/>
        </w:rPr>
        <w:t>s</w:t>
      </w:r>
      <w:r w:rsidRPr="009E1EA6">
        <w:rPr>
          <w:szCs w:val="24"/>
        </w:rPr>
        <w:t xml:space="preserve"> are written as </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76D4B7FB" w14:textId="77777777" w:rsidTr="00563FAC">
        <w:tc>
          <w:tcPr>
            <w:tcW w:w="8328" w:type="dxa"/>
            <w:vAlign w:val="center"/>
          </w:tcPr>
          <w:p w14:paraId="4229C996" w14:textId="72309068" w:rsidR="00731941" w:rsidRPr="009E1EA6" w:rsidRDefault="006E3CB7" w:rsidP="00724949">
            <w:pPr>
              <w:pStyle w:val="Textoindependiente"/>
              <w:ind w:firstLine="0"/>
              <w:rPr>
                <w:szCs w:val="24"/>
                <w:lang w:val="en-US"/>
              </w:rPr>
            </w:pPr>
            <m:oMathPara>
              <m:oMath>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vy</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0</m:t>
                        </m:r>
                      </m:sub>
                    </m:sSub>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wy</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0</m:t>
                        </m:r>
                      </m:sub>
                    </m:sSub>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oMath>
            </m:oMathPara>
          </w:p>
        </w:tc>
        <w:tc>
          <w:tcPr>
            <w:tcW w:w="903" w:type="dxa"/>
            <w:vAlign w:val="center"/>
          </w:tcPr>
          <w:p w14:paraId="58274D7E" w14:textId="77777777" w:rsidR="00731941" w:rsidRPr="009E1EA6" w:rsidRDefault="00B74A7C" w:rsidP="00883332">
            <w:pPr>
              <w:pStyle w:val="Textoindependiente"/>
              <w:ind w:firstLine="0"/>
              <w:rPr>
                <w:lang w:val="en-US"/>
              </w:rPr>
            </w:pPr>
            <w:r w:rsidRPr="009E1EA6">
              <w:rPr>
                <w:lang w:val="en-US"/>
              </w:rPr>
              <w:t>(A11)</w:t>
            </w:r>
          </w:p>
        </w:tc>
      </w:tr>
    </w:tbl>
    <w:p w14:paraId="59A316E3" w14:textId="3E3E77A1" w:rsidR="00731941" w:rsidRPr="009E1EA6" w:rsidRDefault="00B74A7C" w:rsidP="00976635">
      <w:pPr>
        <w:pStyle w:val="Textoindependiente"/>
        <w:ind w:firstLine="0"/>
        <w:rPr>
          <w:rFonts w:eastAsiaTheme="minorEastAsia"/>
          <w:szCs w:val="24"/>
        </w:rPr>
      </w:pPr>
      <w:r w:rsidRPr="009E1EA6">
        <w:rPr>
          <w:rFonts w:eastAsiaTheme="minorEastAsia"/>
          <w:szCs w:val="24"/>
        </w:rPr>
        <w:t>and the net vertical force is given by (Figure A</w:t>
      </w:r>
      <w:r w:rsidR="00AB1A73" w:rsidRPr="009E1EA6">
        <w:rPr>
          <w:rFonts w:eastAsiaTheme="minorEastAsia"/>
          <w:szCs w:val="24"/>
        </w:rPr>
        <w:t>2</w:t>
      </w:r>
      <w:r w:rsidRPr="009E1EA6">
        <w:rPr>
          <w:rFonts w:eastAsiaTheme="minorEastAsia"/>
          <w:szCs w:val="24"/>
        </w:rPr>
        <w:t>(</w:t>
      </w:r>
      <w:r w:rsidR="00AB1A73" w:rsidRPr="009E1EA6">
        <w:rPr>
          <w:rFonts w:eastAsiaTheme="minorEastAsia"/>
          <w:szCs w:val="24"/>
        </w:rPr>
        <w:t>d</w:t>
      </w:r>
      <w:r w:rsidRPr="009E1EA6">
        <w:rPr>
          <w:rFonts w:eastAsiaTheme="minorEastAsia"/>
          <w:szCs w:val="24"/>
        </w:rPr>
        <w:t>))</w:t>
      </w:r>
    </w:p>
    <w:tbl>
      <w:tblPr>
        <w:tblStyle w:val="Tablaconcuadrcula"/>
        <w:tblW w:w="9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28"/>
        <w:gridCol w:w="903"/>
      </w:tblGrid>
      <w:tr w:rsidR="009E1EA6" w:rsidRPr="009E1EA6" w14:paraId="6B53335E" w14:textId="77777777" w:rsidTr="00563FAC">
        <w:tc>
          <w:tcPr>
            <w:tcW w:w="8328" w:type="dxa"/>
            <w:vAlign w:val="center"/>
          </w:tcPr>
          <w:p w14:paraId="60B1E24C" w14:textId="77777777" w:rsidR="00731941" w:rsidRPr="009E1EA6" w:rsidRDefault="00B74A7C" w:rsidP="00563FAC">
            <w:pPr>
              <w:pStyle w:val="Textoindependiente"/>
              <w:ind w:firstLine="0"/>
              <w:rPr>
                <w:szCs w:val="24"/>
                <w:lang w:val="en-US"/>
              </w:rPr>
            </w:pPr>
            <m:oMathPara>
              <m:oMath>
                <m:r>
                  <w:rPr>
                    <w:rFonts w:ascii="Cambria Math" w:eastAsiaTheme="minorEastAsia" w:hAnsi="Cambria Math"/>
                    <w:szCs w:val="24"/>
                    <w:lang w:val="en-US"/>
                  </w:rPr>
                  <w:lastRenderedPageBreak/>
                  <m:t>FY=2</m:t>
                </m:r>
                <m:sSub>
                  <m:sSubPr>
                    <m:ctrlPr>
                      <w:rPr>
                        <w:rFonts w:ascii="Cambria Math" w:eastAsiaTheme="minorEastAsia" w:hAnsi="Cambria Math"/>
                        <w:i/>
                        <w:szCs w:val="24"/>
                        <w:lang w:val="en-US"/>
                      </w:rPr>
                    </m:ctrlPr>
                  </m:sSubPr>
                  <m:e>
                    <m:r>
                      <w:rPr>
                        <w:rFonts w:ascii="Cambria Math" w:eastAsiaTheme="minorEastAsia" w:hAnsi="Cambria Math"/>
                        <w:szCs w:val="24"/>
                        <w:lang w:val="en-US"/>
                      </w:rPr>
                      <m:t>F</m:t>
                    </m:r>
                  </m:e>
                  <m:sub>
                    <m:r>
                      <w:rPr>
                        <w:rFonts w:ascii="Cambria Math" w:eastAsiaTheme="minorEastAsia" w:hAnsi="Cambria Math"/>
                        <w:szCs w:val="24"/>
                        <w:lang w:val="en-US"/>
                      </w:rPr>
                      <m:t>vy</m:t>
                    </m:r>
                  </m:sub>
                </m:sSub>
                <m:r>
                  <w:rPr>
                    <w:rFonts w:ascii="Cambria Math" w:eastAsiaTheme="minorEastAsia" w:hAnsi="Cambria Math"/>
                    <w:szCs w:val="24"/>
                    <w:lang w:val="en-US"/>
                  </w:rPr>
                  <m:t>+</m:t>
                </m:r>
                <m:sSub>
                  <m:sSubPr>
                    <m:ctrlPr>
                      <w:rPr>
                        <w:rFonts w:ascii="Cambria Math" w:eastAsiaTheme="minorEastAsia" w:hAnsi="Cambria Math"/>
                        <w:i/>
                        <w:szCs w:val="24"/>
                        <w:lang w:val="en-US"/>
                      </w:rPr>
                    </m:ctrlPr>
                  </m:sSubPr>
                  <m:e>
                    <m:r>
                      <w:rPr>
                        <w:rFonts w:ascii="Cambria Math" w:eastAsiaTheme="minorEastAsia" w:hAnsi="Cambria Math"/>
                        <w:szCs w:val="24"/>
                        <w:lang w:val="en-US"/>
                      </w:rPr>
                      <m:t>2F</m:t>
                    </m:r>
                  </m:e>
                  <m:sub>
                    <m:r>
                      <w:rPr>
                        <w:rFonts w:ascii="Cambria Math" w:eastAsiaTheme="minorEastAsia" w:hAnsi="Cambria Math"/>
                        <w:szCs w:val="24"/>
                        <w:lang w:val="en-US"/>
                      </w:rPr>
                      <m:t>wy</m:t>
                    </m:r>
                  </m:sub>
                </m:sSub>
                <m:r>
                  <w:rPr>
                    <w:rFonts w:ascii="Cambria Math" w:eastAsiaTheme="minorEastAsia" w:hAnsi="Cambria Math"/>
                    <w:szCs w:val="24"/>
                    <w:lang w:val="en-US"/>
                  </w:rPr>
                  <m:t>=2</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v</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0</m:t>
                        </m:r>
                      </m:sub>
                    </m:sSub>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r>
                  <w:rPr>
                    <w:rFonts w:ascii="Cambria Math" w:hAnsi="Cambria Math"/>
                    <w:szCs w:val="24"/>
                    <w:lang w:val="en-US"/>
                  </w:rPr>
                  <m:t>+2</m:t>
                </m:r>
                <m:sSub>
                  <m:sSubPr>
                    <m:ctrlPr>
                      <w:rPr>
                        <w:rFonts w:ascii="Cambria Math" w:hAnsi="Cambria Math"/>
                        <w:i/>
                        <w:szCs w:val="24"/>
                        <w:lang w:val="en-US"/>
                      </w:rPr>
                    </m:ctrlPr>
                  </m:sSubPr>
                  <m:e>
                    <m:r>
                      <w:rPr>
                        <w:rFonts w:ascii="Cambria Math" w:hAnsi="Cambria Math"/>
                        <w:szCs w:val="24"/>
                        <w:lang w:val="en-US"/>
                      </w:rPr>
                      <m:t>F</m:t>
                    </m:r>
                  </m:e>
                  <m:sub>
                    <m:r>
                      <w:rPr>
                        <w:rFonts w:ascii="Cambria Math" w:hAnsi="Cambria Math"/>
                        <w:szCs w:val="24"/>
                        <w:lang w:val="en-US"/>
                      </w:rPr>
                      <m:t>w</m:t>
                    </m:r>
                  </m:sub>
                </m:sSub>
                <m:r>
                  <w:rPr>
                    <w:rFonts w:ascii="Cambria Math" w:hAnsi="Cambria Math"/>
                    <w:szCs w:val="24"/>
                    <w:lang w:val="en-US"/>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z</m:t>
                        </m:r>
                      </m:e>
                      <m:sub>
                        <m:r>
                          <w:rPr>
                            <w:rFonts w:ascii="Cambria Math" w:hAnsi="Cambria Math"/>
                            <w:szCs w:val="24"/>
                            <w:lang w:val="en-US"/>
                          </w:rPr>
                          <m:t>0</m:t>
                        </m:r>
                      </m:sub>
                    </m:sSub>
                  </m:num>
                  <m:den>
                    <m:rad>
                      <m:radPr>
                        <m:degHide m:val="1"/>
                        <m:ctrlPr>
                          <w:rPr>
                            <w:rFonts w:ascii="Cambria Math" w:hAnsi="Cambria Math"/>
                            <w:i/>
                            <w:szCs w:val="24"/>
                            <w:lang w:val="en-US"/>
                          </w:rPr>
                        </m:ctrlPr>
                      </m:radPr>
                      <m:deg/>
                      <m:e>
                        <m:sSup>
                          <m:sSupPr>
                            <m:ctrlPr>
                              <w:rPr>
                                <w:rFonts w:ascii="Cambria Math" w:hAnsi="Cambria Math"/>
                                <w:i/>
                                <w:szCs w:val="24"/>
                                <w:lang w:val="en-US"/>
                              </w:rPr>
                            </m:ctrlPr>
                          </m:sSupPr>
                          <m:e>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lang w:val="en-US"/>
                                      </w:rPr>
                                      <m:t>x</m:t>
                                    </m:r>
                                  </m:e>
                                  <m:sub>
                                    <m:r>
                                      <w:rPr>
                                        <w:rFonts w:ascii="Cambria Math" w:hAnsi="Cambria Math"/>
                                        <w:szCs w:val="24"/>
                                        <w:lang w:val="en-US"/>
                                      </w:rPr>
                                      <m:t>0</m:t>
                                    </m:r>
                                  </m:sub>
                                </m:sSub>
                                <m:r>
                                  <w:rPr>
                                    <w:rFonts w:ascii="Cambria Math" w:hAnsi="Cambria Math"/>
                                    <w:szCs w:val="24"/>
                                    <w:lang w:val="en-US"/>
                                  </w:rPr>
                                  <m:t>-x</m:t>
                                </m:r>
                              </m:e>
                            </m:d>
                          </m:e>
                          <m:sup>
                            <m:r>
                              <w:rPr>
                                <w:rFonts w:ascii="Cambria Math" w:hAnsi="Cambria Math"/>
                                <w:szCs w:val="24"/>
                                <w:lang w:val="en-US"/>
                              </w:rPr>
                              <m:t>2</m:t>
                            </m:r>
                          </m:sup>
                        </m:s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y</m:t>
                            </m:r>
                          </m:e>
                          <m:sub>
                            <m:r>
                              <w:rPr>
                                <w:rFonts w:ascii="Cambria Math" w:hAnsi="Cambria Math"/>
                                <w:szCs w:val="24"/>
                                <w:lang w:val="en-US"/>
                              </w:rPr>
                              <m:t>0</m:t>
                            </m:r>
                          </m:sub>
                          <m:sup>
                            <m:r>
                              <w:rPr>
                                <w:rFonts w:ascii="Cambria Math" w:hAnsi="Cambria Math"/>
                                <w:szCs w:val="24"/>
                                <w:lang w:val="en-US"/>
                              </w:rPr>
                              <m:t>2</m:t>
                            </m:r>
                          </m:sup>
                        </m:sSubSup>
                        <m:r>
                          <w:rPr>
                            <w:rFonts w:ascii="Cambria Math" w:hAnsi="Cambria Math"/>
                            <w:szCs w:val="24"/>
                            <w:lang w:val="en-US"/>
                          </w:rPr>
                          <m:t>+</m:t>
                        </m:r>
                        <m:sSubSup>
                          <m:sSubSupPr>
                            <m:ctrlPr>
                              <w:rPr>
                                <w:rFonts w:ascii="Cambria Math" w:hAnsi="Cambria Math"/>
                                <w:i/>
                                <w:szCs w:val="24"/>
                                <w:lang w:val="en-US"/>
                              </w:rPr>
                            </m:ctrlPr>
                          </m:sSubSupPr>
                          <m:e>
                            <m:r>
                              <w:rPr>
                                <w:rFonts w:ascii="Cambria Math" w:hAnsi="Cambria Math"/>
                                <w:szCs w:val="24"/>
                                <w:lang w:val="en-US"/>
                              </w:rPr>
                              <m:t>z</m:t>
                            </m:r>
                          </m:e>
                          <m:sub>
                            <m:r>
                              <w:rPr>
                                <w:rFonts w:ascii="Cambria Math" w:hAnsi="Cambria Math"/>
                                <w:szCs w:val="24"/>
                                <w:lang w:val="en-US"/>
                              </w:rPr>
                              <m:t>0</m:t>
                            </m:r>
                          </m:sub>
                          <m:sup>
                            <m:r>
                              <w:rPr>
                                <w:rFonts w:ascii="Cambria Math" w:hAnsi="Cambria Math"/>
                                <w:szCs w:val="24"/>
                                <w:lang w:val="en-US"/>
                              </w:rPr>
                              <m:t>2</m:t>
                            </m:r>
                          </m:sup>
                        </m:sSubSup>
                      </m:e>
                    </m:rad>
                  </m:den>
                </m:f>
              </m:oMath>
            </m:oMathPara>
          </w:p>
        </w:tc>
        <w:tc>
          <w:tcPr>
            <w:tcW w:w="903" w:type="dxa"/>
            <w:vAlign w:val="center"/>
          </w:tcPr>
          <w:p w14:paraId="234363AA" w14:textId="77777777" w:rsidR="00731941" w:rsidRPr="009E1EA6" w:rsidRDefault="00B74A7C" w:rsidP="00883332">
            <w:pPr>
              <w:pStyle w:val="Textoindependiente"/>
              <w:ind w:firstLine="0"/>
              <w:rPr>
                <w:lang w:val="en-US"/>
              </w:rPr>
            </w:pPr>
            <w:r w:rsidRPr="009E1EA6">
              <w:rPr>
                <w:lang w:val="en-US"/>
              </w:rPr>
              <w:t>(A12)</w:t>
            </w:r>
          </w:p>
        </w:tc>
      </w:tr>
    </w:tbl>
    <w:p w14:paraId="2AC719CF" w14:textId="6C26EE12" w:rsidR="00A573FE" w:rsidRPr="009E1EA6" w:rsidRDefault="00B74A7C" w:rsidP="00A573FE">
      <w:pPr>
        <w:pStyle w:val="Textoindependiente"/>
        <w:rPr>
          <w:rFonts w:eastAsiaTheme="minorEastAsia"/>
          <w:szCs w:val="24"/>
        </w:rPr>
      </w:pPr>
      <w:r w:rsidRPr="009E1EA6">
        <w:rPr>
          <w:szCs w:val="24"/>
        </w:rPr>
        <w:t>Figures A2(</w:t>
      </w:r>
      <w:r w:rsidR="00724949" w:rsidRPr="009E1EA6">
        <w:rPr>
          <w:szCs w:val="24"/>
        </w:rPr>
        <w:t>c</w:t>
      </w:r>
      <w:r w:rsidRPr="009E1EA6">
        <w:rPr>
          <w:szCs w:val="24"/>
        </w:rPr>
        <w:t xml:space="preserve">) and (d) show the complex relation between the block deformation and the net loads imposed by the anchor. From </w:t>
      </w:r>
      <w:r w:rsidR="005C246E" w:rsidRPr="009E1EA6">
        <w:rPr>
          <w:szCs w:val="24"/>
        </w:rPr>
        <w:t xml:space="preserve">Figure </w:t>
      </w:r>
      <w:r w:rsidRPr="009E1EA6">
        <w:rPr>
          <w:szCs w:val="24"/>
        </w:rPr>
        <w:t>A2(c), it is apparent that the small displacement approximation (i.e., stiffness from Eq</w:t>
      </w:r>
      <w:r w:rsidR="005C246E" w:rsidRPr="009E1EA6">
        <w:rPr>
          <w:szCs w:val="24"/>
        </w:rPr>
        <w:t xml:space="preserve">uation </w:t>
      </w:r>
      <w:r w:rsidRPr="009E1EA6">
        <w:rPr>
          <w:szCs w:val="24"/>
        </w:rPr>
        <w:t xml:space="preserve">A10) is valid up to </w:t>
      </w:r>
      <w:r w:rsidRPr="009E1EA6">
        <w:rPr>
          <w:rFonts w:eastAsiaTheme="minorEastAsia"/>
          <w:szCs w:val="24"/>
        </w:rPr>
        <w:t>yielding</w:t>
      </w:r>
      <w:r w:rsidRPr="009E1EA6">
        <w:rPr>
          <w:szCs w:val="24"/>
        </w:rPr>
        <w:t xml:space="preserve"> of the anchor in tension. Once the left anchor breaks, the vertical projection of forces </w:t>
      </w:r>
      <m:oMath>
        <m:r>
          <w:rPr>
            <w:rFonts w:ascii="Cambria Math" w:hAnsi="Cambria Math"/>
            <w:szCs w:val="24"/>
          </w:rPr>
          <m:t>FY</m:t>
        </m:r>
      </m:oMath>
      <w:r w:rsidRPr="009E1EA6">
        <w:rPr>
          <w:rFonts w:eastAsiaTheme="minorEastAsia"/>
          <w:szCs w:val="24"/>
        </w:rPr>
        <w:t xml:space="preserve"> abruptly changes direction and ‘pushes the block up’ since the right anchor is still in compression.</w:t>
      </w:r>
    </w:p>
    <w:p w14:paraId="3335D817" w14:textId="77777777" w:rsidR="00A573FE" w:rsidRPr="009E1EA6" w:rsidRDefault="00A573FE" w:rsidP="00A573FE">
      <w:pPr>
        <w:rPr>
          <w:szCs w:val="24"/>
        </w:rPr>
      </w:pPr>
    </w:p>
    <w:p w14:paraId="33AFC58B" w14:textId="77777777" w:rsidR="00A573FE" w:rsidRPr="009E1EA6" w:rsidRDefault="00B74A7C">
      <w:pPr>
        <w:jc w:val="left"/>
        <w:rPr>
          <w:b/>
          <w:caps/>
        </w:rPr>
      </w:pPr>
      <w:r w:rsidRPr="009E1EA6">
        <w:br w:type="page"/>
      </w:r>
    </w:p>
    <w:p w14:paraId="793A4181" w14:textId="77777777" w:rsidR="00B25330" w:rsidRPr="009E1EA6" w:rsidRDefault="00731941" w:rsidP="00976635">
      <w:pPr>
        <w:pStyle w:val="Ttulo1"/>
        <w:jc w:val="left"/>
      </w:pPr>
      <w:r w:rsidRPr="009E1EA6">
        <w:lastRenderedPageBreak/>
        <w:t xml:space="preserve">appendix </w:t>
      </w:r>
      <w:r w:rsidR="00A310B0" w:rsidRPr="009E1EA6">
        <w:t>B</w:t>
      </w:r>
    </w:p>
    <w:p w14:paraId="4AEFF42A" w14:textId="7967A73D" w:rsidR="00B25330" w:rsidRPr="009E1EA6" w:rsidRDefault="00B74A7C" w:rsidP="00333B77">
      <w:pPr>
        <w:spacing w:after="60" w:line="360" w:lineRule="auto"/>
        <w:rPr>
          <w:sz w:val="22"/>
        </w:rPr>
      </w:pPr>
      <w:r w:rsidRPr="009E1EA6">
        <w:rPr>
          <w:b/>
          <w:sz w:val="22"/>
        </w:rPr>
        <w:t xml:space="preserve">Table </w:t>
      </w:r>
      <w:r w:rsidR="00F37CE4" w:rsidRPr="009E1EA6">
        <w:rPr>
          <w:b/>
          <w:sz w:val="22"/>
        </w:rPr>
        <w:t>B1</w:t>
      </w:r>
      <w:r w:rsidRPr="009E1EA6">
        <w:rPr>
          <w:b/>
          <w:sz w:val="22"/>
        </w:rPr>
        <w:t xml:space="preserve"> </w:t>
      </w:r>
      <w:r w:rsidRPr="009E1EA6">
        <w:rPr>
          <w:sz w:val="22"/>
        </w:rPr>
        <w:t>Seismic events used in this study</w:t>
      </w:r>
    </w:p>
    <w:tbl>
      <w:tblPr>
        <w:tblStyle w:val="Tablaconcuadrcula"/>
        <w:tblW w:w="90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2"/>
        <w:gridCol w:w="1706"/>
        <w:gridCol w:w="1418"/>
        <w:gridCol w:w="567"/>
        <w:gridCol w:w="850"/>
        <w:gridCol w:w="993"/>
        <w:gridCol w:w="850"/>
        <w:gridCol w:w="2058"/>
      </w:tblGrid>
      <w:tr w:rsidR="009E1EA6" w:rsidRPr="009E1EA6" w14:paraId="2E651815" w14:textId="77777777" w:rsidTr="00725D3A">
        <w:trPr>
          <w:jc w:val="center"/>
        </w:trPr>
        <w:tc>
          <w:tcPr>
            <w:tcW w:w="562" w:type="dxa"/>
            <w:vMerge w:val="restart"/>
            <w:tcBorders>
              <w:top w:val="double" w:sz="4" w:space="0" w:color="auto"/>
            </w:tcBorders>
            <w:vAlign w:val="center"/>
          </w:tcPr>
          <w:p w14:paraId="7276C44C" w14:textId="14D1965E" w:rsidR="008C4939" w:rsidRPr="009E1EA6" w:rsidRDefault="00B74A7C" w:rsidP="00262C2A">
            <w:pPr>
              <w:jc w:val="center"/>
              <w:rPr>
                <w:b/>
                <w:sz w:val="22"/>
                <w:szCs w:val="22"/>
                <w:lang w:val="en-US"/>
              </w:rPr>
            </w:pPr>
            <w:r w:rsidRPr="009E1EA6">
              <w:rPr>
                <w:b/>
                <w:sz w:val="22"/>
                <w:szCs w:val="22"/>
                <w:lang w:val="en-US"/>
              </w:rPr>
              <w:t>N</w:t>
            </w:r>
            <w:r w:rsidR="005C246E" w:rsidRPr="009E1EA6">
              <w:rPr>
                <w:b/>
                <w:sz w:val="22"/>
                <w:szCs w:val="22"/>
                <w:lang w:val="en-US"/>
              </w:rPr>
              <w:t>o.</w:t>
            </w:r>
          </w:p>
        </w:tc>
        <w:tc>
          <w:tcPr>
            <w:tcW w:w="1706" w:type="dxa"/>
            <w:vMerge w:val="restart"/>
            <w:tcBorders>
              <w:top w:val="double" w:sz="4" w:space="0" w:color="auto"/>
            </w:tcBorders>
            <w:vAlign w:val="center"/>
          </w:tcPr>
          <w:p w14:paraId="51559E08" w14:textId="77777777" w:rsidR="008C4939" w:rsidRPr="009E1EA6" w:rsidRDefault="00B74A7C" w:rsidP="00262C2A">
            <w:pPr>
              <w:jc w:val="center"/>
              <w:rPr>
                <w:b/>
                <w:sz w:val="22"/>
                <w:szCs w:val="22"/>
                <w:lang w:val="en-US"/>
              </w:rPr>
            </w:pPr>
            <w:r w:rsidRPr="009E1EA6">
              <w:rPr>
                <w:b/>
                <w:sz w:val="22"/>
                <w:szCs w:val="22"/>
                <w:lang w:val="en-US"/>
              </w:rPr>
              <w:t>Date</w:t>
            </w:r>
          </w:p>
          <w:p w14:paraId="5C9C6DA6" w14:textId="77777777" w:rsidR="008C4939" w:rsidRPr="009E1EA6" w:rsidRDefault="00B74A7C" w:rsidP="00262C2A">
            <w:pPr>
              <w:jc w:val="center"/>
              <w:rPr>
                <w:b/>
                <w:sz w:val="22"/>
                <w:szCs w:val="22"/>
                <w:lang w:val="en-US"/>
              </w:rPr>
            </w:pPr>
            <w:r w:rsidRPr="009E1EA6">
              <w:rPr>
                <w:b/>
                <w:sz w:val="22"/>
                <w:szCs w:val="22"/>
                <w:lang w:val="en-US"/>
              </w:rPr>
              <w:t>yyyy-mm-dd</w:t>
            </w:r>
          </w:p>
        </w:tc>
        <w:tc>
          <w:tcPr>
            <w:tcW w:w="1418" w:type="dxa"/>
            <w:vMerge w:val="restart"/>
            <w:tcBorders>
              <w:top w:val="double" w:sz="4" w:space="0" w:color="auto"/>
            </w:tcBorders>
            <w:vAlign w:val="center"/>
          </w:tcPr>
          <w:p w14:paraId="782763DA" w14:textId="77777777" w:rsidR="008C4939" w:rsidRPr="009E1EA6" w:rsidRDefault="00B74A7C" w:rsidP="00262C2A">
            <w:pPr>
              <w:jc w:val="center"/>
              <w:rPr>
                <w:b/>
                <w:sz w:val="22"/>
                <w:szCs w:val="22"/>
                <w:lang w:val="en-US"/>
              </w:rPr>
            </w:pPr>
            <w:r w:rsidRPr="009E1EA6">
              <w:rPr>
                <w:b/>
                <w:sz w:val="22"/>
                <w:szCs w:val="22"/>
                <w:lang w:val="en-US"/>
              </w:rPr>
              <w:t>Mechanism*</w:t>
            </w:r>
          </w:p>
        </w:tc>
        <w:tc>
          <w:tcPr>
            <w:tcW w:w="567" w:type="dxa"/>
            <w:vMerge w:val="restart"/>
            <w:tcBorders>
              <w:top w:val="double" w:sz="4" w:space="0" w:color="auto"/>
            </w:tcBorders>
            <w:vAlign w:val="center"/>
          </w:tcPr>
          <w:p w14:paraId="1A2E8747" w14:textId="77777777" w:rsidR="008C4939" w:rsidRPr="009E1EA6" w:rsidRDefault="00B74A7C" w:rsidP="00262C2A">
            <w:pPr>
              <w:jc w:val="center"/>
              <w:rPr>
                <w:b/>
                <w:sz w:val="22"/>
                <w:szCs w:val="22"/>
                <w:lang w:val="en-US"/>
              </w:rPr>
            </w:pPr>
            <w:r w:rsidRPr="009E1EA6">
              <w:rPr>
                <w:b/>
                <w:sz w:val="22"/>
                <w:szCs w:val="22"/>
                <w:lang w:val="en-US"/>
              </w:rPr>
              <w:t>M</w:t>
            </w:r>
            <w:r w:rsidRPr="009E1EA6">
              <w:rPr>
                <w:b/>
                <w:sz w:val="22"/>
                <w:szCs w:val="22"/>
                <w:vertAlign w:val="subscript"/>
                <w:lang w:val="en-US"/>
              </w:rPr>
              <w:t>w</w:t>
            </w:r>
          </w:p>
        </w:tc>
        <w:tc>
          <w:tcPr>
            <w:tcW w:w="2693" w:type="dxa"/>
            <w:gridSpan w:val="3"/>
            <w:tcBorders>
              <w:top w:val="double" w:sz="4" w:space="0" w:color="auto"/>
            </w:tcBorders>
            <w:vAlign w:val="center"/>
          </w:tcPr>
          <w:p w14:paraId="0608639F" w14:textId="09B650D8" w:rsidR="008C4939" w:rsidRPr="009E1EA6" w:rsidRDefault="00B74A7C" w:rsidP="00262C2A">
            <w:pPr>
              <w:jc w:val="center"/>
              <w:rPr>
                <w:b/>
                <w:sz w:val="22"/>
                <w:szCs w:val="22"/>
                <w:lang w:val="en-US"/>
              </w:rPr>
            </w:pPr>
            <w:r w:rsidRPr="009E1EA6">
              <w:rPr>
                <w:b/>
                <w:sz w:val="22"/>
                <w:szCs w:val="22"/>
                <w:lang w:val="en-US"/>
              </w:rPr>
              <w:t xml:space="preserve">Hypocenter </w:t>
            </w:r>
            <w:r w:rsidR="005C246E" w:rsidRPr="009E1EA6">
              <w:rPr>
                <w:b/>
                <w:sz w:val="22"/>
                <w:szCs w:val="22"/>
                <w:lang w:val="en-US"/>
              </w:rPr>
              <w:t>location</w:t>
            </w:r>
          </w:p>
        </w:tc>
        <w:tc>
          <w:tcPr>
            <w:tcW w:w="2058" w:type="dxa"/>
            <w:tcBorders>
              <w:top w:val="double" w:sz="4" w:space="0" w:color="auto"/>
            </w:tcBorders>
          </w:tcPr>
          <w:p w14:paraId="0AE2806A" w14:textId="77777777" w:rsidR="008C4939" w:rsidRPr="009E1EA6" w:rsidRDefault="00B74A7C" w:rsidP="002D599E">
            <w:pPr>
              <w:jc w:val="center"/>
              <w:rPr>
                <w:b/>
                <w:sz w:val="22"/>
                <w:szCs w:val="22"/>
                <w:lang w:val="en-US"/>
              </w:rPr>
            </w:pPr>
            <w:r w:rsidRPr="009E1EA6">
              <w:rPr>
                <w:b/>
                <w:sz w:val="22"/>
                <w:szCs w:val="22"/>
                <w:lang w:val="en-US"/>
              </w:rPr>
              <w:t>Number of ground motions</w:t>
            </w:r>
          </w:p>
        </w:tc>
      </w:tr>
      <w:tr w:rsidR="009E1EA6" w:rsidRPr="009E1EA6" w14:paraId="40FEFC83" w14:textId="77777777" w:rsidTr="00725D3A">
        <w:trPr>
          <w:trHeight w:val="123"/>
          <w:jc w:val="center"/>
        </w:trPr>
        <w:tc>
          <w:tcPr>
            <w:tcW w:w="562" w:type="dxa"/>
            <w:vMerge/>
            <w:tcBorders>
              <w:bottom w:val="single" w:sz="4" w:space="0" w:color="auto"/>
            </w:tcBorders>
            <w:vAlign w:val="center"/>
          </w:tcPr>
          <w:p w14:paraId="7759B298" w14:textId="77777777" w:rsidR="008C4939" w:rsidRPr="009E1EA6" w:rsidRDefault="008C4939" w:rsidP="00262C2A">
            <w:pPr>
              <w:jc w:val="center"/>
              <w:rPr>
                <w:b/>
                <w:sz w:val="22"/>
                <w:szCs w:val="22"/>
                <w:lang w:val="en-US"/>
              </w:rPr>
            </w:pPr>
          </w:p>
        </w:tc>
        <w:tc>
          <w:tcPr>
            <w:tcW w:w="1706" w:type="dxa"/>
            <w:vMerge/>
            <w:tcBorders>
              <w:bottom w:val="single" w:sz="4" w:space="0" w:color="auto"/>
            </w:tcBorders>
            <w:vAlign w:val="center"/>
          </w:tcPr>
          <w:p w14:paraId="472570AC" w14:textId="77777777" w:rsidR="008C4939" w:rsidRPr="009E1EA6" w:rsidRDefault="008C4939" w:rsidP="00262C2A">
            <w:pPr>
              <w:jc w:val="center"/>
              <w:rPr>
                <w:b/>
                <w:sz w:val="22"/>
                <w:szCs w:val="22"/>
                <w:lang w:val="en-US"/>
              </w:rPr>
            </w:pPr>
          </w:p>
        </w:tc>
        <w:tc>
          <w:tcPr>
            <w:tcW w:w="1418" w:type="dxa"/>
            <w:vMerge/>
            <w:tcBorders>
              <w:bottom w:val="single" w:sz="4" w:space="0" w:color="auto"/>
            </w:tcBorders>
            <w:vAlign w:val="center"/>
          </w:tcPr>
          <w:p w14:paraId="02604F47" w14:textId="77777777" w:rsidR="008C4939" w:rsidRPr="009E1EA6" w:rsidRDefault="008C4939" w:rsidP="00262C2A">
            <w:pPr>
              <w:jc w:val="center"/>
              <w:rPr>
                <w:b/>
                <w:sz w:val="22"/>
                <w:szCs w:val="22"/>
                <w:lang w:val="en-US"/>
              </w:rPr>
            </w:pPr>
          </w:p>
        </w:tc>
        <w:tc>
          <w:tcPr>
            <w:tcW w:w="567" w:type="dxa"/>
            <w:vMerge/>
            <w:tcBorders>
              <w:bottom w:val="single" w:sz="4" w:space="0" w:color="auto"/>
            </w:tcBorders>
            <w:vAlign w:val="center"/>
          </w:tcPr>
          <w:p w14:paraId="43CE13A3" w14:textId="77777777" w:rsidR="008C4939" w:rsidRPr="009E1EA6" w:rsidRDefault="008C4939" w:rsidP="00262C2A">
            <w:pPr>
              <w:jc w:val="center"/>
              <w:rPr>
                <w:b/>
                <w:sz w:val="22"/>
                <w:szCs w:val="22"/>
                <w:lang w:val="en-US"/>
              </w:rPr>
            </w:pPr>
          </w:p>
        </w:tc>
        <w:tc>
          <w:tcPr>
            <w:tcW w:w="850" w:type="dxa"/>
            <w:tcBorders>
              <w:bottom w:val="single" w:sz="4" w:space="0" w:color="auto"/>
            </w:tcBorders>
            <w:vAlign w:val="center"/>
          </w:tcPr>
          <w:p w14:paraId="53D41A93" w14:textId="77777777" w:rsidR="008C4939" w:rsidRPr="009E1EA6" w:rsidRDefault="00B74A7C" w:rsidP="00262C2A">
            <w:pPr>
              <w:jc w:val="center"/>
              <w:rPr>
                <w:b/>
                <w:sz w:val="22"/>
                <w:szCs w:val="22"/>
                <w:lang w:val="en-US"/>
              </w:rPr>
            </w:pPr>
            <w:r w:rsidRPr="009E1EA6">
              <w:rPr>
                <w:b/>
                <w:sz w:val="22"/>
                <w:szCs w:val="22"/>
                <w:lang w:val="en-US"/>
              </w:rPr>
              <w:t>Lat (°)</w:t>
            </w:r>
          </w:p>
        </w:tc>
        <w:tc>
          <w:tcPr>
            <w:tcW w:w="993" w:type="dxa"/>
            <w:tcBorders>
              <w:bottom w:val="single" w:sz="4" w:space="0" w:color="auto"/>
            </w:tcBorders>
            <w:vAlign w:val="center"/>
          </w:tcPr>
          <w:p w14:paraId="0B0C5964" w14:textId="77777777" w:rsidR="008C4939" w:rsidRPr="009E1EA6" w:rsidRDefault="00B74A7C" w:rsidP="00262C2A">
            <w:pPr>
              <w:jc w:val="center"/>
              <w:rPr>
                <w:b/>
                <w:sz w:val="22"/>
                <w:szCs w:val="22"/>
                <w:lang w:val="en-US"/>
              </w:rPr>
            </w:pPr>
            <w:r w:rsidRPr="009E1EA6">
              <w:rPr>
                <w:b/>
                <w:sz w:val="22"/>
                <w:szCs w:val="22"/>
                <w:lang w:val="en-US"/>
              </w:rPr>
              <w:t>Lon (°)</w:t>
            </w:r>
          </w:p>
        </w:tc>
        <w:tc>
          <w:tcPr>
            <w:tcW w:w="850" w:type="dxa"/>
            <w:tcBorders>
              <w:bottom w:val="single" w:sz="4" w:space="0" w:color="auto"/>
            </w:tcBorders>
            <w:vAlign w:val="center"/>
          </w:tcPr>
          <w:p w14:paraId="73CDF896" w14:textId="77777777" w:rsidR="008C4939" w:rsidRPr="009E1EA6" w:rsidRDefault="00B74A7C" w:rsidP="00262C2A">
            <w:pPr>
              <w:jc w:val="center"/>
              <w:rPr>
                <w:b/>
                <w:sz w:val="22"/>
                <w:szCs w:val="22"/>
                <w:lang w:val="en-US"/>
              </w:rPr>
            </w:pPr>
            <w:r w:rsidRPr="009E1EA6">
              <w:rPr>
                <w:b/>
                <w:sz w:val="22"/>
                <w:szCs w:val="22"/>
                <w:lang w:val="en-US"/>
              </w:rPr>
              <w:t xml:space="preserve">Depth (km) </w:t>
            </w:r>
          </w:p>
        </w:tc>
        <w:tc>
          <w:tcPr>
            <w:tcW w:w="2058" w:type="dxa"/>
            <w:tcBorders>
              <w:bottom w:val="single" w:sz="4" w:space="0" w:color="auto"/>
            </w:tcBorders>
          </w:tcPr>
          <w:p w14:paraId="3FC69997" w14:textId="77777777" w:rsidR="008C4939" w:rsidRPr="009E1EA6" w:rsidRDefault="00B74A7C" w:rsidP="00262C2A">
            <w:pPr>
              <w:jc w:val="center"/>
              <w:rPr>
                <w:b/>
                <w:sz w:val="22"/>
                <w:szCs w:val="22"/>
                <w:lang w:val="en-US"/>
              </w:rPr>
            </w:pPr>
            <w:r w:rsidRPr="009E1EA6">
              <w:rPr>
                <w:b/>
                <w:sz w:val="22"/>
                <w:szCs w:val="22"/>
                <w:lang w:val="en-US"/>
              </w:rPr>
              <w:t>Near-Source</w:t>
            </w:r>
          </w:p>
        </w:tc>
      </w:tr>
      <w:tr w:rsidR="009E1EA6" w:rsidRPr="009E1EA6" w14:paraId="145434E3" w14:textId="77777777" w:rsidTr="00725D3A">
        <w:trPr>
          <w:jc w:val="center"/>
        </w:trPr>
        <w:tc>
          <w:tcPr>
            <w:tcW w:w="562" w:type="dxa"/>
            <w:vAlign w:val="center"/>
          </w:tcPr>
          <w:p w14:paraId="112A1272" w14:textId="77777777" w:rsidR="008C4939" w:rsidRPr="009E1EA6" w:rsidRDefault="00B74A7C" w:rsidP="008C4939">
            <w:pPr>
              <w:jc w:val="center"/>
              <w:rPr>
                <w:sz w:val="20"/>
                <w:lang w:val="en-US"/>
              </w:rPr>
            </w:pPr>
            <w:r w:rsidRPr="009E1EA6">
              <w:rPr>
                <w:sz w:val="20"/>
                <w:lang w:val="en-US"/>
              </w:rPr>
              <w:t>1</w:t>
            </w:r>
          </w:p>
        </w:tc>
        <w:tc>
          <w:tcPr>
            <w:tcW w:w="1706" w:type="dxa"/>
            <w:vAlign w:val="bottom"/>
          </w:tcPr>
          <w:p w14:paraId="161265A0" w14:textId="77777777" w:rsidR="008C4939" w:rsidRPr="009E1EA6" w:rsidRDefault="00725D3A" w:rsidP="00725D3A">
            <w:pPr>
              <w:jc w:val="center"/>
              <w:rPr>
                <w:sz w:val="20"/>
                <w:lang w:val="en-US"/>
              </w:rPr>
            </w:pPr>
            <w:r w:rsidRPr="009E1EA6">
              <w:rPr>
                <w:sz w:val="22"/>
                <w:szCs w:val="22"/>
                <w:lang w:val="en-US"/>
              </w:rPr>
              <w:t>1985-09-19**</w:t>
            </w:r>
          </w:p>
        </w:tc>
        <w:tc>
          <w:tcPr>
            <w:tcW w:w="1418" w:type="dxa"/>
            <w:vAlign w:val="bottom"/>
          </w:tcPr>
          <w:p w14:paraId="5AD1662B"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2E495E8F" w14:textId="77777777" w:rsidR="008C4939" w:rsidRPr="009E1EA6" w:rsidRDefault="00B74A7C" w:rsidP="008C4939">
            <w:pPr>
              <w:jc w:val="left"/>
              <w:rPr>
                <w:sz w:val="20"/>
                <w:lang w:val="en-US"/>
              </w:rPr>
            </w:pPr>
            <w:r w:rsidRPr="009E1EA6">
              <w:rPr>
                <w:sz w:val="22"/>
                <w:szCs w:val="22"/>
                <w:lang w:val="en-US"/>
              </w:rPr>
              <w:t>8</w:t>
            </w:r>
          </w:p>
        </w:tc>
        <w:tc>
          <w:tcPr>
            <w:tcW w:w="850" w:type="dxa"/>
            <w:vAlign w:val="bottom"/>
          </w:tcPr>
          <w:p w14:paraId="4FBD4CBF" w14:textId="77777777" w:rsidR="008C4939" w:rsidRPr="009E1EA6" w:rsidRDefault="00B74A7C" w:rsidP="008C4939">
            <w:pPr>
              <w:jc w:val="center"/>
              <w:rPr>
                <w:sz w:val="20"/>
                <w:lang w:val="en-US"/>
              </w:rPr>
            </w:pPr>
            <w:r w:rsidRPr="009E1EA6">
              <w:rPr>
                <w:sz w:val="22"/>
                <w:szCs w:val="22"/>
                <w:lang w:val="en-US"/>
              </w:rPr>
              <w:t>18.14</w:t>
            </w:r>
          </w:p>
        </w:tc>
        <w:tc>
          <w:tcPr>
            <w:tcW w:w="993" w:type="dxa"/>
            <w:vAlign w:val="bottom"/>
          </w:tcPr>
          <w:p w14:paraId="2C360917" w14:textId="77777777" w:rsidR="008C4939" w:rsidRPr="009E1EA6" w:rsidRDefault="00B74A7C" w:rsidP="008C4939">
            <w:pPr>
              <w:jc w:val="center"/>
              <w:rPr>
                <w:sz w:val="20"/>
                <w:lang w:val="en-US"/>
              </w:rPr>
            </w:pPr>
            <w:r w:rsidRPr="009E1EA6">
              <w:rPr>
                <w:sz w:val="22"/>
                <w:szCs w:val="22"/>
                <w:lang w:val="en-US"/>
              </w:rPr>
              <w:t>-102.71</w:t>
            </w:r>
          </w:p>
        </w:tc>
        <w:tc>
          <w:tcPr>
            <w:tcW w:w="850" w:type="dxa"/>
            <w:vAlign w:val="bottom"/>
          </w:tcPr>
          <w:p w14:paraId="300778B2" w14:textId="77777777" w:rsidR="008C4939" w:rsidRPr="009E1EA6" w:rsidRDefault="00B74A7C" w:rsidP="008C4939">
            <w:pPr>
              <w:jc w:val="center"/>
              <w:rPr>
                <w:sz w:val="20"/>
                <w:lang w:val="en-US"/>
              </w:rPr>
            </w:pPr>
            <w:r w:rsidRPr="009E1EA6">
              <w:rPr>
                <w:sz w:val="22"/>
                <w:szCs w:val="22"/>
                <w:lang w:val="en-US"/>
              </w:rPr>
              <w:t>17</w:t>
            </w:r>
          </w:p>
        </w:tc>
        <w:tc>
          <w:tcPr>
            <w:tcW w:w="2058" w:type="dxa"/>
            <w:vAlign w:val="bottom"/>
          </w:tcPr>
          <w:p w14:paraId="29AE0721" w14:textId="77777777" w:rsidR="008C4939" w:rsidRPr="009E1EA6" w:rsidRDefault="00B74A7C" w:rsidP="008C4939">
            <w:pPr>
              <w:jc w:val="center"/>
              <w:rPr>
                <w:sz w:val="22"/>
                <w:szCs w:val="22"/>
                <w:lang w:val="en-US"/>
              </w:rPr>
            </w:pPr>
            <w:r w:rsidRPr="009E1EA6">
              <w:rPr>
                <w:sz w:val="22"/>
                <w:szCs w:val="22"/>
                <w:lang w:val="en-US"/>
              </w:rPr>
              <w:t>4</w:t>
            </w:r>
          </w:p>
        </w:tc>
      </w:tr>
      <w:tr w:rsidR="009E1EA6" w:rsidRPr="009E1EA6" w14:paraId="4908A6B3" w14:textId="77777777" w:rsidTr="00725D3A">
        <w:trPr>
          <w:jc w:val="center"/>
        </w:trPr>
        <w:tc>
          <w:tcPr>
            <w:tcW w:w="562" w:type="dxa"/>
            <w:vAlign w:val="center"/>
          </w:tcPr>
          <w:p w14:paraId="7D7DAF45" w14:textId="77777777" w:rsidR="008C4939" w:rsidRPr="009E1EA6" w:rsidRDefault="00B74A7C" w:rsidP="00F60AB4">
            <w:pPr>
              <w:jc w:val="center"/>
              <w:rPr>
                <w:sz w:val="20"/>
                <w:lang w:val="en-US"/>
              </w:rPr>
            </w:pPr>
            <w:r w:rsidRPr="009E1EA6">
              <w:rPr>
                <w:sz w:val="20"/>
                <w:lang w:val="en-US"/>
              </w:rPr>
              <w:t>2</w:t>
            </w:r>
          </w:p>
        </w:tc>
        <w:tc>
          <w:tcPr>
            <w:tcW w:w="1706" w:type="dxa"/>
            <w:vAlign w:val="bottom"/>
          </w:tcPr>
          <w:p w14:paraId="59B9DCDB" w14:textId="77777777" w:rsidR="008C4939" w:rsidRPr="009E1EA6" w:rsidRDefault="00B74A7C" w:rsidP="008C4939">
            <w:pPr>
              <w:jc w:val="center"/>
              <w:rPr>
                <w:sz w:val="20"/>
                <w:lang w:val="en-US"/>
              </w:rPr>
            </w:pPr>
            <w:r w:rsidRPr="009E1EA6">
              <w:rPr>
                <w:sz w:val="22"/>
                <w:szCs w:val="22"/>
                <w:lang w:val="en-US"/>
              </w:rPr>
              <w:t>1985-09-21</w:t>
            </w:r>
          </w:p>
        </w:tc>
        <w:tc>
          <w:tcPr>
            <w:tcW w:w="1418" w:type="dxa"/>
            <w:vAlign w:val="bottom"/>
          </w:tcPr>
          <w:p w14:paraId="4A5AA1E3"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120163A0" w14:textId="77777777" w:rsidR="008C4939" w:rsidRPr="009E1EA6" w:rsidRDefault="00B74A7C" w:rsidP="008C4939">
            <w:pPr>
              <w:jc w:val="left"/>
              <w:rPr>
                <w:sz w:val="20"/>
                <w:lang w:val="en-US"/>
              </w:rPr>
            </w:pPr>
            <w:r w:rsidRPr="009E1EA6">
              <w:rPr>
                <w:sz w:val="22"/>
                <w:szCs w:val="22"/>
                <w:lang w:val="en-US"/>
              </w:rPr>
              <w:t>7.6</w:t>
            </w:r>
          </w:p>
        </w:tc>
        <w:tc>
          <w:tcPr>
            <w:tcW w:w="850" w:type="dxa"/>
            <w:vAlign w:val="bottom"/>
          </w:tcPr>
          <w:p w14:paraId="5A57A2A7" w14:textId="77777777" w:rsidR="008C4939" w:rsidRPr="009E1EA6" w:rsidRDefault="00B74A7C" w:rsidP="008C4939">
            <w:pPr>
              <w:jc w:val="center"/>
              <w:rPr>
                <w:sz w:val="20"/>
                <w:lang w:val="en-US"/>
              </w:rPr>
            </w:pPr>
            <w:r w:rsidRPr="009E1EA6">
              <w:rPr>
                <w:sz w:val="22"/>
                <w:szCs w:val="22"/>
                <w:lang w:val="en-US"/>
              </w:rPr>
              <w:t>17.62</w:t>
            </w:r>
          </w:p>
        </w:tc>
        <w:tc>
          <w:tcPr>
            <w:tcW w:w="993" w:type="dxa"/>
            <w:vAlign w:val="bottom"/>
          </w:tcPr>
          <w:p w14:paraId="6F07BCFA" w14:textId="77777777" w:rsidR="008C4939" w:rsidRPr="009E1EA6" w:rsidRDefault="00B74A7C" w:rsidP="008C4939">
            <w:pPr>
              <w:jc w:val="center"/>
              <w:rPr>
                <w:sz w:val="20"/>
                <w:lang w:val="en-US"/>
              </w:rPr>
            </w:pPr>
            <w:r w:rsidRPr="009E1EA6">
              <w:rPr>
                <w:sz w:val="22"/>
                <w:szCs w:val="22"/>
                <w:lang w:val="en-US"/>
              </w:rPr>
              <w:t>-101.82</w:t>
            </w:r>
          </w:p>
        </w:tc>
        <w:tc>
          <w:tcPr>
            <w:tcW w:w="850" w:type="dxa"/>
            <w:vAlign w:val="bottom"/>
          </w:tcPr>
          <w:p w14:paraId="16E9BAA2" w14:textId="77777777" w:rsidR="008C4939" w:rsidRPr="009E1EA6" w:rsidRDefault="00B74A7C" w:rsidP="008C4939">
            <w:pPr>
              <w:jc w:val="center"/>
              <w:rPr>
                <w:sz w:val="20"/>
                <w:lang w:val="en-US"/>
              </w:rPr>
            </w:pPr>
            <w:r w:rsidRPr="009E1EA6">
              <w:rPr>
                <w:sz w:val="22"/>
                <w:szCs w:val="22"/>
                <w:lang w:val="en-US"/>
              </w:rPr>
              <w:t>22</w:t>
            </w:r>
          </w:p>
        </w:tc>
        <w:tc>
          <w:tcPr>
            <w:tcW w:w="2058" w:type="dxa"/>
            <w:vAlign w:val="bottom"/>
          </w:tcPr>
          <w:p w14:paraId="1FA99D6A" w14:textId="77777777" w:rsidR="008C4939" w:rsidRPr="009E1EA6" w:rsidRDefault="00B74A7C" w:rsidP="00F60AB4">
            <w:pPr>
              <w:jc w:val="center"/>
              <w:rPr>
                <w:sz w:val="22"/>
                <w:szCs w:val="22"/>
                <w:lang w:val="en-US"/>
              </w:rPr>
            </w:pPr>
            <w:r w:rsidRPr="009E1EA6">
              <w:rPr>
                <w:sz w:val="22"/>
                <w:szCs w:val="22"/>
                <w:lang w:val="en-US"/>
              </w:rPr>
              <w:t>4</w:t>
            </w:r>
          </w:p>
        </w:tc>
      </w:tr>
      <w:tr w:rsidR="009E1EA6" w:rsidRPr="009E1EA6" w14:paraId="47A9877D" w14:textId="77777777" w:rsidTr="00725D3A">
        <w:trPr>
          <w:jc w:val="center"/>
        </w:trPr>
        <w:tc>
          <w:tcPr>
            <w:tcW w:w="562" w:type="dxa"/>
            <w:vAlign w:val="center"/>
          </w:tcPr>
          <w:p w14:paraId="6BF00DE5" w14:textId="77777777" w:rsidR="008C4939" w:rsidRPr="009E1EA6" w:rsidRDefault="00B74A7C" w:rsidP="008C4939">
            <w:pPr>
              <w:jc w:val="center"/>
              <w:rPr>
                <w:sz w:val="20"/>
                <w:lang w:val="en-US"/>
              </w:rPr>
            </w:pPr>
            <w:r w:rsidRPr="009E1EA6">
              <w:rPr>
                <w:sz w:val="20"/>
                <w:lang w:val="en-US"/>
              </w:rPr>
              <w:t>3</w:t>
            </w:r>
          </w:p>
        </w:tc>
        <w:tc>
          <w:tcPr>
            <w:tcW w:w="1706" w:type="dxa"/>
            <w:vAlign w:val="bottom"/>
          </w:tcPr>
          <w:p w14:paraId="73520778" w14:textId="77777777" w:rsidR="008C4939" w:rsidRPr="009E1EA6" w:rsidRDefault="00B74A7C" w:rsidP="008C4939">
            <w:pPr>
              <w:jc w:val="center"/>
              <w:rPr>
                <w:sz w:val="20"/>
                <w:lang w:val="en-US"/>
              </w:rPr>
            </w:pPr>
            <w:r w:rsidRPr="009E1EA6">
              <w:rPr>
                <w:sz w:val="22"/>
                <w:szCs w:val="22"/>
                <w:lang w:val="en-US"/>
              </w:rPr>
              <w:t>1989-04-25</w:t>
            </w:r>
          </w:p>
        </w:tc>
        <w:tc>
          <w:tcPr>
            <w:tcW w:w="1418" w:type="dxa"/>
            <w:vAlign w:val="bottom"/>
          </w:tcPr>
          <w:p w14:paraId="2CF57B69"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608C2583" w14:textId="77777777" w:rsidR="008C4939" w:rsidRPr="009E1EA6" w:rsidRDefault="00B74A7C" w:rsidP="008C4939">
            <w:pPr>
              <w:jc w:val="left"/>
              <w:rPr>
                <w:sz w:val="20"/>
                <w:lang w:val="en-US"/>
              </w:rPr>
            </w:pPr>
            <w:r w:rsidRPr="009E1EA6">
              <w:rPr>
                <w:sz w:val="22"/>
                <w:szCs w:val="22"/>
                <w:lang w:val="en-US"/>
              </w:rPr>
              <w:t>6.9</w:t>
            </w:r>
          </w:p>
        </w:tc>
        <w:tc>
          <w:tcPr>
            <w:tcW w:w="850" w:type="dxa"/>
            <w:vAlign w:val="bottom"/>
          </w:tcPr>
          <w:p w14:paraId="7B87FF88" w14:textId="77777777" w:rsidR="008C4939" w:rsidRPr="009E1EA6" w:rsidRDefault="00B74A7C" w:rsidP="008C4939">
            <w:pPr>
              <w:jc w:val="center"/>
              <w:rPr>
                <w:sz w:val="20"/>
                <w:lang w:val="en-US"/>
              </w:rPr>
            </w:pPr>
            <w:r w:rsidRPr="009E1EA6">
              <w:rPr>
                <w:sz w:val="22"/>
                <w:szCs w:val="22"/>
                <w:lang w:val="en-US"/>
              </w:rPr>
              <w:t>16.61</w:t>
            </w:r>
          </w:p>
        </w:tc>
        <w:tc>
          <w:tcPr>
            <w:tcW w:w="993" w:type="dxa"/>
            <w:vAlign w:val="bottom"/>
          </w:tcPr>
          <w:p w14:paraId="2B6308A8" w14:textId="77777777" w:rsidR="008C4939" w:rsidRPr="009E1EA6" w:rsidRDefault="00B74A7C" w:rsidP="008C4939">
            <w:pPr>
              <w:jc w:val="center"/>
              <w:rPr>
                <w:sz w:val="20"/>
                <w:lang w:val="en-US"/>
              </w:rPr>
            </w:pPr>
            <w:r w:rsidRPr="009E1EA6">
              <w:rPr>
                <w:sz w:val="22"/>
                <w:szCs w:val="22"/>
                <w:lang w:val="en-US"/>
              </w:rPr>
              <w:t>-99.43</w:t>
            </w:r>
          </w:p>
        </w:tc>
        <w:tc>
          <w:tcPr>
            <w:tcW w:w="850" w:type="dxa"/>
            <w:vAlign w:val="bottom"/>
          </w:tcPr>
          <w:p w14:paraId="114FDF70" w14:textId="77777777" w:rsidR="008C4939" w:rsidRPr="009E1EA6" w:rsidRDefault="00B74A7C" w:rsidP="008C4939">
            <w:pPr>
              <w:jc w:val="center"/>
              <w:rPr>
                <w:sz w:val="20"/>
                <w:lang w:val="en-US"/>
              </w:rPr>
            </w:pPr>
            <w:r w:rsidRPr="009E1EA6">
              <w:rPr>
                <w:sz w:val="22"/>
                <w:szCs w:val="22"/>
                <w:lang w:val="en-US"/>
              </w:rPr>
              <w:t>16</w:t>
            </w:r>
          </w:p>
        </w:tc>
        <w:tc>
          <w:tcPr>
            <w:tcW w:w="2058" w:type="dxa"/>
            <w:vAlign w:val="bottom"/>
          </w:tcPr>
          <w:p w14:paraId="403B8D53" w14:textId="77777777" w:rsidR="008C4939" w:rsidRPr="009E1EA6" w:rsidRDefault="00B74A7C" w:rsidP="008C4939">
            <w:pPr>
              <w:jc w:val="center"/>
              <w:rPr>
                <w:sz w:val="22"/>
                <w:szCs w:val="22"/>
                <w:lang w:val="en-US"/>
              </w:rPr>
            </w:pPr>
            <w:r w:rsidRPr="009E1EA6">
              <w:rPr>
                <w:sz w:val="22"/>
                <w:szCs w:val="22"/>
                <w:lang w:val="en-US"/>
              </w:rPr>
              <w:t>3</w:t>
            </w:r>
          </w:p>
        </w:tc>
      </w:tr>
      <w:tr w:rsidR="009E1EA6" w:rsidRPr="009E1EA6" w14:paraId="2698073A" w14:textId="77777777" w:rsidTr="00725D3A">
        <w:trPr>
          <w:jc w:val="center"/>
        </w:trPr>
        <w:tc>
          <w:tcPr>
            <w:tcW w:w="562" w:type="dxa"/>
            <w:vAlign w:val="center"/>
          </w:tcPr>
          <w:p w14:paraId="4DBF942F" w14:textId="77777777" w:rsidR="008C4939" w:rsidRPr="009E1EA6" w:rsidRDefault="00B74A7C" w:rsidP="008C4939">
            <w:pPr>
              <w:jc w:val="center"/>
              <w:rPr>
                <w:sz w:val="20"/>
                <w:lang w:val="en-US"/>
              </w:rPr>
            </w:pPr>
            <w:r w:rsidRPr="009E1EA6">
              <w:rPr>
                <w:sz w:val="20"/>
                <w:lang w:val="en-US"/>
              </w:rPr>
              <w:t>4</w:t>
            </w:r>
          </w:p>
        </w:tc>
        <w:tc>
          <w:tcPr>
            <w:tcW w:w="1706" w:type="dxa"/>
            <w:vAlign w:val="bottom"/>
          </w:tcPr>
          <w:p w14:paraId="49A4BDBE" w14:textId="77777777" w:rsidR="008C4939" w:rsidRPr="009E1EA6" w:rsidRDefault="00B74A7C" w:rsidP="008C4939">
            <w:pPr>
              <w:jc w:val="center"/>
              <w:rPr>
                <w:sz w:val="20"/>
                <w:lang w:val="en-US"/>
              </w:rPr>
            </w:pPr>
            <w:r w:rsidRPr="009E1EA6">
              <w:rPr>
                <w:sz w:val="22"/>
                <w:szCs w:val="22"/>
                <w:lang w:val="en-US"/>
              </w:rPr>
              <w:t>1996-07-15</w:t>
            </w:r>
          </w:p>
        </w:tc>
        <w:tc>
          <w:tcPr>
            <w:tcW w:w="1418" w:type="dxa"/>
            <w:vAlign w:val="bottom"/>
          </w:tcPr>
          <w:p w14:paraId="501006BA"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11DEEC35" w14:textId="77777777" w:rsidR="008C4939" w:rsidRPr="009E1EA6" w:rsidRDefault="00B74A7C" w:rsidP="008C4939">
            <w:pPr>
              <w:jc w:val="left"/>
              <w:rPr>
                <w:sz w:val="20"/>
                <w:lang w:val="en-US"/>
              </w:rPr>
            </w:pPr>
            <w:r w:rsidRPr="009E1EA6">
              <w:rPr>
                <w:sz w:val="22"/>
                <w:szCs w:val="22"/>
                <w:lang w:val="en-US"/>
              </w:rPr>
              <w:t>6.6</w:t>
            </w:r>
          </w:p>
        </w:tc>
        <w:tc>
          <w:tcPr>
            <w:tcW w:w="850" w:type="dxa"/>
            <w:vAlign w:val="bottom"/>
          </w:tcPr>
          <w:p w14:paraId="3018708A" w14:textId="77777777" w:rsidR="008C4939" w:rsidRPr="009E1EA6" w:rsidRDefault="00B74A7C" w:rsidP="008C4939">
            <w:pPr>
              <w:jc w:val="center"/>
              <w:rPr>
                <w:sz w:val="20"/>
                <w:lang w:val="en-US"/>
              </w:rPr>
            </w:pPr>
            <w:r w:rsidRPr="009E1EA6">
              <w:rPr>
                <w:sz w:val="22"/>
                <w:szCs w:val="22"/>
                <w:lang w:val="en-US"/>
              </w:rPr>
              <w:t>17.33</w:t>
            </w:r>
          </w:p>
        </w:tc>
        <w:tc>
          <w:tcPr>
            <w:tcW w:w="993" w:type="dxa"/>
            <w:vAlign w:val="bottom"/>
          </w:tcPr>
          <w:p w14:paraId="34A23C52" w14:textId="77777777" w:rsidR="008C4939" w:rsidRPr="009E1EA6" w:rsidRDefault="00B74A7C" w:rsidP="008C4939">
            <w:pPr>
              <w:jc w:val="center"/>
              <w:rPr>
                <w:sz w:val="20"/>
                <w:lang w:val="en-US"/>
              </w:rPr>
            </w:pPr>
            <w:r w:rsidRPr="009E1EA6">
              <w:rPr>
                <w:sz w:val="22"/>
                <w:szCs w:val="22"/>
                <w:lang w:val="en-US"/>
              </w:rPr>
              <w:t>-101.21</w:t>
            </w:r>
          </w:p>
        </w:tc>
        <w:tc>
          <w:tcPr>
            <w:tcW w:w="850" w:type="dxa"/>
            <w:vAlign w:val="bottom"/>
          </w:tcPr>
          <w:p w14:paraId="4EF0D5A1" w14:textId="77777777" w:rsidR="008C4939" w:rsidRPr="009E1EA6" w:rsidRDefault="00B74A7C" w:rsidP="008C4939">
            <w:pPr>
              <w:jc w:val="center"/>
              <w:rPr>
                <w:sz w:val="20"/>
                <w:lang w:val="en-US"/>
              </w:rPr>
            </w:pPr>
            <w:r w:rsidRPr="009E1EA6">
              <w:rPr>
                <w:sz w:val="22"/>
                <w:szCs w:val="22"/>
                <w:lang w:val="en-US"/>
              </w:rPr>
              <w:t>27</w:t>
            </w:r>
          </w:p>
        </w:tc>
        <w:tc>
          <w:tcPr>
            <w:tcW w:w="2058" w:type="dxa"/>
            <w:vAlign w:val="bottom"/>
          </w:tcPr>
          <w:p w14:paraId="0840520A" w14:textId="77777777" w:rsidR="008C4939" w:rsidRPr="009E1EA6" w:rsidRDefault="00B74A7C" w:rsidP="00F60AB4">
            <w:pPr>
              <w:jc w:val="center"/>
              <w:rPr>
                <w:sz w:val="22"/>
                <w:szCs w:val="22"/>
                <w:lang w:val="en-US"/>
              </w:rPr>
            </w:pPr>
            <w:r w:rsidRPr="009E1EA6">
              <w:rPr>
                <w:sz w:val="22"/>
                <w:szCs w:val="22"/>
                <w:lang w:val="en-US"/>
              </w:rPr>
              <w:t>3</w:t>
            </w:r>
          </w:p>
        </w:tc>
      </w:tr>
      <w:tr w:rsidR="009E1EA6" w:rsidRPr="009E1EA6" w14:paraId="77242A60" w14:textId="77777777" w:rsidTr="00725D3A">
        <w:trPr>
          <w:jc w:val="center"/>
        </w:trPr>
        <w:tc>
          <w:tcPr>
            <w:tcW w:w="562" w:type="dxa"/>
            <w:vAlign w:val="center"/>
          </w:tcPr>
          <w:p w14:paraId="3159FB63" w14:textId="77777777" w:rsidR="008C4939" w:rsidRPr="009E1EA6" w:rsidRDefault="00B74A7C" w:rsidP="00F60AB4">
            <w:pPr>
              <w:jc w:val="center"/>
              <w:rPr>
                <w:sz w:val="20"/>
                <w:lang w:val="en-US"/>
              </w:rPr>
            </w:pPr>
            <w:r w:rsidRPr="009E1EA6">
              <w:rPr>
                <w:sz w:val="20"/>
                <w:lang w:val="en-US"/>
              </w:rPr>
              <w:t>5</w:t>
            </w:r>
          </w:p>
        </w:tc>
        <w:tc>
          <w:tcPr>
            <w:tcW w:w="1706" w:type="dxa"/>
            <w:vAlign w:val="bottom"/>
          </w:tcPr>
          <w:p w14:paraId="640DCB19" w14:textId="77777777" w:rsidR="008C4939" w:rsidRPr="009E1EA6" w:rsidRDefault="00B74A7C" w:rsidP="008C4939">
            <w:pPr>
              <w:jc w:val="center"/>
              <w:rPr>
                <w:sz w:val="20"/>
                <w:lang w:val="en-US"/>
              </w:rPr>
            </w:pPr>
            <w:r w:rsidRPr="009E1EA6">
              <w:rPr>
                <w:sz w:val="22"/>
                <w:szCs w:val="22"/>
                <w:lang w:val="en-US"/>
              </w:rPr>
              <w:t>1997-01-11</w:t>
            </w:r>
          </w:p>
        </w:tc>
        <w:tc>
          <w:tcPr>
            <w:tcW w:w="1418" w:type="dxa"/>
            <w:vAlign w:val="bottom"/>
          </w:tcPr>
          <w:p w14:paraId="00355886" w14:textId="77777777" w:rsidR="008C4939" w:rsidRPr="009E1EA6" w:rsidRDefault="00B74A7C" w:rsidP="008C4939">
            <w:pPr>
              <w:jc w:val="center"/>
              <w:rPr>
                <w:sz w:val="20"/>
                <w:lang w:val="en-US"/>
              </w:rPr>
            </w:pPr>
            <w:r w:rsidRPr="009E1EA6">
              <w:rPr>
                <w:sz w:val="22"/>
                <w:szCs w:val="22"/>
                <w:lang w:val="en-US"/>
              </w:rPr>
              <w:t>ID-I</w:t>
            </w:r>
          </w:p>
        </w:tc>
        <w:tc>
          <w:tcPr>
            <w:tcW w:w="567" w:type="dxa"/>
            <w:vAlign w:val="bottom"/>
          </w:tcPr>
          <w:p w14:paraId="1991C960" w14:textId="77777777" w:rsidR="008C4939" w:rsidRPr="009E1EA6" w:rsidRDefault="00B74A7C" w:rsidP="008C4939">
            <w:pPr>
              <w:jc w:val="left"/>
              <w:rPr>
                <w:sz w:val="20"/>
                <w:lang w:val="en-US"/>
              </w:rPr>
            </w:pPr>
            <w:r w:rsidRPr="009E1EA6">
              <w:rPr>
                <w:sz w:val="22"/>
                <w:szCs w:val="22"/>
                <w:lang w:val="en-US"/>
              </w:rPr>
              <w:t>7.1</w:t>
            </w:r>
          </w:p>
        </w:tc>
        <w:tc>
          <w:tcPr>
            <w:tcW w:w="850" w:type="dxa"/>
            <w:vAlign w:val="bottom"/>
          </w:tcPr>
          <w:p w14:paraId="08E7204D" w14:textId="77777777" w:rsidR="008C4939" w:rsidRPr="009E1EA6" w:rsidRDefault="00B74A7C" w:rsidP="008C4939">
            <w:pPr>
              <w:jc w:val="center"/>
              <w:rPr>
                <w:sz w:val="20"/>
                <w:lang w:val="en-US"/>
              </w:rPr>
            </w:pPr>
            <w:r w:rsidRPr="009E1EA6">
              <w:rPr>
                <w:sz w:val="22"/>
                <w:szCs w:val="22"/>
                <w:lang w:val="en-US"/>
              </w:rPr>
              <w:t>18.34</w:t>
            </w:r>
          </w:p>
        </w:tc>
        <w:tc>
          <w:tcPr>
            <w:tcW w:w="993" w:type="dxa"/>
            <w:vAlign w:val="bottom"/>
          </w:tcPr>
          <w:p w14:paraId="25CEE333" w14:textId="77777777" w:rsidR="008C4939" w:rsidRPr="009E1EA6" w:rsidRDefault="00B74A7C" w:rsidP="008C4939">
            <w:pPr>
              <w:jc w:val="center"/>
              <w:rPr>
                <w:sz w:val="20"/>
                <w:lang w:val="en-US"/>
              </w:rPr>
            </w:pPr>
            <w:r w:rsidRPr="009E1EA6">
              <w:rPr>
                <w:sz w:val="22"/>
                <w:szCs w:val="22"/>
                <w:lang w:val="en-US"/>
              </w:rPr>
              <w:t>-102.58</w:t>
            </w:r>
          </w:p>
        </w:tc>
        <w:tc>
          <w:tcPr>
            <w:tcW w:w="850" w:type="dxa"/>
            <w:vAlign w:val="bottom"/>
          </w:tcPr>
          <w:p w14:paraId="0CEEF487" w14:textId="77777777" w:rsidR="008C4939" w:rsidRPr="009E1EA6" w:rsidRDefault="00B74A7C" w:rsidP="008C4939">
            <w:pPr>
              <w:jc w:val="center"/>
              <w:rPr>
                <w:sz w:val="20"/>
                <w:lang w:val="en-US"/>
              </w:rPr>
            </w:pPr>
            <w:r w:rsidRPr="009E1EA6">
              <w:rPr>
                <w:sz w:val="22"/>
                <w:szCs w:val="22"/>
                <w:lang w:val="en-US"/>
              </w:rPr>
              <w:t>40</w:t>
            </w:r>
          </w:p>
        </w:tc>
        <w:tc>
          <w:tcPr>
            <w:tcW w:w="2058" w:type="dxa"/>
            <w:vAlign w:val="bottom"/>
          </w:tcPr>
          <w:p w14:paraId="4627924B" w14:textId="77777777" w:rsidR="008C4939" w:rsidRPr="009E1EA6" w:rsidRDefault="00B74A7C" w:rsidP="008C4939">
            <w:pPr>
              <w:jc w:val="center"/>
              <w:rPr>
                <w:sz w:val="22"/>
                <w:szCs w:val="22"/>
                <w:lang w:val="en-US"/>
              </w:rPr>
            </w:pPr>
            <w:r w:rsidRPr="009E1EA6">
              <w:rPr>
                <w:sz w:val="22"/>
                <w:szCs w:val="22"/>
                <w:lang w:val="en-US"/>
              </w:rPr>
              <w:t>1</w:t>
            </w:r>
          </w:p>
        </w:tc>
      </w:tr>
      <w:tr w:rsidR="009E1EA6" w:rsidRPr="009E1EA6" w14:paraId="656FF137" w14:textId="77777777" w:rsidTr="00725D3A">
        <w:trPr>
          <w:jc w:val="center"/>
        </w:trPr>
        <w:tc>
          <w:tcPr>
            <w:tcW w:w="562" w:type="dxa"/>
            <w:vAlign w:val="center"/>
          </w:tcPr>
          <w:p w14:paraId="417A8AA1" w14:textId="77777777" w:rsidR="008C4939" w:rsidRPr="009E1EA6" w:rsidRDefault="00B74A7C" w:rsidP="008C4939">
            <w:pPr>
              <w:jc w:val="center"/>
              <w:rPr>
                <w:sz w:val="20"/>
                <w:lang w:val="en-US"/>
              </w:rPr>
            </w:pPr>
            <w:r w:rsidRPr="009E1EA6">
              <w:rPr>
                <w:sz w:val="20"/>
                <w:lang w:val="en-US"/>
              </w:rPr>
              <w:t>6</w:t>
            </w:r>
          </w:p>
        </w:tc>
        <w:tc>
          <w:tcPr>
            <w:tcW w:w="1706" w:type="dxa"/>
            <w:vAlign w:val="bottom"/>
          </w:tcPr>
          <w:p w14:paraId="15250FBE" w14:textId="77777777" w:rsidR="008C4939" w:rsidRPr="009E1EA6" w:rsidRDefault="00B74A7C" w:rsidP="008C4939">
            <w:pPr>
              <w:jc w:val="center"/>
              <w:rPr>
                <w:sz w:val="20"/>
                <w:lang w:val="en-US"/>
              </w:rPr>
            </w:pPr>
            <w:r w:rsidRPr="009E1EA6">
              <w:rPr>
                <w:sz w:val="22"/>
                <w:szCs w:val="22"/>
                <w:lang w:val="en-US"/>
              </w:rPr>
              <w:t>1999-09-30</w:t>
            </w:r>
          </w:p>
        </w:tc>
        <w:tc>
          <w:tcPr>
            <w:tcW w:w="1418" w:type="dxa"/>
            <w:vAlign w:val="bottom"/>
          </w:tcPr>
          <w:p w14:paraId="49D9A9EA" w14:textId="77777777" w:rsidR="008C4939" w:rsidRPr="009E1EA6" w:rsidRDefault="00B74A7C" w:rsidP="008C4939">
            <w:pPr>
              <w:jc w:val="center"/>
              <w:rPr>
                <w:sz w:val="20"/>
                <w:lang w:val="en-US"/>
              </w:rPr>
            </w:pPr>
            <w:r w:rsidRPr="009E1EA6">
              <w:rPr>
                <w:sz w:val="22"/>
                <w:szCs w:val="22"/>
                <w:lang w:val="en-US"/>
              </w:rPr>
              <w:t>ID-I</w:t>
            </w:r>
          </w:p>
        </w:tc>
        <w:tc>
          <w:tcPr>
            <w:tcW w:w="567" w:type="dxa"/>
            <w:vAlign w:val="bottom"/>
          </w:tcPr>
          <w:p w14:paraId="3E585132" w14:textId="77777777" w:rsidR="008C4939" w:rsidRPr="009E1EA6" w:rsidRDefault="00B74A7C" w:rsidP="008C4939">
            <w:pPr>
              <w:jc w:val="left"/>
              <w:rPr>
                <w:sz w:val="20"/>
                <w:lang w:val="en-US"/>
              </w:rPr>
            </w:pPr>
            <w:r w:rsidRPr="009E1EA6">
              <w:rPr>
                <w:sz w:val="22"/>
                <w:szCs w:val="22"/>
                <w:lang w:val="en-US"/>
              </w:rPr>
              <w:t>7.4</w:t>
            </w:r>
          </w:p>
        </w:tc>
        <w:tc>
          <w:tcPr>
            <w:tcW w:w="850" w:type="dxa"/>
            <w:vAlign w:val="bottom"/>
          </w:tcPr>
          <w:p w14:paraId="5D2FC72D" w14:textId="77777777" w:rsidR="008C4939" w:rsidRPr="009E1EA6" w:rsidRDefault="00B74A7C" w:rsidP="008C4939">
            <w:pPr>
              <w:jc w:val="center"/>
              <w:rPr>
                <w:sz w:val="20"/>
                <w:lang w:val="en-US"/>
              </w:rPr>
            </w:pPr>
            <w:r w:rsidRPr="009E1EA6">
              <w:rPr>
                <w:sz w:val="22"/>
                <w:szCs w:val="22"/>
                <w:lang w:val="en-US"/>
              </w:rPr>
              <w:t>16.03</w:t>
            </w:r>
          </w:p>
        </w:tc>
        <w:tc>
          <w:tcPr>
            <w:tcW w:w="993" w:type="dxa"/>
            <w:vAlign w:val="bottom"/>
          </w:tcPr>
          <w:p w14:paraId="0CF8E54A" w14:textId="77777777" w:rsidR="008C4939" w:rsidRPr="009E1EA6" w:rsidRDefault="00B74A7C" w:rsidP="008C4939">
            <w:pPr>
              <w:jc w:val="center"/>
              <w:rPr>
                <w:sz w:val="20"/>
                <w:lang w:val="en-US"/>
              </w:rPr>
            </w:pPr>
            <w:r w:rsidRPr="009E1EA6">
              <w:rPr>
                <w:sz w:val="22"/>
                <w:szCs w:val="22"/>
                <w:lang w:val="en-US"/>
              </w:rPr>
              <w:t>-96.96</w:t>
            </w:r>
          </w:p>
        </w:tc>
        <w:tc>
          <w:tcPr>
            <w:tcW w:w="850" w:type="dxa"/>
            <w:vAlign w:val="bottom"/>
          </w:tcPr>
          <w:p w14:paraId="4380F67D" w14:textId="77777777" w:rsidR="008C4939" w:rsidRPr="009E1EA6" w:rsidRDefault="00B74A7C" w:rsidP="008C4939">
            <w:pPr>
              <w:jc w:val="center"/>
              <w:rPr>
                <w:sz w:val="20"/>
                <w:lang w:val="en-US"/>
              </w:rPr>
            </w:pPr>
            <w:r w:rsidRPr="009E1EA6">
              <w:rPr>
                <w:sz w:val="22"/>
                <w:szCs w:val="22"/>
                <w:lang w:val="en-US"/>
              </w:rPr>
              <w:t>47</w:t>
            </w:r>
          </w:p>
        </w:tc>
        <w:tc>
          <w:tcPr>
            <w:tcW w:w="2058" w:type="dxa"/>
            <w:vAlign w:val="bottom"/>
          </w:tcPr>
          <w:p w14:paraId="457CF280" w14:textId="77777777" w:rsidR="008C4939" w:rsidRPr="009E1EA6" w:rsidRDefault="00B74A7C" w:rsidP="00F60AB4">
            <w:pPr>
              <w:jc w:val="center"/>
              <w:rPr>
                <w:sz w:val="22"/>
                <w:szCs w:val="22"/>
                <w:lang w:val="en-US"/>
              </w:rPr>
            </w:pPr>
            <w:r w:rsidRPr="009E1EA6">
              <w:rPr>
                <w:sz w:val="22"/>
                <w:szCs w:val="22"/>
                <w:lang w:val="en-US"/>
              </w:rPr>
              <w:t>6</w:t>
            </w:r>
          </w:p>
        </w:tc>
      </w:tr>
      <w:tr w:rsidR="009E1EA6" w:rsidRPr="009E1EA6" w14:paraId="1DC75607" w14:textId="77777777" w:rsidTr="00725D3A">
        <w:trPr>
          <w:jc w:val="center"/>
        </w:trPr>
        <w:tc>
          <w:tcPr>
            <w:tcW w:w="562" w:type="dxa"/>
            <w:vAlign w:val="center"/>
          </w:tcPr>
          <w:p w14:paraId="1285A738" w14:textId="77777777" w:rsidR="008C4939" w:rsidRPr="009E1EA6" w:rsidRDefault="00B74A7C" w:rsidP="008C4939">
            <w:pPr>
              <w:jc w:val="center"/>
              <w:rPr>
                <w:sz w:val="20"/>
                <w:lang w:val="en-US"/>
              </w:rPr>
            </w:pPr>
            <w:r w:rsidRPr="009E1EA6">
              <w:rPr>
                <w:sz w:val="20"/>
                <w:lang w:val="en-US"/>
              </w:rPr>
              <w:t>7</w:t>
            </w:r>
          </w:p>
        </w:tc>
        <w:tc>
          <w:tcPr>
            <w:tcW w:w="1706" w:type="dxa"/>
            <w:vAlign w:val="bottom"/>
          </w:tcPr>
          <w:p w14:paraId="2C6CD9D3" w14:textId="77777777" w:rsidR="008C4939" w:rsidRPr="009E1EA6" w:rsidRDefault="00B74A7C" w:rsidP="008C4939">
            <w:pPr>
              <w:jc w:val="center"/>
              <w:rPr>
                <w:sz w:val="20"/>
                <w:lang w:val="en-US"/>
              </w:rPr>
            </w:pPr>
            <w:r w:rsidRPr="009E1EA6">
              <w:rPr>
                <w:sz w:val="22"/>
                <w:szCs w:val="22"/>
                <w:lang w:val="en-US"/>
              </w:rPr>
              <w:t>2007-04-13</w:t>
            </w:r>
          </w:p>
        </w:tc>
        <w:tc>
          <w:tcPr>
            <w:tcW w:w="1418" w:type="dxa"/>
            <w:vAlign w:val="bottom"/>
          </w:tcPr>
          <w:p w14:paraId="66ED3C41" w14:textId="77777777" w:rsidR="008C4939" w:rsidRPr="009E1EA6" w:rsidRDefault="00B74A7C" w:rsidP="008C4939">
            <w:pPr>
              <w:jc w:val="center"/>
              <w:rPr>
                <w:sz w:val="20"/>
                <w:lang w:val="en-US"/>
              </w:rPr>
            </w:pPr>
            <w:r w:rsidRPr="009E1EA6">
              <w:rPr>
                <w:sz w:val="22"/>
                <w:szCs w:val="22"/>
                <w:lang w:val="en-US"/>
              </w:rPr>
              <w:t>ID-I</w:t>
            </w:r>
          </w:p>
        </w:tc>
        <w:tc>
          <w:tcPr>
            <w:tcW w:w="567" w:type="dxa"/>
            <w:vAlign w:val="bottom"/>
          </w:tcPr>
          <w:p w14:paraId="362D8A31" w14:textId="77777777" w:rsidR="008C4939" w:rsidRPr="009E1EA6" w:rsidRDefault="00B74A7C" w:rsidP="008C4939">
            <w:pPr>
              <w:jc w:val="left"/>
              <w:rPr>
                <w:sz w:val="20"/>
                <w:lang w:val="en-US"/>
              </w:rPr>
            </w:pPr>
            <w:r w:rsidRPr="009E1EA6">
              <w:rPr>
                <w:sz w:val="22"/>
                <w:szCs w:val="22"/>
                <w:lang w:val="en-US"/>
              </w:rPr>
              <w:t>6</w:t>
            </w:r>
          </w:p>
        </w:tc>
        <w:tc>
          <w:tcPr>
            <w:tcW w:w="850" w:type="dxa"/>
            <w:vAlign w:val="bottom"/>
          </w:tcPr>
          <w:p w14:paraId="0C1B47F4" w14:textId="77777777" w:rsidR="008C4939" w:rsidRPr="009E1EA6" w:rsidRDefault="00B74A7C" w:rsidP="008C4939">
            <w:pPr>
              <w:jc w:val="center"/>
              <w:rPr>
                <w:sz w:val="20"/>
                <w:lang w:val="en-US"/>
              </w:rPr>
            </w:pPr>
            <w:r w:rsidRPr="009E1EA6">
              <w:rPr>
                <w:sz w:val="22"/>
                <w:szCs w:val="22"/>
                <w:lang w:val="en-US"/>
              </w:rPr>
              <w:t>17.09</w:t>
            </w:r>
          </w:p>
        </w:tc>
        <w:tc>
          <w:tcPr>
            <w:tcW w:w="993" w:type="dxa"/>
            <w:vAlign w:val="bottom"/>
          </w:tcPr>
          <w:p w14:paraId="0DA4206E" w14:textId="77777777" w:rsidR="008C4939" w:rsidRPr="009E1EA6" w:rsidRDefault="00B74A7C" w:rsidP="008C4939">
            <w:pPr>
              <w:jc w:val="center"/>
              <w:rPr>
                <w:sz w:val="20"/>
                <w:lang w:val="en-US"/>
              </w:rPr>
            </w:pPr>
            <w:r w:rsidRPr="009E1EA6">
              <w:rPr>
                <w:sz w:val="22"/>
                <w:szCs w:val="22"/>
                <w:lang w:val="en-US"/>
              </w:rPr>
              <w:t>-100.44</w:t>
            </w:r>
          </w:p>
        </w:tc>
        <w:tc>
          <w:tcPr>
            <w:tcW w:w="850" w:type="dxa"/>
            <w:vAlign w:val="bottom"/>
          </w:tcPr>
          <w:p w14:paraId="6C7CC5B2" w14:textId="77777777" w:rsidR="008C4939" w:rsidRPr="009E1EA6" w:rsidRDefault="00B74A7C" w:rsidP="008C4939">
            <w:pPr>
              <w:jc w:val="center"/>
              <w:rPr>
                <w:sz w:val="20"/>
                <w:lang w:val="en-US"/>
              </w:rPr>
            </w:pPr>
            <w:r w:rsidRPr="009E1EA6">
              <w:rPr>
                <w:sz w:val="22"/>
                <w:szCs w:val="22"/>
                <w:lang w:val="en-US"/>
              </w:rPr>
              <w:t>41</w:t>
            </w:r>
          </w:p>
        </w:tc>
        <w:tc>
          <w:tcPr>
            <w:tcW w:w="2058" w:type="dxa"/>
            <w:vAlign w:val="bottom"/>
          </w:tcPr>
          <w:p w14:paraId="09B91E2D" w14:textId="77777777" w:rsidR="008C4939" w:rsidRPr="009E1EA6" w:rsidRDefault="00B74A7C" w:rsidP="008C4939">
            <w:pPr>
              <w:jc w:val="center"/>
              <w:rPr>
                <w:sz w:val="22"/>
                <w:szCs w:val="22"/>
                <w:lang w:val="en-US"/>
              </w:rPr>
            </w:pPr>
            <w:r w:rsidRPr="009E1EA6">
              <w:rPr>
                <w:sz w:val="22"/>
                <w:szCs w:val="22"/>
                <w:lang w:val="en-US"/>
              </w:rPr>
              <w:t>2</w:t>
            </w:r>
          </w:p>
        </w:tc>
      </w:tr>
      <w:tr w:rsidR="009E1EA6" w:rsidRPr="009E1EA6" w14:paraId="29F18FB9" w14:textId="77777777" w:rsidTr="00725D3A">
        <w:trPr>
          <w:jc w:val="center"/>
        </w:trPr>
        <w:tc>
          <w:tcPr>
            <w:tcW w:w="562" w:type="dxa"/>
            <w:vAlign w:val="center"/>
          </w:tcPr>
          <w:p w14:paraId="033C0E6F" w14:textId="77777777" w:rsidR="008C4939" w:rsidRPr="009E1EA6" w:rsidRDefault="00B74A7C" w:rsidP="008C4939">
            <w:pPr>
              <w:jc w:val="center"/>
              <w:rPr>
                <w:sz w:val="20"/>
                <w:lang w:val="en-US"/>
              </w:rPr>
            </w:pPr>
            <w:r w:rsidRPr="009E1EA6">
              <w:rPr>
                <w:sz w:val="20"/>
                <w:lang w:val="en-US"/>
              </w:rPr>
              <w:t>8</w:t>
            </w:r>
          </w:p>
        </w:tc>
        <w:tc>
          <w:tcPr>
            <w:tcW w:w="1706" w:type="dxa"/>
            <w:vAlign w:val="bottom"/>
          </w:tcPr>
          <w:p w14:paraId="32025B2B" w14:textId="77777777" w:rsidR="008C4939" w:rsidRPr="009E1EA6" w:rsidRDefault="00B74A7C" w:rsidP="008C4939">
            <w:pPr>
              <w:jc w:val="center"/>
              <w:rPr>
                <w:sz w:val="20"/>
                <w:lang w:val="en-US"/>
              </w:rPr>
            </w:pPr>
            <w:r w:rsidRPr="009E1EA6">
              <w:rPr>
                <w:sz w:val="22"/>
                <w:szCs w:val="22"/>
                <w:lang w:val="en-US"/>
              </w:rPr>
              <w:t>2012-03-20</w:t>
            </w:r>
          </w:p>
        </w:tc>
        <w:tc>
          <w:tcPr>
            <w:tcW w:w="1418" w:type="dxa"/>
            <w:vAlign w:val="bottom"/>
          </w:tcPr>
          <w:p w14:paraId="1F7045DC"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3134CD1C" w14:textId="77777777" w:rsidR="008C4939" w:rsidRPr="009E1EA6" w:rsidRDefault="00B74A7C" w:rsidP="008C4939">
            <w:pPr>
              <w:jc w:val="left"/>
              <w:rPr>
                <w:sz w:val="20"/>
                <w:lang w:val="en-US"/>
              </w:rPr>
            </w:pPr>
            <w:r w:rsidRPr="009E1EA6">
              <w:rPr>
                <w:sz w:val="22"/>
                <w:szCs w:val="22"/>
                <w:lang w:val="en-US"/>
              </w:rPr>
              <w:t>7.4</w:t>
            </w:r>
          </w:p>
        </w:tc>
        <w:tc>
          <w:tcPr>
            <w:tcW w:w="850" w:type="dxa"/>
            <w:vAlign w:val="bottom"/>
          </w:tcPr>
          <w:p w14:paraId="51AD69E3" w14:textId="77777777" w:rsidR="008C4939" w:rsidRPr="009E1EA6" w:rsidRDefault="00B74A7C" w:rsidP="008C4939">
            <w:pPr>
              <w:jc w:val="center"/>
              <w:rPr>
                <w:sz w:val="20"/>
                <w:lang w:val="en-US"/>
              </w:rPr>
            </w:pPr>
            <w:r w:rsidRPr="009E1EA6">
              <w:rPr>
                <w:sz w:val="22"/>
                <w:szCs w:val="22"/>
                <w:lang w:val="en-US"/>
              </w:rPr>
              <w:t>16.25</w:t>
            </w:r>
          </w:p>
        </w:tc>
        <w:tc>
          <w:tcPr>
            <w:tcW w:w="993" w:type="dxa"/>
            <w:vAlign w:val="bottom"/>
          </w:tcPr>
          <w:p w14:paraId="04C40495" w14:textId="77777777" w:rsidR="008C4939" w:rsidRPr="009E1EA6" w:rsidRDefault="00B74A7C" w:rsidP="008C4939">
            <w:pPr>
              <w:jc w:val="center"/>
              <w:rPr>
                <w:sz w:val="20"/>
                <w:lang w:val="en-US"/>
              </w:rPr>
            </w:pPr>
            <w:r w:rsidRPr="009E1EA6">
              <w:rPr>
                <w:sz w:val="22"/>
                <w:szCs w:val="22"/>
                <w:lang w:val="en-US"/>
              </w:rPr>
              <w:t>-98.52</w:t>
            </w:r>
          </w:p>
        </w:tc>
        <w:tc>
          <w:tcPr>
            <w:tcW w:w="850" w:type="dxa"/>
            <w:vAlign w:val="bottom"/>
          </w:tcPr>
          <w:p w14:paraId="6EF076CF" w14:textId="77777777" w:rsidR="008C4939" w:rsidRPr="009E1EA6" w:rsidRDefault="00B74A7C" w:rsidP="008C4939">
            <w:pPr>
              <w:jc w:val="center"/>
              <w:rPr>
                <w:sz w:val="20"/>
                <w:lang w:val="en-US"/>
              </w:rPr>
            </w:pPr>
            <w:r w:rsidRPr="009E1EA6">
              <w:rPr>
                <w:sz w:val="22"/>
                <w:szCs w:val="22"/>
                <w:lang w:val="en-US"/>
              </w:rPr>
              <w:t>16</w:t>
            </w:r>
          </w:p>
        </w:tc>
        <w:tc>
          <w:tcPr>
            <w:tcW w:w="2058" w:type="dxa"/>
            <w:vAlign w:val="bottom"/>
          </w:tcPr>
          <w:p w14:paraId="1A0AC343" w14:textId="77777777" w:rsidR="008C4939" w:rsidRPr="009E1EA6" w:rsidRDefault="00B74A7C" w:rsidP="008C4939">
            <w:pPr>
              <w:jc w:val="center"/>
              <w:rPr>
                <w:sz w:val="22"/>
                <w:szCs w:val="22"/>
                <w:lang w:val="en-US"/>
              </w:rPr>
            </w:pPr>
            <w:r w:rsidRPr="009E1EA6">
              <w:rPr>
                <w:sz w:val="22"/>
                <w:szCs w:val="22"/>
                <w:lang w:val="en-US"/>
              </w:rPr>
              <w:t>1</w:t>
            </w:r>
          </w:p>
        </w:tc>
      </w:tr>
      <w:tr w:rsidR="009E1EA6" w:rsidRPr="009E1EA6" w14:paraId="24699DC5" w14:textId="77777777" w:rsidTr="00725D3A">
        <w:trPr>
          <w:jc w:val="center"/>
        </w:trPr>
        <w:tc>
          <w:tcPr>
            <w:tcW w:w="562" w:type="dxa"/>
            <w:vAlign w:val="center"/>
          </w:tcPr>
          <w:p w14:paraId="33237065" w14:textId="77777777" w:rsidR="008C4939" w:rsidRPr="009E1EA6" w:rsidRDefault="00B74A7C" w:rsidP="008C4939">
            <w:pPr>
              <w:jc w:val="center"/>
              <w:rPr>
                <w:sz w:val="20"/>
                <w:lang w:val="en-US"/>
              </w:rPr>
            </w:pPr>
            <w:r w:rsidRPr="009E1EA6">
              <w:rPr>
                <w:sz w:val="20"/>
                <w:lang w:val="en-US"/>
              </w:rPr>
              <w:t>9</w:t>
            </w:r>
          </w:p>
        </w:tc>
        <w:tc>
          <w:tcPr>
            <w:tcW w:w="1706" w:type="dxa"/>
            <w:vAlign w:val="bottom"/>
          </w:tcPr>
          <w:p w14:paraId="719B9167" w14:textId="77777777" w:rsidR="008C4939" w:rsidRPr="009E1EA6" w:rsidRDefault="00B74A7C" w:rsidP="008C4939">
            <w:pPr>
              <w:jc w:val="center"/>
              <w:rPr>
                <w:sz w:val="20"/>
                <w:lang w:val="en-US"/>
              </w:rPr>
            </w:pPr>
            <w:r w:rsidRPr="009E1EA6">
              <w:rPr>
                <w:sz w:val="22"/>
                <w:szCs w:val="22"/>
                <w:lang w:val="en-US"/>
              </w:rPr>
              <w:t>2013-08-21</w:t>
            </w:r>
          </w:p>
        </w:tc>
        <w:tc>
          <w:tcPr>
            <w:tcW w:w="1418" w:type="dxa"/>
            <w:vAlign w:val="bottom"/>
          </w:tcPr>
          <w:p w14:paraId="78261DE4"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6955AF3C" w14:textId="77777777" w:rsidR="008C4939" w:rsidRPr="009E1EA6" w:rsidRDefault="00B74A7C" w:rsidP="008C4939">
            <w:pPr>
              <w:jc w:val="left"/>
              <w:rPr>
                <w:sz w:val="20"/>
                <w:lang w:val="en-US"/>
              </w:rPr>
            </w:pPr>
            <w:r w:rsidRPr="009E1EA6">
              <w:rPr>
                <w:sz w:val="22"/>
                <w:szCs w:val="22"/>
                <w:lang w:val="en-US"/>
              </w:rPr>
              <w:t>6.2</w:t>
            </w:r>
          </w:p>
        </w:tc>
        <w:tc>
          <w:tcPr>
            <w:tcW w:w="850" w:type="dxa"/>
            <w:vAlign w:val="bottom"/>
          </w:tcPr>
          <w:p w14:paraId="173070EF" w14:textId="77777777" w:rsidR="008C4939" w:rsidRPr="009E1EA6" w:rsidRDefault="00B74A7C" w:rsidP="008C4939">
            <w:pPr>
              <w:jc w:val="center"/>
              <w:rPr>
                <w:sz w:val="20"/>
                <w:lang w:val="en-US"/>
              </w:rPr>
            </w:pPr>
            <w:r w:rsidRPr="009E1EA6">
              <w:rPr>
                <w:sz w:val="22"/>
                <w:szCs w:val="22"/>
                <w:lang w:val="en-US"/>
              </w:rPr>
              <w:t>16.79</w:t>
            </w:r>
          </w:p>
        </w:tc>
        <w:tc>
          <w:tcPr>
            <w:tcW w:w="993" w:type="dxa"/>
            <w:vAlign w:val="bottom"/>
          </w:tcPr>
          <w:p w14:paraId="38693606" w14:textId="77777777" w:rsidR="008C4939" w:rsidRPr="009E1EA6" w:rsidRDefault="00B74A7C" w:rsidP="008C4939">
            <w:pPr>
              <w:jc w:val="center"/>
              <w:rPr>
                <w:sz w:val="20"/>
                <w:lang w:val="en-US"/>
              </w:rPr>
            </w:pPr>
            <w:r w:rsidRPr="009E1EA6">
              <w:rPr>
                <w:sz w:val="22"/>
                <w:szCs w:val="22"/>
                <w:lang w:val="en-US"/>
              </w:rPr>
              <w:t>-99.56</w:t>
            </w:r>
          </w:p>
        </w:tc>
        <w:tc>
          <w:tcPr>
            <w:tcW w:w="850" w:type="dxa"/>
            <w:vAlign w:val="bottom"/>
          </w:tcPr>
          <w:p w14:paraId="374A5CAC" w14:textId="77777777" w:rsidR="008C4939" w:rsidRPr="009E1EA6" w:rsidRDefault="00B74A7C" w:rsidP="008C4939">
            <w:pPr>
              <w:jc w:val="center"/>
              <w:rPr>
                <w:sz w:val="20"/>
                <w:lang w:val="en-US"/>
              </w:rPr>
            </w:pPr>
            <w:r w:rsidRPr="009E1EA6">
              <w:rPr>
                <w:sz w:val="22"/>
                <w:szCs w:val="22"/>
                <w:lang w:val="en-US"/>
              </w:rPr>
              <w:t>20</w:t>
            </w:r>
          </w:p>
        </w:tc>
        <w:tc>
          <w:tcPr>
            <w:tcW w:w="2058" w:type="dxa"/>
            <w:vAlign w:val="bottom"/>
          </w:tcPr>
          <w:p w14:paraId="3AD1F9D1" w14:textId="77777777" w:rsidR="008C4939" w:rsidRPr="009E1EA6" w:rsidRDefault="00B74A7C" w:rsidP="008C4939">
            <w:pPr>
              <w:jc w:val="center"/>
              <w:rPr>
                <w:sz w:val="22"/>
                <w:szCs w:val="22"/>
                <w:lang w:val="en-US"/>
              </w:rPr>
            </w:pPr>
            <w:r w:rsidRPr="009E1EA6">
              <w:rPr>
                <w:sz w:val="22"/>
                <w:szCs w:val="22"/>
                <w:lang w:val="en-US"/>
              </w:rPr>
              <w:t>1</w:t>
            </w:r>
          </w:p>
        </w:tc>
      </w:tr>
      <w:tr w:rsidR="009E1EA6" w:rsidRPr="009E1EA6" w14:paraId="4D42C09F" w14:textId="77777777" w:rsidTr="00725D3A">
        <w:trPr>
          <w:jc w:val="center"/>
        </w:trPr>
        <w:tc>
          <w:tcPr>
            <w:tcW w:w="562" w:type="dxa"/>
            <w:vAlign w:val="center"/>
          </w:tcPr>
          <w:p w14:paraId="02D6560D" w14:textId="77777777" w:rsidR="008C4939" w:rsidRPr="009E1EA6" w:rsidRDefault="00B74A7C" w:rsidP="008C4939">
            <w:pPr>
              <w:jc w:val="center"/>
              <w:rPr>
                <w:sz w:val="20"/>
                <w:lang w:val="en-US"/>
              </w:rPr>
            </w:pPr>
            <w:r w:rsidRPr="009E1EA6">
              <w:rPr>
                <w:sz w:val="20"/>
                <w:lang w:val="en-US"/>
              </w:rPr>
              <w:t>10</w:t>
            </w:r>
          </w:p>
        </w:tc>
        <w:tc>
          <w:tcPr>
            <w:tcW w:w="1706" w:type="dxa"/>
            <w:vAlign w:val="bottom"/>
          </w:tcPr>
          <w:p w14:paraId="73AFEF23" w14:textId="77777777" w:rsidR="008C4939" w:rsidRPr="009E1EA6" w:rsidRDefault="00B74A7C" w:rsidP="008C4939">
            <w:pPr>
              <w:jc w:val="center"/>
              <w:rPr>
                <w:sz w:val="20"/>
                <w:lang w:val="en-US"/>
              </w:rPr>
            </w:pPr>
            <w:r w:rsidRPr="009E1EA6">
              <w:rPr>
                <w:sz w:val="22"/>
                <w:szCs w:val="22"/>
                <w:lang w:val="en-US"/>
              </w:rPr>
              <w:t>2014-04-18</w:t>
            </w:r>
          </w:p>
        </w:tc>
        <w:tc>
          <w:tcPr>
            <w:tcW w:w="1418" w:type="dxa"/>
            <w:vAlign w:val="bottom"/>
          </w:tcPr>
          <w:p w14:paraId="3F75F752" w14:textId="77777777" w:rsidR="008C4939" w:rsidRPr="009E1EA6" w:rsidRDefault="00B74A7C" w:rsidP="008C4939">
            <w:pPr>
              <w:jc w:val="center"/>
              <w:rPr>
                <w:sz w:val="20"/>
                <w:lang w:val="en-US"/>
              </w:rPr>
            </w:pPr>
            <w:r w:rsidRPr="009E1EA6">
              <w:rPr>
                <w:sz w:val="22"/>
                <w:szCs w:val="22"/>
                <w:lang w:val="en-US"/>
              </w:rPr>
              <w:t>S</w:t>
            </w:r>
          </w:p>
        </w:tc>
        <w:tc>
          <w:tcPr>
            <w:tcW w:w="567" w:type="dxa"/>
            <w:vAlign w:val="bottom"/>
          </w:tcPr>
          <w:p w14:paraId="2B9DDB08" w14:textId="77777777" w:rsidR="008C4939" w:rsidRPr="009E1EA6" w:rsidRDefault="00B74A7C" w:rsidP="008C4939">
            <w:pPr>
              <w:jc w:val="left"/>
              <w:rPr>
                <w:sz w:val="20"/>
                <w:lang w:val="en-US"/>
              </w:rPr>
            </w:pPr>
            <w:r w:rsidRPr="009E1EA6">
              <w:rPr>
                <w:sz w:val="22"/>
                <w:szCs w:val="22"/>
                <w:lang w:val="en-US"/>
              </w:rPr>
              <w:t>7.3</w:t>
            </w:r>
          </w:p>
        </w:tc>
        <w:tc>
          <w:tcPr>
            <w:tcW w:w="850" w:type="dxa"/>
            <w:vAlign w:val="bottom"/>
          </w:tcPr>
          <w:p w14:paraId="61E89E5E" w14:textId="77777777" w:rsidR="008C4939" w:rsidRPr="009E1EA6" w:rsidRDefault="00B74A7C" w:rsidP="008C4939">
            <w:pPr>
              <w:jc w:val="center"/>
              <w:rPr>
                <w:sz w:val="20"/>
                <w:lang w:val="en-US"/>
              </w:rPr>
            </w:pPr>
            <w:r w:rsidRPr="009E1EA6">
              <w:rPr>
                <w:sz w:val="22"/>
                <w:szCs w:val="22"/>
                <w:lang w:val="en-US"/>
              </w:rPr>
              <w:t>17.38</w:t>
            </w:r>
          </w:p>
        </w:tc>
        <w:tc>
          <w:tcPr>
            <w:tcW w:w="993" w:type="dxa"/>
            <w:vAlign w:val="bottom"/>
          </w:tcPr>
          <w:p w14:paraId="34105B89" w14:textId="77777777" w:rsidR="008C4939" w:rsidRPr="009E1EA6" w:rsidRDefault="00B74A7C" w:rsidP="008C4939">
            <w:pPr>
              <w:jc w:val="center"/>
              <w:rPr>
                <w:sz w:val="20"/>
                <w:lang w:val="en-US"/>
              </w:rPr>
            </w:pPr>
            <w:r w:rsidRPr="009E1EA6">
              <w:rPr>
                <w:sz w:val="22"/>
                <w:szCs w:val="22"/>
                <w:lang w:val="en-US"/>
              </w:rPr>
              <w:t>-101.06</w:t>
            </w:r>
          </w:p>
        </w:tc>
        <w:tc>
          <w:tcPr>
            <w:tcW w:w="850" w:type="dxa"/>
            <w:vAlign w:val="bottom"/>
          </w:tcPr>
          <w:p w14:paraId="72945302" w14:textId="77777777" w:rsidR="008C4939" w:rsidRPr="009E1EA6" w:rsidRDefault="00B74A7C" w:rsidP="008C4939">
            <w:pPr>
              <w:jc w:val="center"/>
              <w:rPr>
                <w:sz w:val="20"/>
                <w:lang w:val="en-US"/>
              </w:rPr>
            </w:pPr>
            <w:r w:rsidRPr="009E1EA6">
              <w:rPr>
                <w:sz w:val="22"/>
                <w:szCs w:val="22"/>
                <w:lang w:val="en-US"/>
              </w:rPr>
              <w:t>16</w:t>
            </w:r>
          </w:p>
        </w:tc>
        <w:tc>
          <w:tcPr>
            <w:tcW w:w="2058" w:type="dxa"/>
            <w:vAlign w:val="bottom"/>
          </w:tcPr>
          <w:p w14:paraId="3F41756E" w14:textId="77777777" w:rsidR="008C4939" w:rsidRPr="009E1EA6" w:rsidRDefault="00B74A7C" w:rsidP="008C4939">
            <w:pPr>
              <w:jc w:val="center"/>
              <w:rPr>
                <w:sz w:val="22"/>
                <w:szCs w:val="22"/>
                <w:lang w:val="en-US"/>
              </w:rPr>
            </w:pPr>
            <w:r w:rsidRPr="009E1EA6">
              <w:rPr>
                <w:sz w:val="22"/>
                <w:szCs w:val="22"/>
                <w:lang w:val="en-US"/>
              </w:rPr>
              <w:t>3</w:t>
            </w:r>
          </w:p>
        </w:tc>
      </w:tr>
      <w:tr w:rsidR="009E1EA6" w:rsidRPr="009E1EA6" w14:paraId="1AB5820E" w14:textId="77777777" w:rsidTr="00725D3A">
        <w:trPr>
          <w:jc w:val="center"/>
        </w:trPr>
        <w:tc>
          <w:tcPr>
            <w:tcW w:w="562" w:type="dxa"/>
            <w:vAlign w:val="center"/>
          </w:tcPr>
          <w:p w14:paraId="14E46E6E" w14:textId="77777777" w:rsidR="008C4939" w:rsidRPr="009E1EA6" w:rsidRDefault="00B74A7C" w:rsidP="008C4939">
            <w:pPr>
              <w:jc w:val="center"/>
              <w:rPr>
                <w:sz w:val="20"/>
                <w:lang w:val="en-US"/>
              </w:rPr>
            </w:pPr>
            <w:r w:rsidRPr="009E1EA6">
              <w:rPr>
                <w:sz w:val="20"/>
                <w:lang w:val="en-US"/>
              </w:rPr>
              <w:t>11</w:t>
            </w:r>
          </w:p>
        </w:tc>
        <w:tc>
          <w:tcPr>
            <w:tcW w:w="1706" w:type="dxa"/>
            <w:vAlign w:val="bottom"/>
          </w:tcPr>
          <w:p w14:paraId="1A6D1D32" w14:textId="77777777" w:rsidR="008C4939" w:rsidRPr="009E1EA6" w:rsidRDefault="00B74A7C" w:rsidP="00AE096F">
            <w:pPr>
              <w:jc w:val="center"/>
              <w:rPr>
                <w:sz w:val="20"/>
                <w:lang w:val="en-US"/>
              </w:rPr>
            </w:pPr>
            <w:r w:rsidRPr="009E1EA6">
              <w:rPr>
                <w:sz w:val="22"/>
                <w:szCs w:val="22"/>
                <w:lang w:val="en-US"/>
              </w:rPr>
              <w:t>2017-09-07</w:t>
            </w:r>
          </w:p>
        </w:tc>
        <w:tc>
          <w:tcPr>
            <w:tcW w:w="1418" w:type="dxa"/>
            <w:vAlign w:val="bottom"/>
          </w:tcPr>
          <w:p w14:paraId="6705D995" w14:textId="77777777" w:rsidR="008C4939" w:rsidRPr="009E1EA6" w:rsidRDefault="00B74A7C" w:rsidP="008C4939">
            <w:pPr>
              <w:jc w:val="center"/>
              <w:rPr>
                <w:sz w:val="20"/>
                <w:lang w:val="en-US"/>
              </w:rPr>
            </w:pPr>
            <w:r w:rsidRPr="009E1EA6">
              <w:rPr>
                <w:sz w:val="22"/>
                <w:szCs w:val="22"/>
                <w:lang w:val="en-US"/>
              </w:rPr>
              <w:t>ID-I</w:t>
            </w:r>
          </w:p>
        </w:tc>
        <w:tc>
          <w:tcPr>
            <w:tcW w:w="567" w:type="dxa"/>
            <w:vAlign w:val="bottom"/>
          </w:tcPr>
          <w:p w14:paraId="667921D6" w14:textId="77777777" w:rsidR="008C4939" w:rsidRPr="009E1EA6" w:rsidRDefault="00B74A7C" w:rsidP="008C4939">
            <w:pPr>
              <w:jc w:val="left"/>
              <w:rPr>
                <w:sz w:val="20"/>
                <w:lang w:val="en-US"/>
              </w:rPr>
            </w:pPr>
            <w:r w:rsidRPr="009E1EA6">
              <w:rPr>
                <w:sz w:val="22"/>
                <w:szCs w:val="22"/>
                <w:lang w:val="en-US"/>
              </w:rPr>
              <w:t>8.2</w:t>
            </w:r>
          </w:p>
        </w:tc>
        <w:tc>
          <w:tcPr>
            <w:tcW w:w="850" w:type="dxa"/>
            <w:vAlign w:val="bottom"/>
          </w:tcPr>
          <w:p w14:paraId="5014007C" w14:textId="77777777" w:rsidR="008C4939" w:rsidRPr="009E1EA6" w:rsidRDefault="00B74A7C" w:rsidP="008C4939">
            <w:pPr>
              <w:jc w:val="center"/>
              <w:rPr>
                <w:sz w:val="20"/>
                <w:lang w:val="en-US"/>
              </w:rPr>
            </w:pPr>
            <w:r w:rsidRPr="009E1EA6">
              <w:rPr>
                <w:sz w:val="22"/>
                <w:szCs w:val="22"/>
                <w:lang w:val="en-US"/>
              </w:rPr>
              <w:t>14.85</w:t>
            </w:r>
          </w:p>
        </w:tc>
        <w:tc>
          <w:tcPr>
            <w:tcW w:w="993" w:type="dxa"/>
            <w:vAlign w:val="bottom"/>
          </w:tcPr>
          <w:p w14:paraId="2A63648C" w14:textId="77777777" w:rsidR="008C4939" w:rsidRPr="009E1EA6" w:rsidRDefault="00B74A7C" w:rsidP="008C4939">
            <w:pPr>
              <w:jc w:val="center"/>
              <w:rPr>
                <w:sz w:val="20"/>
                <w:lang w:val="en-US"/>
              </w:rPr>
            </w:pPr>
            <w:r w:rsidRPr="009E1EA6">
              <w:rPr>
                <w:sz w:val="22"/>
                <w:szCs w:val="22"/>
                <w:lang w:val="en-US"/>
              </w:rPr>
              <w:t>-94.11</w:t>
            </w:r>
          </w:p>
        </w:tc>
        <w:tc>
          <w:tcPr>
            <w:tcW w:w="850" w:type="dxa"/>
            <w:vAlign w:val="bottom"/>
          </w:tcPr>
          <w:p w14:paraId="42151DFC" w14:textId="77777777" w:rsidR="008C4939" w:rsidRPr="009E1EA6" w:rsidRDefault="00B74A7C" w:rsidP="008C4939">
            <w:pPr>
              <w:jc w:val="center"/>
              <w:rPr>
                <w:sz w:val="20"/>
                <w:lang w:val="en-US"/>
              </w:rPr>
            </w:pPr>
            <w:r w:rsidRPr="009E1EA6">
              <w:rPr>
                <w:sz w:val="22"/>
                <w:szCs w:val="22"/>
                <w:lang w:val="en-US"/>
              </w:rPr>
              <w:t>58</w:t>
            </w:r>
          </w:p>
        </w:tc>
        <w:tc>
          <w:tcPr>
            <w:tcW w:w="2058" w:type="dxa"/>
            <w:vAlign w:val="bottom"/>
          </w:tcPr>
          <w:p w14:paraId="3F2C1F31" w14:textId="77777777" w:rsidR="008C4939" w:rsidRPr="009E1EA6" w:rsidRDefault="00B74A7C" w:rsidP="008C4939">
            <w:pPr>
              <w:jc w:val="center"/>
              <w:rPr>
                <w:sz w:val="22"/>
                <w:szCs w:val="22"/>
                <w:lang w:val="en-US"/>
              </w:rPr>
            </w:pPr>
            <w:r w:rsidRPr="009E1EA6">
              <w:rPr>
                <w:sz w:val="22"/>
                <w:szCs w:val="22"/>
                <w:lang w:val="en-US"/>
              </w:rPr>
              <w:t>3</w:t>
            </w:r>
          </w:p>
        </w:tc>
      </w:tr>
      <w:tr w:rsidR="009E1EA6" w:rsidRPr="009E1EA6" w14:paraId="0AB5A1DB" w14:textId="77777777" w:rsidTr="00725D3A">
        <w:trPr>
          <w:jc w:val="center"/>
        </w:trPr>
        <w:tc>
          <w:tcPr>
            <w:tcW w:w="562" w:type="dxa"/>
            <w:tcBorders>
              <w:bottom w:val="double" w:sz="4" w:space="0" w:color="auto"/>
            </w:tcBorders>
            <w:vAlign w:val="center"/>
          </w:tcPr>
          <w:p w14:paraId="404B121A" w14:textId="77777777" w:rsidR="008C4939" w:rsidRPr="009E1EA6" w:rsidRDefault="00B74A7C" w:rsidP="008C4939">
            <w:pPr>
              <w:jc w:val="center"/>
              <w:rPr>
                <w:sz w:val="20"/>
                <w:lang w:val="en-US"/>
              </w:rPr>
            </w:pPr>
            <w:r w:rsidRPr="009E1EA6">
              <w:rPr>
                <w:sz w:val="20"/>
                <w:lang w:val="en-US"/>
              </w:rPr>
              <w:t>12</w:t>
            </w:r>
          </w:p>
        </w:tc>
        <w:tc>
          <w:tcPr>
            <w:tcW w:w="1706" w:type="dxa"/>
            <w:tcBorders>
              <w:bottom w:val="double" w:sz="4" w:space="0" w:color="auto"/>
            </w:tcBorders>
            <w:vAlign w:val="bottom"/>
          </w:tcPr>
          <w:p w14:paraId="1B024012" w14:textId="77777777" w:rsidR="008C4939" w:rsidRPr="009E1EA6" w:rsidRDefault="00AE096F" w:rsidP="008C4939">
            <w:pPr>
              <w:jc w:val="center"/>
              <w:rPr>
                <w:sz w:val="20"/>
                <w:lang w:val="en-US"/>
              </w:rPr>
            </w:pPr>
            <w:r w:rsidRPr="009E1EA6">
              <w:rPr>
                <w:sz w:val="22"/>
                <w:szCs w:val="22"/>
                <w:lang w:val="en-US"/>
              </w:rPr>
              <w:t>2017-09-19**</w:t>
            </w:r>
          </w:p>
        </w:tc>
        <w:tc>
          <w:tcPr>
            <w:tcW w:w="1418" w:type="dxa"/>
            <w:tcBorders>
              <w:bottom w:val="double" w:sz="4" w:space="0" w:color="auto"/>
            </w:tcBorders>
            <w:vAlign w:val="bottom"/>
          </w:tcPr>
          <w:p w14:paraId="4060B719" w14:textId="77777777" w:rsidR="008C4939" w:rsidRPr="009E1EA6" w:rsidRDefault="00B74A7C" w:rsidP="008C4939">
            <w:pPr>
              <w:jc w:val="center"/>
              <w:rPr>
                <w:sz w:val="20"/>
                <w:lang w:val="en-US"/>
              </w:rPr>
            </w:pPr>
            <w:r w:rsidRPr="009E1EA6">
              <w:rPr>
                <w:sz w:val="22"/>
                <w:szCs w:val="22"/>
                <w:lang w:val="en-US"/>
              </w:rPr>
              <w:t>ID-I</w:t>
            </w:r>
          </w:p>
        </w:tc>
        <w:tc>
          <w:tcPr>
            <w:tcW w:w="567" w:type="dxa"/>
            <w:tcBorders>
              <w:bottom w:val="double" w:sz="4" w:space="0" w:color="auto"/>
            </w:tcBorders>
            <w:vAlign w:val="bottom"/>
          </w:tcPr>
          <w:p w14:paraId="595D1BA3" w14:textId="77777777" w:rsidR="008C4939" w:rsidRPr="009E1EA6" w:rsidRDefault="00B74A7C" w:rsidP="008C4939">
            <w:pPr>
              <w:jc w:val="left"/>
              <w:rPr>
                <w:sz w:val="20"/>
                <w:lang w:val="en-US"/>
              </w:rPr>
            </w:pPr>
            <w:r w:rsidRPr="009E1EA6">
              <w:rPr>
                <w:sz w:val="22"/>
                <w:szCs w:val="22"/>
                <w:lang w:val="en-US"/>
              </w:rPr>
              <w:t>7.1</w:t>
            </w:r>
          </w:p>
        </w:tc>
        <w:tc>
          <w:tcPr>
            <w:tcW w:w="850" w:type="dxa"/>
            <w:tcBorders>
              <w:bottom w:val="double" w:sz="4" w:space="0" w:color="auto"/>
            </w:tcBorders>
            <w:vAlign w:val="bottom"/>
          </w:tcPr>
          <w:p w14:paraId="63FA2915" w14:textId="77777777" w:rsidR="008C4939" w:rsidRPr="009E1EA6" w:rsidRDefault="00B74A7C" w:rsidP="008C4939">
            <w:pPr>
              <w:jc w:val="center"/>
              <w:rPr>
                <w:sz w:val="20"/>
                <w:lang w:val="en-US"/>
              </w:rPr>
            </w:pPr>
            <w:r w:rsidRPr="009E1EA6">
              <w:rPr>
                <w:sz w:val="22"/>
                <w:szCs w:val="22"/>
                <w:lang w:val="en-US"/>
              </w:rPr>
              <w:t>18.40</w:t>
            </w:r>
          </w:p>
        </w:tc>
        <w:tc>
          <w:tcPr>
            <w:tcW w:w="993" w:type="dxa"/>
            <w:tcBorders>
              <w:bottom w:val="double" w:sz="4" w:space="0" w:color="auto"/>
            </w:tcBorders>
            <w:vAlign w:val="bottom"/>
          </w:tcPr>
          <w:p w14:paraId="0F0707EA" w14:textId="77777777" w:rsidR="008C4939" w:rsidRPr="009E1EA6" w:rsidRDefault="00B74A7C" w:rsidP="008C4939">
            <w:pPr>
              <w:jc w:val="center"/>
              <w:rPr>
                <w:sz w:val="20"/>
                <w:lang w:val="en-US"/>
              </w:rPr>
            </w:pPr>
            <w:r w:rsidRPr="009E1EA6">
              <w:rPr>
                <w:sz w:val="22"/>
                <w:szCs w:val="22"/>
                <w:lang w:val="en-US"/>
              </w:rPr>
              <w:t>-98.72</w:t>
            </w:r>
          </w:p>
        </w:tc>
        <w:tc>
          <w:tcPr>
            <w:tcW w:w="850" w:type="dxa"/>
            <w:tcBorders>
              <w:bottom w:val="double" w:sz="4" w:space="0" w:color="auto"/>
            </w:tcBorders>
            <w:vAlign w:val="bottom"/>
          </w:tcPr>
          <w:p w14:paraId="1BC74419" w14:textId="77777777" w:rsidR="008C4939" w:rsidRPr="009E1EA6" w:rsidRDefault="00B74A7C" w:rsidP="008C4939">
            <w:pPr>
              <w:jc w:val="center"/>
              <w:rPr>
                <w:sz w:val="20"/>
                <w:lang w:val="en-US"/>
              </w:rPr>
            </w:pPr>
            <w:r w:rsidRPr="009E1EA6">
              <w:rPr>
                <w:sz w:val="22"/>
                <w:szCs w:val="22"/>
                <w:lang w:val="en-US"/>
              </w:rPr>
              <w:t>57</w:t>
            </w:r>
          </w:p>
        </w:tc>
        <w:tc>
          <w:tcPr>
            <w:tcW w:w="2058" w:type="dxa"/>
            <w:tcBorders>
              <w:bottom w:val="double" w:sz="4" w:space="0" w:color="auto"/>
            </w:tcBorders>
            <w:vAlign w:val="bottom"/>
          </w:tcPr>
          <w:p w14:paraId="468C2D60" w14:textId="77777777" w:rsidR="008C4939" w:rsidRPr="009E1EA6" w:rsidRDefault="00B74A7C" w:rsidP="008C4939">
            <w:pPr>
              <w:jc w:val="center"/>
              <w:rPr>
                <w:sz w:val="22"/>
                <w:szCs w:val="22"/>
                <w:lang w:val="en-US"/>
              </w:rPr>
            </w:pPr>
            <w:r w:rsidRPr="009E1EA6">
              <w:rPr>
                <w:sz w:val="22"/>
                <w:szCs w:val="22"/>
                <w:lang w:val="en-US"/>
              </w:rPr>
              <w:t>1</w:t>
            </w:r>
          </w:p>
        </w:tc>
      </w:tr>
    </w:tbl>
    <w:p w14:paraId="750F0A33" w14:textId="77777777" w:rsidR="00D31006" w:rsidRPr="009E1EA6" w:rsidRDefault="00B74A7C" w:rsidP="00725D3A">
      <w:pPr>
        <w:pStyle w:val="Textoindependiente"/>
        <w:spacing w:line="240" w:lineRule="auto"/>
        <w:ind w:firstLine="0"/>
        <w:rPr>
          <w:i/>
          <w:sz w:val="20"/>
        </w:rPr>
      </w:pPr>
      <w:r w:rsidRPr="009E1EA6">
        <w:rPr>
          <w:i/>
          <w:sz w:val="20"/>
        </w:rPr>
        <w:t xml:space="preserve">* </w:t>
      </w:r>
      <w:r w:rsidRPr="009E1EA6">
        <w:rPr>
          <w:sz w:val="20"/>
        </w:rPr>
        <w:t>S</w:t>
      </w:r>
      <w:r w:rsidRPr="009E1EA6">
        <w:rPr>
          <w:i/>
          <w:sz w:val="20"/>
        </w:rPr>
        <w:t xml:space="preserve"> = Subduction interface; </w:t>
      </w:r>
      <w:r w:rsidRPr="009E1EA6">
        <w:rPr>
          <w:sz w:val="20"/>
        </w:rPr>
        <w:t>ID-I</w:t>
      </w:r>
      <w:r w:rsidRPr="009E1EA6">
        <w:rPr>
          <w:i/>
          <w:sz w:val="20"/>
        </w:rPr>
        <w:t xml:space="preserve"> = Intermediate-Depth Intraslab. ** The symbol “**” denotes records used as seed in station CU (</w:t>
      </w:r>
      <w:r w:rsidRPr="009E1EA6">
        <w:rPr>
          <w:sz w:val="20"/>
        </w:rPr>
        <w:t>i.e</w:t>
      </w:r>
      <w:r w:rsidRPr="009E1EA6">
        <w:rPr>
          <w:i/>
          <w:sz w:val="20"/>
        </w:rPr>
        <w:t>., far-field)</w:t>
      </w:r>
    </w:p>
    <w:p w14:paraId="5D0736D8" w14:textId="77777777" w:rsidR="00D31006" w:rsidRPr="009E1EA6" w:rsidRDefault="00B74A7C">
      <w:pPr>
        <w:jc w:val="left"/>
      </w:pPr>
      <w:r w:rsidRPr="009E1EA6">
        <w:br w:type="page"/>
      </w:r>
    </w:p>
    <w:p w14:paraId="78CFE118" w14:textId="77777777" w:rsidR="00B25330" w:rsidRPr="009E1EA6" w:rsidRDefault="00B74A7C" w:rsidP="00D31006">
      <w:pPr>
        <w:pStyle w:val="Textoindependiente"/>
        <w:ind w:firstLine="0"/>
        <w:rPr>
          <w:sz w:val="22"/>
        </w:rPr>
      </w:pPr>
      <w:r w:rsidRPr="009E1EA6">
        <w:rPr>
          <w:b/>
          <w:sz w:val="22"/>
        </w:rPr>
        <w:lastRenderedPageBreak/>
        <w:t>Table B2</w:t>
      </w:r>
      <w:r w:rsidR="005509F2" w:rsidRPr="009E1EA6">
        <w:rPr>
          <w:b/>
          <w:sz w:val="22"/>
        </w:rPr>
        <w:t>.</w:t>
      </w:r>
      <w:r w:rsidR="005509F2" w:rsidRPr="009E1EA6">
        <w:rPr>
          <w:sz w:val="22"/>
        </w:rPr>
        <w:t xml:space="preserve"> D</w:t>
      </w:r>
      <w:r w:rsidR="005509F2" w:rsidRPr="009E1EA6">
        <w:rPr>
          <w:sz w:val="22"/>
          <w:vertAlign w:val="subscript"/>
        </w:rPr>
        <w:t>1000</w:t>
      </w:r>
      <w:r w:rsidR="005509F2" w:rsidRPr="009E1EA6">
        <w:rPr>
          <w:sz w:val="22"/>
        </w:rPr>
        <w:t xml:space="preserve"> and D</w:t>
      </w:r>
      <w:r w:rsidR="005509F2" w:rsidRPr="009E1EA6">
        <w:rPr>
          <w:sz w:val="22"/>
          <w:vertAlign w:val="subscript"/>
        </w:rPr>
        <w:t>10000</w:t>
      </w:r>
      <w:r w:rsidR="00163C38" w:rsidRPr="009E1EA6">
        <w:rPr>
          <w:sz w:val="22"/>
        </w:rPr>
        <w:t xml:space="preserve"> (cm) values computed for freestanding and anchored blocks</w:t>
      </w:r>
    </w:p>
    <w:tbl>
      <w:tblPr>
        <w:tblW w:w="8926" w:type="dxa"/>
        <w:tblLook w:val="04A0" w:firstRow="1" w:lastRow="0" w:firstColumn="1" w:lastColumn="0" w:noHBand="0" w:noVBand="1"/>
      </w:tblPr>
      <w:tblGrid>
        <w:gridCol w:w="1360"/>
        <w:gridCol w:w="1020"/>
        <w:gridCol w:w="1155"/>
        <w:gridCol w:w="1365"/>
        <w:gridCol w:w="1032"/>
        <w:gridCol w:w="1149"/>
        <w:gridCol w:w="1845"/>
      </w:tblGrid>
      <w:tr w:rsidR="009E1EA6" w:rsidRPr="009E1EA6" w14:paraId="51A2071C" w14:textId="77777777" w:rsidTr="00872E03">
        <w:trPr>
          <w:trHeight w:val="290"/>
        </w:trPr>
        <w:tc>
          <w:tcPr>
            <w:tcW w:w="13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59FB53BF" w14:textId="77777777" w:rsidR="00AC3587" w:rsidRPr="009E1EA6" w:rsidRDefault="00B74A7C" w:rsidP="00AC3587">
            <w:pPr>
              <w:jc w:val="center"/>
              <w:rPr>
                <w:bCs/>
                <w:sz w:val="22"/>
                <w:szCs w:val="22"/>
              </w:rPr>
            </w:pPr>
            <w:r w:rsidRPr="009E1EA6">
              <w:rPr>
                <w:bCs/>
                <w:sz w:val="22"/>
                <w:szCs w:val="22"/>
              </w:rPr>
              <w:t>Site Location</w:t>
            </w:r>
          </w:p>
        </w:tc>
        <w:tc>
          <w:tcPr>
            <w:tcW w:w="3540" w:type="dxa"/>
            <w:gridSpan w:val="3"/>
            <w:tcBorders>
              <w:top w:val="single" w:sz="4" w:space="0" w:color="auto"/>
              <w:left w:val="nil"/>
              <w:bottom w:val="nil"/>
              <w:right w:val="nil"/>
            </w:tcBorders>
            <w:shd w:val="clear" w:color="auto" w:fill="auto"/>
            <w:noWrap/>
            <w:vAlign w:val="bottom"/>
            <w:hideMark/>
          </w:tcPr>
          <w:p w14:paraId="19C8B44F" w14:textId="77777777" w:rsidR="00AC3587" w:rsidRPr="009E1EA6" w:rsidRDefault="00B74A7C" w:rsidP="00AC3587">
            <w:pPr>
              <w:jc w:val="center"/>
              <w:rPr>
                <w:bCs/>
                <w:sz w:val="22"/>
                <w:szCs w:val="22"/>
              </w:rPr>
            </w:pPr>
            <w:r w:rsidRPr="009E1EA6">
              <w:rPr>
                <w:bCs/>
                <w:sz w:val="22"/>
                <w:szCs w:val="22"/>
              </w:rPr>
              <w:t>Freestanding</w:t>
            </w:r>
          </w:p>
        </w:tc>
        <w:tc>
          <w:tcPr>
            <w:tcW w:w="4026"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43BA0015" w14:textId="12E03E67" w:rsidR="00AC3587" w:rsidRPr="009E1EA6" w:rsidRDefault="00B74A7C" w:rsidP="00887F79">
            <w:pPr>
              <w:jc w:val="center"/>
              <w:rPr>
                <w:bCs/>
                <w:sz w:val="22"/>
                <w:szCs w:val="22"/>
              </w:rPr>
            </w:pPr>
            <w:r w:rsidRPr="009E1EA6">
              <w:rPr>
                <w:bCs/>
                <w:sz w:val="22"/>
                <w:szCs w:val="22"/>
                <w:lang w:eastAsia="es-CL"/>
              </w:rPr>
              <w:t>Anchored (</w:t>
            </w:r>
            <m:oMath>
              <m:sSub>
                <m:sSubPr>
                  <m:ctrlPr>
                    <w:rPr>
                      <w:rFonts w:ascii="Cambria Math" w:hAnsi="Cambria Math"/>
                      <w:bCs/>
                      <w:i/>
                      <w:sz w:val="22"/>
                      <w:szCs w:val="22"/>
                      <w:lang w:eastAsia="es-CL"/>
                    </w:rPr>
                  </m:ctrlPr>
                </m:sSubPr>
                <m:e>
                  <m:r>
                    <w:rPr>
                      <w:rFonts w:ascii="Cambria Math" w:hAnsi="Cambria Math"/>
                      <w:sz w:val="22"/>
                      <w:szCs w:val="22"/>
                      <w:lang w:eastAsia="es-CL"/>
                    </w:rPr>
                    <m:t>F</m:t>
                  </m:r>
                </m:e>
                <m:sub>
                  <m:r>
                    <w:rPr>
                      <w:rFonts w:ascii="Cambria Math" w:hAnsi="Cambria Math"/>
                      <w:sz w:val="22"/>
                      <w:szCs w:val="22"/>
                      <w:lang w:eastAsia="es-CL"/>
                    </w:rPr>
                    <m:t>u</m:t>
                  </m:r>
                </m:sub>
              </m:sSub>
              <m:r>
                <w:rPr>
                  <w:rFonts w:ascii="Cambria Math" w:hAnsi="Cambria Math"/>
                  <w:sz w:val="22"/>
                  <w:szCs w:val="22"/>
                  <w:lang w:eastAsia="es-CL"/>
                </w:rPr>
                <m:t>/W=0.3, μ=2</m:t>
              </m:r>
            </m:oMath>
            <w:r w:rsidRPr="009E1EA6">
              <w:rPr>
                <w:bCs/>
                <w:sz w:val="22"/>
                <w:szCs w:val="22"/>
                <w:lang w:eastAsia="es-CL"/>
              </w:rPr>
              <w:t>)</w:t>
            </w:r>
          </w:p>
        </w:tc>
      </w:tr>
      <w:tr w:rsidR="009E1EA6" w:rsidRPr="009E1EA6" w14:paraId="08F406C6" w14:textId="77777777" w:rsidTr="00872E03">
        <w:trPr>
          <w:trHeight w:val="290"/>
        </w:trPr>
        <w:tc>
          <w:tcPr>
            <w:tcW w:w="1360" w:type="dxa"/>
            <w:vMerge/>
            <w:tcBorders>
              <w:top w:val="single" w:sz="4" w:space="0" w:color="auto"/>
              <w:left w:val="single" w:sz="4" w:space="0" w:color="auto"/>
              <w:bottom w:val="nil"/>
              <w:right w:val="single" w:sz="4" w:space="0" w:color="auto"/>
            </w:tcBorders>
            <w:vAlign w:val="center"/>
            <w:hideMark/>
          </w:tcPr>
          <w:p w14:paraId="4FF7A313" w14:textId="77777777" w:rsidR="00F005E1" w:rsidRPr="009E1EA6" w:rsidRDefault="00F005E1" w:rsidP="00F005E1">
            <w:pPr>
              <w:jc w:val="left"/>
              <w:rPr>
                <w:bCs/>
                <w:sz w:val="22"/>
                <w:szCs w:val="22"/>
              </w:rPr>
            </w:pPr>
          </w:p>
        </w:tc>
        <w:tc>
          <w:tcPr>
            <w:tcW w:w="1020" w:type="dxa"/>
            <w:tcBorders>
              <w:top w:val="nil"/>
              <w:left w:val="nil"/>
              <w:bottom w:val="nil"/>
              <w:right w:val="nil"/>
            </w:tcBorders>
            <w:shd w:val="clear" w:color="auto" w:fill="auto"/>
            <w:noWrap/>
            <w:vAlign w:val="bottom"/>
            <w:hideMark/>
          </w:tcPr>
          <w:p w14:paraId="6A37EAF0" w14:textId="357D76A3"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155" w:type="dxa"/>
            <w:tcBorders>
              <w:top w:val="nil"/>
              <w:left w:val="nil"/>
              <w:bottom w:val="nil"/>
              <w:right w:val="nil"/>
            </w:tcBorders>
            <w:shd w:val="clear" w:color="auto" w:fill="auto"/>
            <w:noWrap/>
            <w:vAlign w:val="bottom"/>
            <w:hideMark/>
          </w:tcPr>
          <w:p w14:paraId="7E3CED9F" w14:textId="77777777"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365" w:type="dxa"/>
            <w:tcBorders>
              <w:top w:val="nil"/>
              <w:left w:val="nil"/>
              <w:bottom w:val="nil"/>
              <w:right w:val="nil"/>
            </w:tcBorders>
            <w:shd w:val="clear" w:color="auto" w:fill="auto"/>
            <w:noWrap/>
            <w:vAlign w:val="bottom"/>
            <w:hideMark/>
          </w:tcPr>
          <w:p w14:paraId="0274F74F" w14:textId="77777777"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c>
          <w:tcPr>
            <w:tcW w:w="1032" w:type="dxa"/>
            <w:tcBorders>
              <w:top w:val="nil"/>
              <w:left w:val="single" w:sz="4" w:space="0" w:color="auto"/>
              <w:bottom w:val="nil"/>
              <w:right w:val="nil"/>
            </w:tcBorders>
            <w:shd w:val="clear" w:color="auto" w:fill="auto"/>
            <w:noWrap/>
            <w:vAlign w:val="bottom"/>
            <w:hideMark/>
          </w:tcPr>
          <w:p w14:paraId="5C403FA1" w14:textId="0C29C46F"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149" w:type="dxa"/>
            <w:tcBorders>
              <w:top w:val="nil"/>
              <w:left w:val="nil"/>
              <w:bottom w:val="nil"/>
              <w:right w:val="nil"/>
            </w:tcBorders>
            <w:shd w:val="clear" w:color="auto" w:fill="auto"/>
            <w:noWrap/>
            <w:vAlign w:val="bottom"/>
            <w:hideMark/>
          </w:tcPr>
          <w:p w14:paraId="27D5EA98" w14:textId="455F9CD7"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845" w:type="dxa"/>
            <w:tcBorders>
              <w:top w:val="nil"/>
              <w:left w:val="nil"/>
              <w:bottom w:val="nil"/>
              <w:right w:val="single" w:sz="4" w:space="0" w:color="auto"/>
            </w:tcBorders>
            <w:shd w:val="clear" w:color="auto" w:fill="auto"/>
            <w:noWrap/>
            <w:vAlign w:val="bottom"/>
            <w:hideMark/>
          </w:tcPr>
          <w:p w14:paraId="5495914D" w14:textId="1DD7F8A4"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r>
      <w:tr w:rsidR="009E1EA6" w:rsidRPr="009E1EA6" w14:paraId="52AA3D11" w14:textId="77777777" w:rsidTr="00872E03">
        <w:trPr>
          <w:trHeight w:val="290"/>
        </w:trPr>
        <w:tc>
          <w:tcPr>
            <w:tcW w:w="136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14B49E91" w14:textId="77777777" w:rsidR="00872E03" w:rsidRPr="009E1EA6" w:rsidRDefault="00B74A7C" w:rsidP="00872E03">
            <w:pPr>
              <w:jc w:val="center"/>
              <w:rPr>
                <w:bCs/>
                <w:sz w:val="22"/>
                <w:szCs w:val="22"/>
              </w:rPr>
            </w:pPr>
            <w:r w:rsidRPr="009E1EA6">
              <w:rPr>
                <w:bCs/>
                <w:sz w:val="22"/>
                <w:szCs w:val="22"/>
              </w:rPr>
              <w:t>Near Source</w:t>
            </w:r>
          </w:p>
        </w:tc>
        <w:tc>
          <w:tcPr>
            <w:tcW w:w="1020" w:type="dxa"/>
            <w:tcBorders>
              <w:top w:val="single" w:sz="4" w:space="0" w:color="auto"/>
              <w:left w:val="nil"/>
              <w:bottom w:val="nil"/>
              <w:right w:val="nil"/>
            </w:tcBorders>
            <w:shd w:val="clear" w:color="000000" w:fill="FFFFFF"/>
            <w:noWrap/>
            <w:vAlign w:val="bottom"/>
            <w:hideMark/>
          </w:tcPr>
          <w:p w14:paraId="7033E2D6" w14:textId="77777777" w:rsidR="00872E03" w:rsidRPr="009E1EA6" w:rsidRDefault="00B74A7C" w:rsidP="00872E03">
            <w:pPr>
              <w:jc w:val="center"/>
              <w:rPr>
                <w:bCs/>
                <w:sz w:val="22"/>
                <w:szCs w:val="22"/>
              </w:rPr>
            </w:pPr>
            <w:r w:rsidRPr="009E1EA6">
              <w:rPr>
                <w:bCs/>
                <w:sz w:val="22"/>
                <w:szCs w:val="22"/>
              </w:rPr>
              <w:t>0.10</w:t>
            </w:r>
          </w:p>
        </w:tc>
        <w:tc>
          <w:tcPr>
            <w:tcW w:w="1155" w:type="dxa"/>
            <w:tcBorders>
              <w:top w:val="single" w:sz="4" w:space="0" w:color="auto"/>
              <w:left w:val="single" w:sz="4" w:space="0" w:color="auto"/>
              <w:bottom w:val="nil"/>
              <w:right w:val="nil"/>
            </w:tcBorders>
            <w:shd w:val="clear" w:color="000000" w:fill="FFFFFF"/>
            <w:noWrap/>
            <w:vAlign w:val="bottom"/>
            <w:hideMark/>
          </w:tcPr>
          <w:p w14:paraId="1192147F" w14:textId="77777777" w:rsidR="00872E03" w:rsidRPr="009E1EA6" w:rsidRDefault="00B74A7C" w:rsidP="00872E03">
            <w:pPr>
              <w:jc w:val="center"/>
              <w:rPr>
                <w:sz w:val="22"/>
                <w:szCs w:val="22"/>
              </w:rPr>
            </w:pPr>
            <w:r w:rsidRPr="009E1EA6">
              <w:rPr>
                <w:sz w:val="22"/>
                <w:szCs w:val="22"/>
              </w:rPr>
              <w:t>16</w:t>
            </w:r>
          </w:p>
        </w:tc>
        <w:tc>
          <w:tcPr>
            <w:tcW w:w="1365" w:type="dxa"/>
            <w:tcBorders>
              <w:top w:val="single" w:sz="4" w:space="0" w:color="auto"/>
              <w:left w:val="nil"/>
              <w:bottom w:val="nil"/>
              <w:right w:val="nil"/>
            </w:tcBorders>
            <w:shd w:val="clear" w:color="000000" w:fill="FFFFFF"/>
            <w:noWrap/>
            <w:vAlign w:val="bottom"/>
            <w:hideMark/>
          </w:tcPr>
          <w:p w14:paraId="2C28FD37" w14:textId="77777777" w:rsidR="00872E03" w:rsidRPr="009E1EA6" w:rsidRDefault="00B74A7C" w:rsidP="00872E03">
            <w:pPr>
              <w:jc w:val="center"/>
              <w:rPr>
                <w:sz w:val="22"/>
                <w:szCs w:val="22"/>
              </w:rPr>
            </w:pPr>
            <w:r w:rsidRPr="009E1EA6">
              <w:rPr>
                <w:sz w:val="22"/>
                <w:szCs w:val="22"/>
              </w:rPr>
              <w:t>45</w:t>
            </w:r>
          </w:p>
        </w:tc>
        <w:tc>
          <w:tcPr>
            <w:tcW w:w="1032" w:type="dxa"/>
            <w:tcBorders>
              <w:top w:val="single" w:sz="4" w:space="0" w:color="auto"/>
              <w:left w:val="single" w:sz="4" w:space="0" w:color="auto"/>
              <w:bottom w:val="nil"/>
              <w:right w:val="nil"/>
            </w:tcBorders>
            <w:shd w:val="clear" w:color="000000" w:fill="FFFFFF"/>
            <w:noWrap/>
            <w:vAlign w:val="bottom"/>
            <w:hideMark/>
          </w:tcPr>
          <w:p w14:paraId="3B86FFD9" w14:textId="77777777" w:rsidR="00872E03" w:rsidRPr="009E1EA6" w:rsidRDefault="00B74A7C" w:rsidP="00872E03">
            <w:pPr>
              <w:jc w:val="center"/>
              <w:rPr>
                <w:bCs/>
                <w:sz w:val="22"/>
                <w:szCs w:val="22"/>
              </w:rPr>
            </w:pPr>
            <w:r w:rsidRPr="009E1EA6">
              <w:rPr>
                <w:bCs/>
                <w:sz w:val="22"/>
                <w:szCs w:val="22"/>
              </w:rPr>
              <w:t>0.10</w:t>
            </w:r>
          </w:p>
        </w:tc>
        <w:tc>
          <w:tcPr>
            <w:tcW w:w="1149" w:type="dxa"/>
            <w:tcBorders>
              <w:top w:val="single" w:sz="4" w:space="0" w:color="auto"/>
              <w:left w:val="single" w:sz="4" w:space="0" w:color="auto"/>
              <w:bottom w:val="nil"/>
              <w:right w:val="nil"/>
            </w:tcBorders>
            <w:shd w:val="clear" w:color="000000" w:fill="FFFFFF"/>
            <w:noWrap/>
            <w:vAlign w:val="bottom"/>
            <w:hideMark/>
          </w:tcPr>
          <w:p w14:paraId="4511EBA4" w14:textId="77777777" w:rsidR="00872E03" w:rsidRPr="009E1EA6" w:rsidRDefault="00B74A7C" w:rsidP="00872E03">
            <w:pPr>
              <w:jc w:val="center"/>
              <w:rPr>
                <w:sz w:val="22"/>
                <w:szCs w:val="22"/>
              </w:rPr>
            </w:pPr>
            <w:r w:rsidRPr="009E1EA6">
              <w:rPr>
                <w:sz w:val="22"/>
                <w:szCs w:val="22"/>
              </w:rPr>
              <w:t>2.3</w:t>
            </w:r>
          </w:p>
        </w:tc>
        <w:tc>
          <w:tcPr>
            <w:tcW w:w="1845" w:type="dxa"/>
            <w:tcBorders>
              <w:top w:val="single" w:sz="4" w:space="0" w:color="auto"/>
              <w:left w:val="nil"/>
              <w:bottom w:val="nil"/>
              <w:right w:val="single" w:sz="4" w:space="0" w:color="auto"/>
            </w:tcBorders>
            <w:shd w:val="clear" w:color="000000" w:fill="FFFFFF"/>
            <w:noWrap/>
            <w:vAlign w:val="bottom"/>
            <w:hideMark/>
          </w:tcPr>
          <w:p w14:paraId="5B89DB2D" w14:textId="77777777" w:rsidR="00872E03" w:rsidRPr="009E1EA6" w:rsidRDefault="00B74A7C" w:rsidP="00872E03">
            <w:pPr>
              <w:jc w:val="center"/>
              <w:rPr>
                <w:sz w:val="22"/>
                <w:szCs w:val="22"/>
              </w:rPr>
            </w:pPr>
            <w:r w:rsidRPr="009E1EA6">
              <w:rPr>
                <w:sz w:val="22"/>
                <w:szCs w:val="22"/>
              </w:rPr>
              <w:t>36</w:t>
            </w:r>
          </w:p>
        </w:tc>
      </w:tr>
      <w:tr w:rsidR="009E1EA6" w:rsidRPr="009E1EA6" w14:paraId="35C40694"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67F58858" w14:textId="77777777" w:rsidR="00872E03" w:rsidRPr="009E1EA6" w:rsidRDefault="00872E03" w:rsidP="00872E03">
            <w:pPr>
              <w:jc w:val="left"/>
              <w:rPr>
                <w:bCs/>
                <w:sz w:val="22"/>
                <w:szCs w:val="22"/>
              </w:rPr>
            </w:pPr>
          </w:p>
        </w:tc>
        <w:tc>
          <w:tcPr>
            <w:tcW w:w="1020" w:type="dxa"/>
            <w:tcBorders>
              <w:top w:val="nil"/>
              <w:left w:val="nil"/>
              <w:bottom w:val="nil"/>
              <w:right w:val="nil"/>
            </w:tcBorders>
            <w:shd w:val="clear" w:color="000000" w:fill="FFFFFF"/>
            <w:noWrap/>
            <w:vAlign w:val="bottom"/>
            <w:hideMark/>
          </w:tcPr>
          <w:p w14:paraId="517C89A2" w14:textId="77777777" w:rsidR="00872E03" w:rsidRPr="009E1EA6" w:rsidRDefault="00B74A7C" w:rsidP="00872E03">
            <w:pPr>
              <w:jc w:val="center"/>
              <w:rPr>
                <w:bCs/>
                <w:sz w:val="22"/>
                <w:szCs w:val="22"/>
              </w:rPr>
            </w:pPr>
            <w:r w:rsidRPr="009E1EA6">
              <w:rPr>
                <w:bCs/>
                <w:sz w:val="22"/>
                <w:szCs w:val="22"/>
              </w:rPr>
              <w:t>0.15</w:t>
            </w:r>
          </w:p>
        </w:tc>
        <w:tc>
          <w:tcPr>
            <w:tcW w:w="1155" w:type="dxa"/>
            <w:tcBorders>
              <w:top w:val="nil"/>
              <w:left w:val="single" w:sz="4" w:space="0" w:color="auto"/>
              <w:bottom w:val="nil"/>
              <w:right w:val="nil"/>
            </w:tcBorders>
            <w:shd w:val="clear" w:color="000000" w:fill="FFFFFF"/>
            <w:noWrap/>
            <w:vAlign w:val="bottom"/>
            <w:hideMark/>
          </w:tcPr>
          <w:p w14:paraId="31B8FABF" w14:textId="77777777" w:rsidR="00872E03" w:rsidRPr="009E1EA6" w:rsidRDefault="00B74A7C" w:rsidP="00872E03">
            <w:pPr>
              <w:jc w:val="center"/>
              <w:rPr>
                <w:sz w:val="22"/>
                <w:szCs w:val="22"/>
              </w:rPr>
            </w:pPr>
            <w:r w:rsidRPr="009E1EA6">
              <w:rPr>
                <w:sz w:val="22"/>
                <w:szCs w:val="22"/>
              </w:rPr>
              <w:t>10</w:t>
            </w:r>
          </w:p>
        </w:tc>
        <w:tc>
          <w:tcPr>
            <w:tcW w:w="1365" w:type="dxa"/>
            <w:tcBorders>
              <w:top w:val="nil"/>
              <w:left w:val="nil"/>
              <w:bottom w:val="nil"/>
              <w:right w:val="nil"/>
            </w:tcBorders>
            <w:shd w:val="clear" w:color="000000" w:fill="FFFFFF"/>
            <w:noWrap/>
            <w:vAlign w:val="bottom"/>
            <w:hideMark/>
          </w:tcPr>
          <w:p w14:paraId="207844A2" w14:textId="77777777" w:rsidR="00872E03" w:rsidRPr="009E1EA6" w:rsidRDefault="00B74A7C" w:rsidP="00872E03">
            <w:pPr>
              <w:jc w:val="center"/>
              <w:rPr>
                <w:sz w:val="22"/>
                <w:szCs w:val="22"/>
              </w:rPr>
            </w:pPr>
            <w:r w:rsidRPr="009E1EA6">
              <w:rPr>
                <w:sz w:val="22"/>
                <w:szCs w:val="22"/>
              </w:rPr>
              <w:t>38</w:t>
            </w:r>
          </w:p>
        </w:tc>
        <w:tc>
          <w:tcPr>
            <w:tcW w:w="1032" w:type="dxa"/>
            <w:tcBorders>
              <w:top w:val="nil"/>
              <w:left w:val="single" w:sz="4" w:space="0" w:color="auto"/>
              <w:bottom w:val="nil"/>
              <w:right w:val="nil"/>
            </w:tcBorders>
            <w:shd w:val="clear" w:color="000000" w:fill="FFFFFF"/>
            <w:noWrap/>
            <w:vAlign w:val="bottom"/>
            <w:hideMark/>
          </w:tcPr>
          <w:p w14:paraId="40EDCD20" w14:textId="77777777" w:rsidR="00872E03" w:rsidRPr="009E1EA6" w:rsidRDefault="00B74A7C" w:rsidP="00872E03">
            <w:pPr>
              <w:jc w:val="center"/>
              <w:rPr>
                <w:bCs/>
                <w:sz w:val="22"/>
                <w:szCs w:val="22"/>
              </w:rPr>
            </w:pPr>
            <w:r w:rsidRPr="009E1EA6">
              <w:rPr>
                <w:bCs/>
                <w:sz w:val="22"/>
                <w:szCs w:val="22"/>
              </w:rPr>
              <w:t>0.15</w:t>
            </w:r>
          </w:p>
        </w:tc>
        <w:tc>
          <w:tcPr>
            <w:tcW w:w="1149" w:type="dxa"/>
            <w:tcBorders>
              <w:top w:val="nil"/>
              <w:left w:val="single" w:sz="4" w:space="0" w:color="auto"/>
              <w:bottom w:val="nil"/>
              <w:right w:val="nil"/>
            </w:tcBorders>
            <w:shd w:val="clear" w:color="000000" w:fill="FFFFFF"/>
            <w:noWrap/>
            <w:vAlign w:val="bottom"/>
            <w:hideMark/>
          </w:tcPr>
          <w:p w14:paraId="7DE30908" w14:textId="77777777" w:rsidR="00872E03" w:rsidRPr="009E1EA6" w:rsidRDefault="00B74A7C" w:rsidP="00872E03">
            <w:pPr>
              <w:jc w:val="center"/>
              <w:rPr>
                <w:sz w:val="22"/>
                <w:szCs w:val="22"/>
              </w:rPr>
            </w:pPr>
            <w:r w:rsidRPr="009E1EA6">
              <w:rPr>
                <w:sz w:val="22"/>
                <w:szCs w:val="22"/>
              </w:rPr>
              <w:t>≤ 1</w:t>
            </w:r>
          </w:p>
        </w:tc>
        <w:tc>
          <w:tcPr>
            <w:tcW w:w="1845" w:type="dxa"/>
            <w:tcBorders>
              <w:top w:val="nil"/>
              <w:left w:val="nil"/>
              <w:bottom w:val="nil"/>
              <w:right w:val="single" w:sz="4" w:space="0" w:color="auto"/>
            </w:tcBorders>
            <w:shd w:val="clear" w:color="000000" w:fill="FFFFFF"/>
            <w:noWrap/>
            <w:vAlign w:val="bottom"/>
            <w:hideMark/>
          </w:tcPr>
          <w:p w14:paraId="09DE71E5" w14:textId="77777777" w:rsidR="00872E03" w:rsidRPr="009E1EA6" w:rsidRDefault="00B74A7C" w:rsidP="00872E03">
            <w:pPr>
              <w:jc w:val="center"/>
              <w:rPr>
                <w:sz w:val="22"/>
                <w:szCs w:val="22"/>
              </w:rPr>
            </w:pPr>
            <w:r w:rsidRPr="009E1EA6">
              <w:rPr>
                <w:sz w:val="22"/>
                <w:szCs w:val="22"/>
              </w:rPr>
              <w:t>17</w:t>
            </w:r>
          </w:p>
        </w:tc>
      </w:tr>
      <w:tr w:rsidR="009E1EA6" w:rsidRPr="009E1EA6" w14:paraId="71004EE3"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3C3D31EF" w14:textId="77777777" w:rsidR="00872E03" w:rsidRPr="009E1EA6" w:rsidRDefault="00872E03" w:rsidP="00872E03">
            <w:pPr>
              <w:jc w:val="left"/>
              <w:rPr>
                <w:bCs/>
                <w:sz w:val="22"/>
                <w:szCs w:val="22"/>
              </w:rPr>
            </w:pPr>
          </w:p>
        </w:tc>
        <w:tc>
          <w:tcPr>
            <w:tcW w:w="1020" w:type="dxa"/>
            <w:tcBorders>
              <w:top w:val="nil"/>
              <w:left w:val="nil"/>
              <w:bottom w:val="nil"/>
              <w:right w:val="nil"/>
            </w:tcBorders>
            <w:shd w:val="clear" w:color="000000" w:fill="FFFFFF"/>
            <w:noWrap/>
            <w:vAlign w:val="bottom"/>
            <w:hideMark/>
          </w:tcPr>
          <w:p w14:paraId="12B17352" w14:textId="77777777" w:rsidR="00872E03" w:rsidRPr="009E1EA6" w:rsidRDefault="00B74A7C" w:rsidP="00872E03">
            <w:pPr>
              <w:jc w:val="center"/>
              <w:rPr>
                <w:bCs/>
                <w:sz w:val="22"/>
                <w:szCs w:val="22"/>
              </w:rPr>
            </w:pPr>
            <w:r w:rsidRPr="009E1EA6">
              <w:rPr>
                <w:bCs/>
                <w:sz w:val="22"/>
                <w:szCs w:val="22"/>
              </w:rPr>
              <w:t>0.20</w:t>
            </w:r>
          </w:p>
        </w:tc>
        <w:tc>
          <w:tcPr>
            <w:tcW w:w="1155" w:type="dxa"/>
            <w:tcBorders>
              <w:top w:val="nil"/>
              <w:left w:val="single" w:sz="4" w:space="0" w:color="auto"/>
              <w:bottom w:val="nil"/>
              <w:right w:val="nil"/>
            </w:tcBorders>
            <w:shd w:val="clear" w:color="000000" w:fill="FFFFFF"/>
            <w:noWrap/>
            <w:vAlign w:val="bottom"/>
            <w:hideMark/>
          </w:tcPr>
          <w:p w14:paraId="3CA1CDEE" w14:textId="77777777" w:rsidR="00872E03" w:rsidRPr="009E1EA6" w:rsidRDefault="00B74A7C" w:rsidP="00872E03">
            <w:pPr>
              <w:jc w:val="center"/>
              <w:rPr>
                <w:sz w:val="22"/>
                <w:szCs w:val="22"/>
              </w:rPr>
            </w:pPr>
            <w:r w:rsidRPr="009E1EA6">
              <w:rPr>
                <w:sz w:val="22"/>
                <w:szCs w:val="22"/>
              </w:rPr>
              <w:t>6.0</w:t>
            </w:r>
          </w:p>
        </w:tc>
        <w:tc>
          <w:tcPr>
            <w:tcW w:w="1365" w:type="dxa"/>
            <w:tcBorders>
              <w:top w:val="nil"/>
              <w:left w:val="nil"/>
              <w:bottom w:val="nil"/>
              <w:right w:val="nil"/>
            </w:tcBorders>
            <w:shd w:val="clear" w:color="000000" w:fill="FFFFFF"/>
            <w:noWrap/>
            <w:vAlign w:val="bottom"/>
            <w:hideMark/>
          </w:tcPr>
          <w:p w14:paraId="266605B2" w14:textId="77777777" w:rsidR="00872E03" w:rsidRPr="009E1EA6" w:rsidRDefault="00B74A7C" w:rsidP="00872E03">
            <w:pPr>
              <w:jc w:val="center"/>
              <w:rPr>
                <w:sz w:val="22"/>
                <w:szCs w:val="22"/>
              </w:rPr>
            </w:pPr>
            <w:r w:rsidRPr="009E1EA6">
              <w:rPr>
                <w:sz w:val="22"/>
                <w:szCs w:val="22"/>
              </w:rPr>
              <w:t>30</w:t>
            </w:r>
          </w:p>
        </w:tc>
        <w:tc>
          <w:tcPr>
            <w:tcW w:w="1032" w:type="dxa"/>
            <w:tcBorders>
              <w:top w:val="nil"/>
              <w:left w:val="single" w:sz="4" w:space="0" w:color="auto"/>
              <w:bottom w:val="nil"/>
              <w:right w:val="nil"/>
            </w:tcBorders>
            <w:shd w:val="clear" w:color="000000" w:fill="FFFFFF"/>
            <w:noWrap/>
            <w:vAlign w:val="bottom"/>
            <w:hideMark/>
          </w:tcPr>
          <w:p w14:paraId="32F53629" w14:textId="77777777" w:rsidR="00872E03" w:rsidRPr="009E1EA6" w:rsidRDefault="00B74A7C" w:rsidP="00872E03">
            <w:pPr>
              <w:jc w:val="center"/>
              <w:rPr>
                <w:bCs/>
                <w:sz w:val="22"/>
                <w:szCs w:val="22"/>
              </w:rPr>
            </w:pPr>
            <w:r w:rsidRPr="009E1EA6">
              <w:rPr>
                <w:bCs/>
                <w:sz w:val="22"/>
                <w:szCs w:val="22"/>
              </w:rPr>
              <w:t>0.20</w:t>
            </w:r>
          </w:p>
        </w:tc>
        <w:tc>
          <w:tcPr>
            <w:tcW w:w="1149" w:type="dxa"/>
            <w:tcBorders>
              <w:top w:val="nil"/>
              <w:left w:val="single" w:sz="4" w:space="0" w:color="auto"/>
              <w:bottom w:val="nil"/>
              <w:right w:val="nil"/>
            </w:tcBorders>
            <w:shd w:val="clear" w:color="000000" w:fill="FFFFFF"/>
            <w:noWrap/>
            <w:vAlign w:val="bottom"/>
            <w:hideMark/>
          </w:tcPr>
          <w:p w14:paraId="042B9B17" w14:textId="77777777" w:rsidR="00872E03" w:rsidRPr="009E1EA6" w:rsidRDefault="00B74A7C" w:rsidP="00872E03">
            <w:pPr>
              <w:jc w:val="center"/>
              <w:rPr>
                <w:sz w:val="22"/>
                <w:szCs w:val="22"/>
              </w:rPr>
            </w:pPr>
            <w:r w:rsidRPr="009E1EA6">
              <w:rPr>
                <w:sz w:val="22"/>
                <w:szCs w:val="22"/>
              </w:rPr>
              <w:t>≤ 1</w:t>
            </w:r>
          </w:p>
        </w:tc>
        <w:tc>
          <w:tcPr>
            <w:tcW w:w="1845" w:type="dxa"/>
            <w:tcBorders>
              <w:top w:val="nil"/>
              <w:left w:val="nil"/>
              <w:bottom w:val="nil"/>
              <w:right w:val="single" w:sz="4" w:space="0" w:color="auto"/>
            </w:tcBorders>
            <w:shd w:val="clear" w:color="000000" w:fill="FFFFFF"/>
            <w:noWrap/>
            <w:vAlign w:val="bottom"/>
            <w:hideMark/>
          </w:tcPr>
          <w:p w14:paraId="17E96CD1" w14:textId="77777777" w:rsidR="00872E03" w:rsidRPr="009E1EA6" w:rsidRDefault="00B74A7C" w:rsidP="00872E03">
            <w:pPr>
              <w:jc w:val="center"/>
              <w:rPr>
                <w:sz w:val="22"/>
                <w:szCs w:val="22"/>
              </w:rPr>
            </w:pPr>
            <w:r w:rsidRPr="009E1EA6">
              <w:rPr>
                <w:sz w:val="22"/>
                <w:szCs w:val="22"/>
              </w:rPr>
              <w:t>11</w:t>
            </w:r>
          </w:p>
        </w:tc>
      </w:tr>
      <w:tr w:rsidR="009E1EA6" w:rsidRPr="009E1EA6" w14:paraId="03ACE220" w14:textId="77777777" w:rsidTr="00872E03">
        <w:trPr>
          <w:trHeight w:val="290"/>
        </w:trPr>
        <w:tc>
          <w:tcPr>
            <w:tcW w:w="13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33DF46D0" w14:textId="77777777" w:rsidR="00872E03" w:rsidRPr="009E1EA6" w:rsidRDefault="00B74A7C" w:rsidP="00872E03">
            <w:pPr>
              <w:jc w:val="center"/>
              <w:rPr>
                <w:bCs/>
                <w:sz w:val="22"/>
                <w:szCs w:val="22"/>
              </w:rPr>
            </w:pPr>
            <w:r w:rsidRPr="009E1EA6">
              <w:rPr>
                <w:bCs/>
                <w:sz w:val="22"/>
                <w:szCs w:val="22"/>
              </w:rPr>
              <w:t>Far-Field</w:t>
            </w:r>
          </w:p>
        </w:tc>
        <w:tc>
          <w:tcPr>
            <w:tcW w:w="1020" w:type="dxa"/>
            <w:tcBorders>
              <w:top w:val="single" w:sz="4" w:space="0" w:color="auto"/>
              <w:left w:val="nil"/>
              <w:bottom w:val="nil"/>
              <w:right w:val="nil"/>
            </w:tcBorders>
            <w:shd w:val="clear" w:color="000000" w:fill="D9D9D9"/>
            <w:noWrap/>
            <w:vAlign w:val="bottom"/>
            <w:hideMark/>
          </w:tcPr>
          <w:p w14:paraId="17AC6638" w14:textId="77777777" w:rsidR="00872E03" w:rsidRPr="009E1EA6" w:rsidRDefault="00B74A7C" w:rsidP="00872E03">
            <w:pPr>
              <w:jc w:val="center"/>
              <w:rPr>
                <w:bCs/>
                <w:sz w:val="22"/>
                <w:szCs w:val="22"/>
              </w:rPr>
            </w:pPr>
            <w:r w:rsidRPr="009E1EA6">
              <w:rPr>
                <w:bCs/>
                <w:sz w:val="22"/>
                <w:szCs w:val="22"/>
              </w:rPr>
              <w:t>0.10</w:t>
            </w:r>
          </w:p>
        </w:tc>
        <w:tc>
          <w:tcPr>
            <w:tcW w:w="1155" w:type="dxa"/>
            <w:tcBorders>
              <w:top w:val="single" w:sz="4" w:space="0" w:color="auto"/>
              <w:left w:val="single" w:sz="4" w:space="0" w:color="auto"/>
              <w:bottom w:val="nil"/>
              <w:right w:val="nil"/>
            </w:tcBorders>
            <w:shd w:val="clear" w:color="000000" w:fill="D9D9D9"/>
            <w:noWrap/>
            <w:vAlign w:val="bottom"/>
            <w:hideMark/>
          </w:tcPr>
          <w:p w14:paraId="4BDA1EDA" w14:textId="77777777" w:rsidR="00872E03" w:rsidRPr="009E1EA6" w:rsidRDefault="00B74A7C" w:rsidP="00872E03">
            <w:pPr>
              <w:jc w:val="center"/>
              <w:rPr>
                <w:sz w:val="22"/>
                <w:szCs w:val="22"/>
              </w:rPr>
            </w:pPr>
            <w:r w:rsidRPr="009E1EA6">
              <w:rPr>
                <w:sz w:val="22"/>
                <w:szCs w:val="22"/>
              </w:rPr>
              <w:t>3.5</w:t>
            </w:r>
          </w:p>
        </w:tc>
        <w:tc>
          <w:tcPr>
            <w:tcW w:w="1365" w:type="dxa"/>
            <w:tcBorders>
              <w:top w:val="single" w:sz="4" w:space="0" w:color="auto"/>
              <w:left w:val="nil"/>
              <w:bottom w:val="nil"/>
              <w:right w:val="nil"/>
            </w:tcBorders>
            <w:shd w:val="clear" w:color="000000" w:fill="D9D9D9"/>
            <w:noWrap/>
            <w:vAlign w:val="bottom"/>
            <w:hideMark/>
          </w:tcPr>
          <w:p w14:paraId="09DE66FE" w14:textId="77777777" w:rsidR="00872E03" w:rsidRPr="009E1EA6" w:rsidRDefault="00B74A7C" w:rsidP="00872E03">
            <w:pPr>
              <w:jc w:val="center"/>
              <w:rPr>
                <w:sz w:val="22"/>
                <w:szCs w:val="22"/>
              </w:rPr>
            </w:pPr>
            <w:r w:rsidRPr="009E1EA6">
              <w:rPr>
                <w:sz w:val="22"/>
                <w:szCs w:val="22"/>
              </w:rPr>
              <w:t>39</w:t>
            </w:r>
          </w:p>
        </w:tc>
        <w:tc>
          <w:tcPr>
            <w:tcW w:w="1032" w:type="dxa"/>
            <w:tcBorders>
              <w:top w:val="single" w:sz="4" w:space="0" w:color="auto"/>
              <w:left w:val="single" w:sz="4" w:space="0" w:color="auto"/>
              <w:bottom w:val="nil"/>
              <w:right w:val="nil"/>
            </w:tcBorders>
            <w:shd w:val="clear" w:color="000000" w:fill="D9D9D9"/>
            <w:noWrap/>
            <w:vAlign w:val="bottom"/>
            <w:hideMark/>
          </w:tcPr>
          <w:p w14:paraId="3421D0ED" w14:textId="77777777" w:rsidR="00872E03" w:rsidRPr="009E1EA6" w:rsidRDefault="00B74A7C" w:rsidP="00872E03">
            <w:pPr>
              <w:jc w:val="center"/>
              <w:rPr>
                <w:bCs/>
                <w:sz w:val="22"/>
                <w:szCs w:val="22"/>
              </w:rPr>
            </w:pPr>
            <w:r w:rsidRPr="009E1EA6">
              <w:rPr>
                <w:bCs/>
                <w:sz w:val="22"/>
                <w:szCs w:val="22"/>
              </w:rPr>
              <w:t>0.10</w:t>
            </w:r>
          </w:p>
        </w:tc>
        <w:tc>
          <w:tcPr>
            <w:tcW w:w="1149" w:type="dxa"/>
            <w:tcBorders>
              <w:top w:val="single" w:sz="4" w:space="0" w:color="auto"/>
              <w:left w:val="single" w:sz="4" w:space="0" w:color="auto"/>
              <w:bottom w:val="nil"/>
              <w:right w:val="nil"/>
            </w:tcBorders>
            <w:shd w:val="clear" w:color="000000" w:fill="D9D9D9"/>
            <w:noWrap/>
            <w:vAlign w:val="bottom"/>
            <w:hideMark/>
          </w:tcPr>
          <w:p w14:paraId="1058E5D9" w14:textId="77777777" w:rsidR="00872E03" w:rsidRPr="009E1EA6" w:rsidRDefault="00B74A7C" w:rsidP="00872E03">
            <w:pPr>
              <w:jc w:val="center"/>
              <w:rPr>
                <w:sz w:val="22"/>
                <w:szCs w:val="22"/>
              </w:rPr>
            </w:pPr>
            <w:r w:rsidRPr="009E1EA6">
              <w:rPr>
                <w:sz w:val="22"/>
                <w:szCs w:val="22"/>
              </w:rPr>
              <w:t>≤ 1</w:t>
            </w:r>
          </w:p>
        </w:tc>
        <w:tc>
          <w:tcPr>
            <w:tcW w:w="1845" w:type="dxa"/>
            <w:tcBorders>
              <w:top w:val="single" w:sz="4" w:space="0" w:color="auto"/>
              <w:left w:val="nil"/>
              <w:bottom w:val="nil"/>
              <w:right w:val="single" w:sz="4" w:space="0" w:color="auto"/>
            </w:tcBorders>
            <w:shd w:val="clear" w:color="000000" w:fill="D9D9D9"/>
            <w:noWrap/>
            <w:vAlign w:val="bottom"/>
            <w:hideMark/>
          </w:tcPr>
          <w:p w14:paraId="3D766FD4" w14:textId="77777777" w:rsidR="00872E03" w:rsidRPr="009E1EA6" w:rsidRDefault="00B74A7C" w:rsidP="00872E03">
            <w:pPr>
              <w:jc w:val="center"/>
              <w:rPr>
                <w:sz w:val="22"/>
                <w:szCs w:val="22"/>
              </w:rPr>
            </w:pPr>
            <w:r w:rsidRPr="009E1EA6">
              <w:rPr>
                <w:sz w:val="22"/>
                <w:szCs w:val="22"/>
              </w:rPr>
              <w:t>≤ 1</w:t>
            </w:r>
          </w:p>
        </w:tc>
      </w:tr>
      <w:tr w:rsidR="009E1EA6" w:rsidRPr="009E1EA6" w14:paraId="3960DFB4"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1A6B8B64" w14:textId="77777777" w:rsidR="00872E03" w:rsidRPr="009E1EA6" w:rsidRDefault="00872E03" w:rsidP="00872E03">
            <w:pPr>
              <w:jc w:val="left"/>
              <w:rPr>
                <w:bCs/>
                <w:sz w:val="22"/>
                <w:szCs w:val="22"/>
              </w:rPr>
            </w:pPr>
          </w:p>
        </w:tc>
        <w:tc>
          <w:tcPr>
            <w:tcW w:w="1020" w:type="dxa"/>
            <w:tcBorders>
              <w:top w:val="nil"/>
              <w:left w:val="nil"/>
              <w:bottom w:val="nil"/>
              <w:right w:val="nil"/>
            </w:tcBorders>
            <w:shd w:val="clear" w:color="000000" w:fill="D9D9D9"/>
            <w:noWrap/>
            <w:vAlign w:val="bottom"/>
            <w:hideMark/>
          </w:tcPr>
          <w:p w14:paraId="2ACF43C9" w14:textId="77777777" w:rsidR="00872E03" w:rsidRPr="009E1EA6" w:rsidRDefault="00B74A7C" w:rsidP="00872E03">
            <w:pPr>
              <w:jc w:val="center"/>
              <w:rPr>
                <w:bCs/>
                <w:sz w:val="22"/>
                <w:szCs w:val="22"/>
              </w:rPr>
            </w:pPr>
            <w:r w:rsidRPr="009E1EA6">
              <w:rPr>
                <w:bCs/>
                <w:sz w:val="22"/>
                <w:szCs w:val="22"/>
              </w:rPr>
              <w:t>0.15</w:t>
            </w:r>
          </w:p>
        </w:tc>
        <w:tc>
          <w:tcPr>
            <w:tcW w:w="1155" w:type="dxa"/>
            <w:tcBorders>
              <w:top w:val="nil"/>
              <w:left w:val="single" w:sz="4" w:space="0" w:color="auto"/>
              <w:bottom w:val="nil"/>
              <w:right w:val="nil"/>
            </w:tcBorders>
            <w:shd w:val="clear" w:color="000000" w:fill="D9D9D9"/>
            <w:noWrap/>
            <w:vAlign w:val="bottom"/>
            <w:hideMark/>
          </w:tcPr>
          <w:p w14:paraId="6C68424B" w14:textId="77777777" w:rsidR="00872E03" w:rsidRPr="009E1EA6" w:rsidRDefault="00B74A7C" w:rsidP="00872E03">
            <w:pPr>
              <w:jc w:val="center"/>
              <w:rPr>
                <w:sz w:val="22"/>
                <w:szCs w:val="22"/>
              </w:rPr>
            </w:pPr>
            <w:r w:rsidRPr="009E1EA6">
              <w:rPr>
                <w:sz w:val="22"/>
                <w:szCs w:val="22"/>
              </w:rPr>
              <w:t>≤ 1</w:t>
            </w:r>
          </w:p>
        </w:tc>
        <w:tc>
          <w:tcPr>
            <w:tcW w:w="1365" w:type="dxa"/>
            <w:tcBorders>
              <w:top w:val="nil"/>
              <w:left w:val="nil"/>
              <w:bottom w:val="nil"/>
              <w:right w:val="nil"/>
            </w:tcBorders>
            <w:shd w:val="clear" w:color="000000" w:fill="D9D9D9"/>
            <w:noWrap/>
            <w:vAlign w:val="bottom"/>
            <w:hideMark/>
          </w:tcPr>
          <w:p w14:paraId="76C43400" w14:textId="77777777" w:rsidR="00872E03" w:rsidRPr="009E1EA6" w:rsidRDefault="00B74A7C" w:rsidP="00872E03">
            <w:pPr>
              <w:jc w:val="center"/>
              <w:rPr>
                <w:sz w:val="22"/>
                <w:szCs w:val="22"/>
              </w:rPr>
            </w:pPr>
            <w:r w:rsidRPr="009E1EA6">
              <w:rPr>
                <w:sz w:val="22"/>
                <w:szCs w:val="22"/>
              </w:rPr>
              <w:t>13</w:t>
            </w:r>
          </w:p>
        </w:tc>
        <w:tc>
          <w:tcPr>
            <w:tcW w:w="1032" w:type="dxa"/>
            <w:tcBorders>
              <w:top w:val="nil"/>
              <w:left w:val="single" w:sz="4" w:space="0" w:color="auto"/>
              <w:bottom w:val="nil"/>
              <w:right w:val="nil"/>
            </w:tcBorders>
            <w:shd w:val="clear" w:color="000000" w:fill="D9D9D9"/>
            <w:noWrap/>
            <w:vAlign w:val="bottom"/>
            <w:hideMark/>
          </w:tcPr>
          <w:p w14:paraId="600BCE79" w14:textId="77777777" w:rsidR="00872E03" w:rsidRPr="009E1EA6" w:rsidRDefault="00B74A7C" w:rsidP="00872E03">
            <w:pPr>
              <w:jc w:val="center"/>
              <w:rPr>
                <w:bCs/>
                <w:sz w:val="22"/>
                <w:szCs w:val="22"/>
              </w:rPr>
            </w:pPr>
            <w:r w:rsidRPr="009E1EA6">
              <w:rPr>
                <w:bCs/>
                <w:sz w:val="22"/>
                <w:szCs w:val="22"/>
              </w:rPr>
              <w:t>0.15</w:t>
            </w:r>
          </w:p>
        </w:tc>
        <w:tc>
          <w:tcPr>
            <w:tcW w:w="1149" w:type="dxa"/>
            <w:tcBorders>
              <w:top w:val="nil"/>
              <w:left w:val="single" w:sz="4" w:space="0" w:color="auto"/>
              <w:bottom w:val="nil"/>
              <w:right w:val="nil"/>
            </w:tcBorders>
            <w:shd w:val="clear" w:color="000000" w:fill="D9D9D9"/>
            <w:noWrap/>
            <w:vAlign w:val="bottom"/>
            <w:hideMark/>
          </w:tcPr>
          <w:p w14:paraId="3FFCD624" w14:textId="77777777" w:rsidR="00872E03" w:rsidRPr="009E1EA6" w:rsidRDefault="00B74A7C" w:rsidP="00872E03">
            <w:pPr>
              <w:jc w:val="center"/>
              <w:rPr>
                <w:sz w:val="22"/>
                <w:szCs w:val="22"/>
              </w:rPr>
            </w:pPr>
            <w:r w:rsidRPr="009E1EA6">
              <w:rPr>
                <w:sz w:val="22"/>
                <w:szCs w:val="22"/>
              </w:rPr>
              <w:t>≤ 1</w:t>
            </w:r>
          </w:p>
        </w:tc>
        <w:tc>
          <w:tcPr>
            <w:tcW w:w="1845" w:type="dxa"/>
            <w:tcBorders>
              <w:top w:val="nil"/>
              <w:left w:val="nil"/>
              <w:bottom w:val="nil"/>
              <w:right w:val="single" w:sz="4" w:space="0" w:color="auto"/>
            </w:tcBorders>
            <w:shd w:val="clear" w:color="000000" w:fill="D9D9D9"/>
            <w:noWrap/>
            <w:vAlign w:val="bottom"/>
            <w:hideMark/>
          </w:tcPr>
          <w:p w14:paraId="61B00947" w14:textId="77777777" w:rsidR="00872E03" w:rsidRPr="009E1EA6" w:rsidRDefault="00B74A7C" w:rsidP="00872E03">
            <w:pPr>
              <w:jc w:val="center"/>
              <w:rPr>
                <w:sz w:val="22"/>
                <w:szCs w:val="22"/>
              </w:rPr>
            </w:pPr>
            <w:r w:rsidRPr="009E1EA6">
              <w:rPr>
                <w:sz w:val="22"/>
                <w:szCs w:val="22"/>
              </w:rPr>
              <w:t>≤ 1</w:t>
            </w:r>
          </w:p>
        </w:tc>
      </w:tr>
      <w:tr w:rsidR="009E1EA6" w:rsidRPr="009E1EA6" w14:paraId="5D3C25DD"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5472E058" w14:textId="77777777" w:rsidR="00872E03" w:rsidRPr="009E1EA6" w:rsidRDefault="00872E03" w:rsidP="00872E03">
            <w:pPr>
              <w:jc w:val="left"/>
              <w:rPr>
                <w:bCs/>
                <w:sz w:val="22"/>
                <w:szCs w:val="22"/>
              </w:rPr>
            </w:pPr>
          </w:p>
        </w:tc>
        <w:tc>
          <w:tcPr>
            <w:tcW w:w="1020" w:type="dxa"/>
            <w:tcBorders>
              <w:top w:val="nil"/>
              <w:left w:val="nil"/>
              <w:bottom w:val="single" w:sz="4" w:space="0" w:color="auto"/>
              <w:right w:val="nil"/>
            </w:tcBorders>
            <w:shd w:val="clear" w:color="000000" w:fill="D9D9D9"/>
            <w:noWrap/>
            <w:vAlign w:val="bottom"/>
            <w:hideMark/>
          </w:tcPr>
          <w:p w14:paraId="561575A5" w14:textId="77777777" w:rsidR="00872E03" w:rsidRPr="009E1EA6" w:rsidRDefault="00B74A7C" w:rsidP="00872E03">
            <w:pPr>
              <w:jc w:val="center"/>
              <w:rPr>
                <w:bCs/>
                <w:sz w:val="22"/>
                <w:szCs w:val="22"/>
              </w:rPr>
            </w:pPr>
            <w:r w:rsidRPr="009E1EA6">
              <w:rPr>
                <w:bCs/>
                <w:sz w:val="22"/>
                <w:szCs w:val="22"/>
              </w:rPr>
              <w:t>0.20</w:t>
            </w:r>
          </w:p>
        </w:tc>
        <w:tc>
          <w:tcPr>
            <w:tcW w:w="1155" w:type="dxa"/>
            <w:tcBorders>
              <w:top w:val="nil"/>
              <w:left w:val="single" w:sz="4" w:space="0" w:color="auto"/>
              <w:bottom w:val="single" w:sz="4" w:space="0" w:color="auto"/>
              <w:right w:val="nil"/>
            </w:tcBorders>
            <w:shd w:val="clear" w:color="000000" w:fill="D9D9D9"/>
            <w:noWrap/>
            <w:vAlign w:val="bottom"/>
            <w:hideMark/>
          </w:tcPr>
          <w:p w14:paraId="104F2771" w14:textId="77777777" w:rsidR="00872E03" w:rsidRPr="009E1EA6" w:rsidRDefault="00B74A7C" w:rsidP="00872E03">
            <w:pPr>
              <w:jc w:val="center"/>
              <w:rPr>
                <w:sz w:val="22"/>
                <w:szCs w:val="22"/>
              </w:rPr>
            </w:pPr>
            <w:r w:rsidRPr="009E1EA6">
              <w:rPr>
                <w:sz w:val="22"/>
                <w:szCs w:val="22"/>
              </w:rPr>
              <w:t>≤ 1</w:t>
            </w:r>
          </w:p>
        </w:tc>
        <w:tc>
          <w:tcPr>
            <w:tcW w:w="1365" w:type="dxa"/>
            <w:tcBorders>
              <w:top w:val="nil"/>
              <w:left w:val="nil"/>
              <w:bottom w:val="single" w:sz="4" w:space="0" w:color="auto"/>
              <w:right w:val="nil"/>
            </w:tcBorders>
            <w:shd w:val="clear" w:color="000000" w:fill="D9D9D9"/>
            <w:noWrap/>
            <w:vAlign w:val="bottom"/>
            <w:hideMark/>
          </w:tcPr>
          <w:p w14:paraId="47A8CE20" w14:textId="77777777" w:rsidR="00872E03" w:rsidRPr="009E1EA6" w:rsidRDefault="00B74A7C" w:rsidP="00872E03">
            <w:pPr>
              <w:jc w:val="center"/>
              <w:rPr>
                <w:sz w:val="22"/>
                <w:szCs w:val="22"/>
              </w:rPr>
            </w:pPr>
            <w:r w:rsidRPr="009E1EA6">
              <w:rPr>
                <w:sz w:val="22"/>
                <w:szCs w:val="22"/>
              </w:rPr>
              <w:t>3.4</w:t>
            </w:r>
          </w:p>
        </w:tc>
        <w:tc>
          <w:tcPr>
            <w:tcW w:w="1032" w:type="dxa"/>
            <w:tcBorders>
              <w:top w:val="nil"/>
              <w:left w:val="single" w:sz="4" w:space="0" w:color="auto"/>
              <w:bottom w:val="single" w:sz="4" w:space="0" w:color="auto"/>
              <w:right w:val="nil"/>
            </w:tcBorders>
            <w:shd w:val="clear" w:color="000000" w:fill="D9D9D9"/>
            <w:noWrap/>
            <w:vAlign w:val="bottom"/>
            <w:hideMark/>
          </w:tcPr>
          <w:p w14:paraId="31F884AE" w14:textId="77777777" w:rsidR="00872E03" w:rsidRPr="009E1EA6" w:rsidRDefault="00B74A7C" w:rsidP="00872E03">
            <w:pPr>
              <w:jc w:val="center"/>
              <w:rPr>
                <w:bCs/>
                <w:sz w:val="22"/>
                <w:szCs w:val="22"/>
              </w:rPr>
            </w:pPr>
            <w:r w:rsidRPr="009E1EA6">
              <w:rPr>
                <w:bCs/>
                <w:sz w:val="22"/>
                <w:szCs w:val="22"/>
              </w:rPr>
              <w:t>0.20</w:t>
            </w:r>
          </w:p>
        </w:tc>
        <w:tc>
          <w:tcPr>
            <w:tcW w:w="1149" w:type="dxa"/>
            <w:tcBorders>
              <w:top w:val="nil"/>
              <w:left w:val="single" w:sz="4" w:space="0" w:color="auto"/>
              <w:bottom w:val="single" w:sz="4" w:space="0" w:color="auto"/>
              <w:right w:val="nil"/>
            </w:tcBorders>
            <w:shd w:val="clear" w:color="000000" w:fill="D9D9D9"/>
            <w:noWrap/>
            <w:vAlign w:val="bottom"/>
            <w:hideMark/>
          </w:tcPr>
          <w:p w14:paraId="2606E5FF" w14:textId="77777777" w:rsidR="00872E03" w:rsidRPr="009E1EA6" w:rsidRDefault="00B74A7C" w:rsidP="00872E03">
            <w:pPr>
              <w:jc w:val="center"/>
              <w:rPr>
                <w:sz w:val="22"/>
                <w:szCs w:val="22"/>
              </w:rPr>
            </w:pPr>
            <w:r w:rsidRPr="009E1EA6">
              <w:rPr>
                <w:sz w:val="22"/>
                <w:szCs w:val="22"/>
              </w:rPr>
              <w:t>≤ 1</w:t>
            </w:r>
          </w:p>
        </w:tc>
        <w:tc>
          <w:tcPr>
            <w:tcW w:w="1845" w:type="dxa"/>
            <w:tcBorders>
              <w:top w:val="nil"/>
              <w:left w:val="nil"/>
              <w:bottom w:val="single" w:sz="4" w:space="0" w:color="auto"/>
              <w:right w:val="single" w:sz="4" w:space="0" w:color="auto"/>
            </w:tcBorders>
            <w:shd w:val="clear" w:color="000000" w:fill="D9D9D9"/>
            <w:noWrap/>
            <w:vAlign w:val="bottom"/>
            <w:hideMark/>
          </w:tcPr>
          <w:p w14:paraId="71B238DB" w14:textId="77777777" w:rsidR="00872E03" w:rsidRPr="009E1EA6" w:rsidRDefault="00B74A7C" w:rsidP="00872E03">
            <w:pPr>
              <w:jc w:val="center"/>
              <w:rPr>
                <w:sz w:val="22"/>
                <w:szCs w:val="22"/>
              </w:rPr>
            </w:pPr>
            <w:r w:rsidRPr="009E1EA6">
              <w:rPr>
                <w:sz w:val="22"/>
                <w:szCs w:val="22"/>
              </w:rPr>
              <w:t>≤ 1</w:t>
            </w:r>
          </w:p>
        </w:tc>
      </w:tr>
      <w:tr w:rsidR="009E1EA6" w:rsidRPr="009E1EA6" w14:paraId="3C5FF963" w14:textId="77777777" w:rsidTr="00872E03">
        <w:trPr>
          <w:trHeight w:val="180"/>
        </w:trPr>
        <w:tc>
          <w:tcPr>
            <w:tcW w:w="1360" w:type="dxa"/>
            <w:tcBorders>
              <w:top w:val="nil"/>
              <w:left w:val="nil"/>
              <w:bottom w:val="nil"/>
              <w:right w:val="nil"/>
            </w:tcBorders>
            <w:shd w:val="clear" w:color="auto" w:fill="auto"/>
            <w:noWrap/>
            <w:vAlign w:val="center"/>
            <w:hideMark/>
          </w:tcPr>
          <w:p w14:paraId="6785764F" w14:textId="77777777" w:rsidR="00872E03" w:rsidRPr="009E1EA6" w:rsidRDefault="00872E03" w:rsidP="00872E03">
            <w:pPr>
              <w:jc w:val="center"/>
              <w:rPr>
                <w:sz w:val="22"/>
                <w:szCs w:val="22"/>
              </w:rPr>
            </w:pPr>
          </w:p>
        </w:tc>
        <w:tc>
          <w:tcPr>
            <w:tcW w:w="1020" w:type="dxa"/>
            <w:tcBorders>
              <w:top w:val="nil"/>
              <w:left w:val="nil"/>
              <w:bottom w:val="nil"/>
              <w:right w:val="nil"/>
            </w:tcBorders>
            <w:shd w:val="clear" w:color="auto" w:fill="auto"/>
            <w:noWrap/>
            <w:vAlign w:val="bottom"/>
            <w:hideMark/>
          </w:tcPr>
          <w:p w14:paraId="0618AB8A" w14:textId="77777777" w:rsidR="00872E03" w:rsidRPr="009E1EA6" w:rsidRDefault="00872E03" w:rsidP="00872E03">
            <w:pPr>
              <w:jc w:val="center"/>
              <w:rPr>
                <w:sz w:val="20"/>
              </w:rPr>
            </w:pPr>
          </w:p>
        </w:tc>
        <w:tc>
          <w:tcPr>
            <w:tcW w:w="1155" w:type="dxa"/>
            <w:tcBorders>
              <w:top w:val="nil"/>
              <w:left w:val="single" w:sz="4" w:space="0" w:color="auto"/>
              <w:bottom w:val="single" w:sz="4" w:space="0" w:color="auto"/>
              <w:right w:val="nil"/>
            </w:tcBorders>
            <w:shd w:val="clear" w:color="auto" w:fill="auto"/>
            <w:noWrap/>
            <w:vAlign w:val="bottom"/>
            <w:hideMark/>
          </w:tcPr>
          <w:p w14:paraId="7B7983C1" w14:textId="77777777" w:rsidR="00872E03" w:rsidRPr="009E1EA6" w:rsidRDefault="00B74A7C" w:rsidP="00872E03">
            <w:pPr>
              <w:jc w:val="center"/>
              <w:rPr>
                <w:sz w:val="22"/>
                <w:szCs w:val="22"/>
              </w:rPr>
            </w:pPr>
            <w:r w:rsidRPr="009E1EA6">
              <w:rPr>
                <w:sz w:val="22"/>
                <w:szCs w:val="22"/>
              </w:rPr>
              <w:t> </w:t>
            </w:r>
          </w:p>
        </w:tc>
        <w:tc>
          <w:tcPr>
            <w:tcW w:w="1365" w:type="dxa"/>
            <w:tcBorders>
              <w:top w:val="nil"/>
              <w:left w:val="nil"/>
              <w:bottom w:val="single" w:sz="4" w:space="0" w:color="auto"/>
              <w:right w:val="nil"/>
            </w:tcBorders>
            <w:shd w:val="clear" w:color="auto" w:fill="auto"/>
            <w:noWrap/>
            <w:vAlign w:val="bottom"/>
            <w:hideMark/>
          </w:tcPr>
          <w:p w14:paraId="7FC06CE9" w14:textId="77777777" w:rsidR="00872E03" w:rsidRPr="009E1EA6" w:rsidRDefault="00B74A7C" w:rsidP="00872E03">
            <w:pPr>
              <w:jc w:val="center"/>
              <w:rPr>
                <w:sz w:val="22"/>
                <w:szCs w:val="22"/>
              </w:rPr>
            </w:pPr>
            <w:r w:rsidRPr="009E1EA6">
              <w:rPr>
                <w:sz w:val="22"/>
                <w:szCs w:val="22"/>
              </w:rPr>
              <w:t> </w:t>
            </w:r>
          </w:p>
        </w:tc>
        <w:tc>
          <w:tcPr>
            <w:tcW w:w="1032" w:type="dxa"/>
            <w:tcBorders>
              <w:top w:val="nil"/>
              <w:left w:val="nil"/>
              <w:bottom w:val="single" w:sz="4" w:space="0" w:color="auto"/>
              <w:right w:val="nil"/>
            </w:tcBorders>
            <w:shd w:val="clear" w:color="auto" w:fill="auto"/>
            <w:noWrap/>
            <w:vAlign w:val="bottom"/>
            <w:hideMark/>
          </w:tcPr>
          <w:p w14:paraId="141F12C5" w14:textId="77777777" w:rsidR="00872E03" w:rsidRPr="009E1EA6" w:rsidRDefault="00B74A7C" w:rsidP="00872E03">
            <w:pPr>
              <w:jc w:val="center"/>
              <w:rPr>
                <w:bCs/>
                <w:sz w:val="22"/>
                <w:szCs w:val="22"/>
              </w:rPr>
            </w:pPr>
            <w:r w:rsidRPr="009E1EA6">
              <w:rPr>
                <w:bCs/>
                <w:sz w:val="22"/>
                <w:szCs w:val="22"/>
              </w:rPr>
              <w:t> </w:t>
            </w:r>
          </w:p>
        </w:tc>
        <w:tc>
          <w:tcPr>
            <w:tcW w:w="1149" w:type="dxa"/>
            <w:tcBorders>
              <w:top w:val="nil"/>
              <w:left w:val="nil"/>
              <w:bottom w:val="single" w:sz="4" w:space="0" w:color="auto"/>
              <w:right w:val="nil"/>
            </w:tcBorders>
            <w:shd w:val="clear" w:color="auto" w:fill="auto"/>
            <w:noWrap/>
            <w:vAlign w:val="bottom"/>
            <w:hideMark/>
          </w:tcPr>
          <w:p w14:paraId="071FC73E" w14:textId="77777777" w:rsidR="00872E03" w:rsidRPr="009E1EA6" w:rsidRDefault="00B74A7C" w:rsidP="00872E03">
            <w:pPr>
              <w:jc w:val="center"/>
              <w:rPr>
                <w:sz w:val="22"/>
                <w:szCs w:val="22"/>
              </w:rPr>
            </w:pPr>
            <w:r w:rsidRPr="009E1EA6">
              <w:rPr>
                <w:sz w:val="22"/>
                <w:szCs w:val="22"/>
              </w:rPr>
              <w:t> </w:t>
            </w:r>
          </w:p>
        </w:tc>
        <w:tc>
          <w:tcPr>
            <w:tcW w:w="1845" w:type="dxa"/>
            <w:tcBorders>
              <w:top w:val="nil"/>
              <w:left w:val="nil"/>
              <w:bottom w:val="single" w:sz="4" w:space="0" w:color="auto"/>
              <w:right w:val="single" w:sz="4" w:space="0" w:color="auto"/>
            </w:tcBorders>
            <w:shd w:val="clear" w:color="auto" w:fill="auto"/>
            <w:noWrap/>
            <w:vAlign w:val="bottom"/>
            <w:hideMark/>
          </w:tcPr>
          <w:p w14:paraId="692B476C" w14:textId="77777777" w:rsidR="00872E03" w:rsidRPr="009E1EA6" w:rsidRDefault="00B74A7C" w:rsidP="00872E03">
            <w:pPr>
              <w:jc w:val="center"/>
              <w:rPr>
                <w:sz w:val="22"/>
                <w:szCs w:val="22"/>
              </w:rPr>
            </w:pPr>
            <w:r w:rsidRPr="009E1EA6">
              <w:rPr>
                <w:sz w:val="22"/>
                <w:szCs w:val="22"/>
              </w:rPr>
              <w:t> </w:t>
            </w:r>
          </w:p>
        </w:tc>
      </w:tr>
      <w:tr w:rsidR="009E1EA6" w:rsidRPr="009E1EA6" w14:paraId="31A70CF8" w14:textId="77777777" w:rsidTr="00872E03">
        <w:trPr>
          <w:trHeight w:val="290"/>
        </w:trPr>
        <w:tc>
          <w:tcPr>
            <w:tcW w:w="13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48EF2E2B" w14:textId="77777777" w:rsidR="002C188A" w:rsidRPr="009E1EA6" w:rsidRDefault="00B74A7C" w:rsidP="002C188A">
            <w:pPr>
              <w:jc w:val="center"/>
              <w:rPr>
                <w:bCs/>
                <w:sz w:val="22"/>
                <w:szCs w:val="22"/>
              </w:rPr>
            </w:pPr>
            <w:r w:rsidRPr="009E1EA6">
              <w:rPr>
                <w:bCs/>
                <w:sz w:val="22"/>
                <w:szCs w:val="22"/>
              </w:rPr>
              <w:t>Site Location</w:t>
            </w:r>
          </w:p>
        </w:tc>
        <w:tc>
          <w:tcPr>
            <w:tcW w:w="3540" w:type="dxa"/>
            <w:gridSpan w:val="3"/>
            <w:tcBorders>
              <w:top w:val="single" w:sz="4" w:space="0" w:color="auto"/>
              <w:left w:val="nil"/>
              <w:bottom w:val="nil"/>
              <w:right w:val="nil"/>
            </w:tcBorders>
            <w:shd w:val="clear" w:color="auto" w:fill="auto"/>
            <w:noWrap/>
            <w:vAlign w:val="bottom"/>
            <w:hideMark/>
          </w:tcPr>
          <w:p w14:paraId="1ACB1458" w14:textId="11ED2534" w:rsidR="002C188A" w:rsidRPr="009E1EA6" w:rsidRDefault="00B74A7C" w:rsidP="00887F79">
            <w:pPr>
              <w:jc w:val="center"/>
              <w:rPr>
                <w:bCs/>
                <w:sz w:val="22"/>
                <w:szCs w:val="22"/>
              </w:rPr>
            </w:pPr>
            <w:r w:rsidRPr="009E1EA6">
              <w:rPr>
                <w:bCs/>
                <w:sz w:val="22"/>
                <w:szCs w:val="22"/>
                <w:lang w:eastAsia="es-CL"/>
              </w:rPr>
              <w:t>Anchored block (</w:t>
            </w:r>
            <m:oMath>
              <m:sSub>
                <m:sSubPr>
                  <m:ctrlPr>
                    <w:rPr>
                      <w:rFonts w:ascii="Cambria Math" w:hAnsi="Cambria Math"/>
                      <w:bCs/>
                      <w:i/>
                      <w:sz w:val="22"/>
                      <w:szCs w:val="22"/>
                      <w:lang w:eastAsia="es-CL"/>
                    </w:rPr>
                  </m:ctrlPr>
                </m:sSubPr>
                <m:e>
                  <m:r>
                    <w:rPr>
                      <w:rFonts w:ascii="Cambria Math" w:hAnsi="Cambria Math"/>
                      <w:sz w:val="22"/>
                      <w:szCs w:val="22"/>
                      <w:lang w:eastAsia="es-CL"/>
                    </w:rPr>
                    <m:t>μ</m:t>
                  </m:r>
                </m:e>
                <m:sub>
                  <m:r>
                    <w:rPr>
                      <w:rFonts w:ascii="Cambria Math" w:hAnsi="Cambria Math"/>
                      <w:sz w:val="22"/>
                      <w:szCs w:val="22"/>
                      <w:lang w:eastAsia="es-CL"/>
                    </w:rPr>
                    <m:t>k</m:t>
                  </m:r>
                </m:sub>
              </m:sSub>
              <m:r>
                <w:rPr>
                  <w:rFonts w:ascii="Cambria Math" w:hAnsi="Cambria Math"/>
                  <w:sz w:val="22"/>
                  <w:szCs w:val="22"/>
                  <w:lang w:eastAsia="es-CL"/>
                </w:rPr>
                <m:t>=0.1, μ=2</m:t>
              </m:r>
            </m:oMath>
            <w:r w:rsidRPr="009E1EA6">
              <w:rPr>
                <w:bCs/>
                <w:sz w:val="22"/>
                <w:szCs w:val="22"/>
                <w:lang w:eastAsia="es-CL"/>
              </w:rPr>
              <w:t>)</w:t>
            </w:r>
          </w:p>
        </w:tc>
        <w:tc>
          <w:tcPr>
            <w:tcW w:w="4026"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7BD83CF2" w14:textId="26E0405B" w:rsidR="002C188A" w:rsidRPr="009E1EA6" w:rsidRDefault="00B74A7C" w:rsidP="00887F79">
            <w:pPr>
              <w:jc w:val="center"/>
              <w:rPr>
                <w:bCs/>
                <w:sz w:val="22"/>
                <w:szCs w:val="22"/>
              </w:rPr>
            </w:pPr>
            <w:r w:rsidRPr="009E1EA6">
              <w:rPr>
                <w:bCs/>
                <w:sz w:val="22"/>
                <w:szCs w:val="22"/>
                <w:lang w:eastAsia="es-CL"/>
              </w:rPr>
              <w:t>Anchored block (</w:t>
            </w:r>
            <m:oMath>
              <m:sSub>
                <m:sSubPr>
                  <m:ctrlPr>
                    <w:rPr>
                      <w:rFonts w:ascii="Cambria Math" w:hAnsi="Cambria Math"/>
                      <w:bCs/>
                      <w:i/>
                      <w:sz w:val="22"/>
                      <w:szCs w:val="22"/>
                      <w:lang w:eastAsia="es-CL"/>
                    </w:rPr>
                  </m:ctrlPr>
                </m:sSubPr>
                <m:e>
                  <m:r>
                    <w:rPr>
                      <w:rFonts w:ascii="Cambria Math" w:hAnsi="Cambria Math"/>
                      <w:sz w:val="22"/>
                      <w:szCs w:val="22"/>
                      <w:lang w:eastAsia="es-CL"/>
                    </w:rPr>
                    <m:t>μ</m:t>
                  </m:r>
                </m:e>
                <m:sub>
                  <m:r>
                    <w:rPr>
                      <w:rFonts w:ascii="Cambria Math" w:hAnsi="Cambria Math"/>
                      <w:sz w:val="22"/>
                      <w:szCs w:val="22"/>
                      <w:lang w:eastAsia="es-CL"/>
                    </w:rPr>
                    <m:t>k</m:t>
                  </m:r>
                </m:sub>
              </m:sSub>
              <m:r>
                <w:rPr>
                  <w:rFonts w:ascii="Cambria Math" w:hAnsi="Cambria Math"/>
                  <w:sz w:val="22"/>
                  <w:szCs w:val="22"/>
                  <w:lang w:eastAsia="es-CL"/>
                </w:rPr>
                <m:t>=0.1, μ=2</m:t>
              </m:r>
            </m:oMath>
            <w:r w:rsidRPr="009E1EA6">
              <w:rPr>
                <w:bCs/>
                <w:sz w:val="22"/>
                <w:szCs w:val="22"/>
                <w:lang w:eastAsia="es-CL"/>
              </w:rPr>
              <w:t>)</w:t>
            </w:r>
          </w:p>
        </w:tc>
      </w:tr>
      <w:tr w:rsidR="009E1EA6" w:rsidRPr="009E1EA6" w14:paraId="25F530B5" w14:textId="77777777" w:rsidTr="00872E03">
        <w:trPr>
          <w:trHeight w:val="290"/>
        </w:trPr>
        <w:tc>
          <w:tcPr>
            <w:tcW w:w="1360" w:type="dxa"/>
            <w:vMerge/>
            <w:tcBorders>
              <w:top w:val="single" w:sz="4" w:space="0" w:color="auto"/>
              <w:left w:val="single" w:sz="4" w:space="0" w:color="auto"/>
              <w:bottom w:val="nil"/>
              <w:right w:val="single" w:sz="4" w:space="0" w:color="auto"/>
            </w:tcBorders>
            <w:vAlign w:val="center"/>
            <w:hideMark/>
          </w:tcPr>
          <w:p w14:paraId="70A96613" w14:textId="77777777" w:rsidR="00F005E1" w:rsidRPr="009E1EA6" w:rsidRDefault="00F005E1" w:rsidP="00F005E1">
            <w:pPr>
              <w:jc w:val="left"/>
              <w:rPr>
                <w:bCs/>
                <w:sz w:val="22"/>
                <w:szCs w:val="22"/>
              </w:rPr>
            </w:pPr>
          </w:p>
        </w:tc>
        <w:tc>
          <w:tcPr>
            <w:tcW w:w="1020" w:type="dxa"/>
            <w:tcBorders>
              <w:top w:val="nil"/>
              <w:left w:val="nil"/>
              <w:bottom w:val="nil"/>
              <w:right w:val="nil"/>
            </w:tcBorders>
            <w:shd w:val="clear" w:color="auto" w:fill="auto"/>
            <w:noWrap/>
            <w:vAlign w:val="bottom"/>
            <w:hideMark/>
          </w:tcPr>
          <w:p w14:paraId="2DBDDAE5" w14:textId="77777777" w:rsidR="00F005E1" w:rsidRPr="009E1EA6" w:rsidRDefault="00F005E1" w:rsidP="00F005E1">
            <w:pPr>
              <w:jc w:val="center"/>
              <w:rPr>
                <w:bCs/>
                <w:sz w:val="22"/>
                <w:szCs w:val="22"/>
              </w:rPr>
            </w:pPr>
            <w:r w:rsidRPr="009E1EA6">
              <w:rPr>
                <w:bCs/>
                <w:sz w:val="22"/>
                <w:szCs w:val="22"/>
              </w:rPr>
              <w:t>Fu/W</w:t>
            </w:r>
          </w:p>
        </w:tc>
        <w:tc>
          <w:tcPr>
            <w:tcW w:w="1155" w:type="dxa"/>
            <w:tcBorders>
              <w:top w:val="nil"/>
              <w:left w:val="nil"/>
              <w:bottom w:val="nil"/>
              <w:right w:val="nil"/>
            </w:tcBorders>
            <w:shd w:val="clear" w:color="auto" w:fill="auto"/>
            <w:noWrap/>
            <w:vAlign w:val="bottom"/>
            <w:hideMark/>
          </w:tcPr>
          <w:p w14:paraId="67833D8F" w14:textId="6A1B9F00"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365" w:type="dxa"/>
            <w:tcBorders>
              <w:top w:val="nil"/>
              <w:left w:val="nil"/>
              <w:bottom w:val="nil"/>
              <w:right w:val="nil"/>
            </w:tcBorders>
            <w:shd w:val="clear" w:color="auto" w:fill="auto"/>
            <w:noWrap/>
            <w:vAlign w:val="bottom"/>
            <w:hideMark/>
          </w:tcPr>
          <w:p w14:paraId="30DD83E5" w14:textId="31D7D3F4"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c>
          <w:tcPr>
            <w:tcW w:w="1032" w:type="dxa"/>
            <w:tcBorders>
              <w:top w:val="nil"/>
              <w:left w:val="single" w:sz="4" w:space="0" w:color="auto"/>
              <w:bottom w:val="nil"/>
              <w:right w:val="nil"/>
            </w:tcBorders>
            <w:shd w:val="clear" w:color="auto" w:fill="auto"/>
            <w:noWrap/>
            <w:vAlign w:val="bottom"/>
            <w:hideMark/>
          </w:tcPr>
          <w:p w14:paraId="3D19C614" w14:textId="77777777" w:rsidR="00F005E1" w:rsidRPr="009E1EA6" w:rsidRDefault="00F005E1" w:rsidP="00F005E1">
            <w:pPr>
              <w:jc w:val="center"/>
              <w:rPr>
                <w:bCs/>
                <w:sz w:val="22"/>
                <w:szCs w:val="22"/>
              </w:rPr>
            </w:pPr>
            <w:r w:rsidRPr="009E1EA6">
              <w:rPr>
                <w:bCs/>
                <w:sz w:val="22"/>
                <w:szCs w:val="22"/>
              </w:rPr>
              <w:t>To/W</w:t>
            </w:r>
          </w:p>
        </w:tc>
        <w:tc>
          <w:tcPr>
            <w:tcW w:w="1149" w:type="dxa"/>
            <w:tcBorders>
              <w:top w:val="nil"/>
              <w:left w:val="nil"/>
              <w:bottom w:val="nil"/>
              <w:right w:val="nil"/>
            </w:tcBorders>
            <w:shd w:val="clear" w:color="auto" w:fill="auto"/>
            <w:noWrap/>
            <w:vAlign w:val="bottom"/>
            <w:hideMark/>
          </w:tcPr>
          <w:p w14:paraId="20D0B799" w14:textId="726C15C5"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845" w:type="dxa"/>
            <w:tcBorders>
              <w:top w:val="nil"/>
              <w:left w:val="nil"/>
              <w:bottom w:val="nil"/>
              <w:right w:val="single" w:sz="4" w:space="0" w:color="auto"/>
            </w:tcBorders>
            <w:shd w:val="clear" w:color="auto" w:fill="auto"/>
            <w:noWrap/>
            <w:vAlign w:val="bottom"/>
            <w:hideMark/>
          </w:tcPr>
          <w:p w14:paraId="02202341" w14:textId="15CC6FEC"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r>
      <w:tr w:rsidR="009E1EA6" w:rsidRPr="009E1EA6" w14:paraId="6BA90D35" w14:textId="77777777" w:rsidTr="00872E03">
        <w:trPr>
          <w:trHeight w:val="290"/>
        </w:trPr>
        <w:tc>
          <w:tcPr>
            <w:tcW w:w="13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A5A5D28" w14:textId="77777777" w:rsidR="002C188A" w:rsidRPr="009E1EA6" w:rsidRDefault="00B74A7C" w:rsidP="002C188A">
            <w:pPr>
              <w:jc w:val="center"/>
              <w:rPr>
                <w:bCs/>
                <w:sz w:val="22"/>
                <w:szCs w:val="22"/>
              </w:rPr>
            </w:pPr>
            <w:r w:rsidRPr="009E1EA6">
              <w:rPr>
                <w:bCs/>
                <w:sz w:val="22"/>
                <w:szCs w:val="22"/>
              </w:rPr>
              <w:t>Near Source</w:t>
            </w:r>
          </w:p>
        </w:tc>
        <w:tc>
          <w:tcPr>
            <w:tcW w:w="1020" w:type="dxa"/>
            <w:tcBorders>
              <w:top w:val="single" w:sz="4" w:space="0" w:color="auto"/>
              <w:left w:val="nil"/>
              <w:bottom w:val="nil"/>
              <w:right w:val="nil"/>
            </w:tcBorders>
            <w:shd w:val="clear" w:color="000000" w:fill="FFFFFF"/>
            <w:noWrap/>
            <w:vAlign w:val="bottom"/>
            <w:hideMark/>
          </w:tcPr>
          <w:p w14:paraId="07B4AA5E" w14:textId="77777777" w:rsidR="002C188A" w:rsidRPr="009E1EA6" w:rsidRDefault="00B74A7C" w:rsidP="002C188A">
            <w:pPr>
              <w:jc w:val="center"/>
              <w:rPr>
                <w:bCs/>
                <w:sz w:val="22"/>
                <w:szCs w:val="22"/>
              </w:rPr>
            </w:pPr>
            <w:r w:rsidRPr="009E1EA6">
              <w:rPr>
                <w:bCs/>
                <w:sz w:val="22"/>
                <w:szCs w:val="22"/>
              </w:rPr>
              <w:t>0.20</w:t>
            </w:r>
          </w:p>
        </w:tc>
        <w:tc>
          <w:tcPr>
            <w:tcW w:w="1155" w:type="dxa"/>
            <w:tcBorders>
              <w:top w:val="single" w:sz="4" w:space="0" w:color="auto"/>
              <w:left w:val="single" w:sz="4" w:space="0" w:color="auto"/>
              <w:bottom w:val="nil"/>
              <w:right w:val="nil"/>
            </w:tcBorders>
            <w:shd w:val="clear" w:color="000000" w:fill="FFFFFF"/>
            <w:noWrap/>
            <w:vAlign w:val="bottom"/>
            <w:hideMark/>
          </w:tcPr>
          <w:p w14:paraId="38F87BAA" w14:textId="77777777" w:rsidR="002C188A" w:rsidRPr="009E1EA6" w:rsidRDefault="00B74A7C" w:rsidP="002C188A">
            <w:pPr>
              <w:jc w:val="center"/>
              <w:rPr>
                <w:sz w:val="22"/>
                <w:szCs w:val="22"/>
              </w:rPr>
            </w:pPr>
            <w:r w:rsidRPr="009E1EA6">
              <w:rPr>
                <w:sz w:val="22"/>
                <w:szCs w:val="22"/>
              </w:rPr>
              <w:t>7.9</w:t>
            </w:r>
          </w:p>
        </w:tc>
        <w:tc>
          <w:tcPr>
            <w:tcW w:w="1365" w:type="dxa"/>
            <w:tcBorders>
              <w:top w:val="single" w:sz="4" w:space="0" w:color="auto"/>
              <w:left w:val="nil"/>
              <w:bottom w:val="nil"/>
              <w:right w:val="nil"/>
            </w:tcBorders>
            <w:shd w:val="clear" w:color="000000" w:fill="FFFFFF"/>
            <w:noWrap/>
            <w:vAlign w:val="bottom"/>
            <w:hideMark/>
          </w:tcPr>
          <w:p w14:paraId="2FAD0658" w14:textId="77777777" w:rsidR="002C188A" w:rsidRPr="009E1EA6" w:rsidRDefault="00B74A7C" w:rsidP="005D49EE">
            <w:pPr>
              <w:jc w:val="center"/>
              <w:rPr>
                <w:sz w:val="22"/>
                <w:szCs w:val="22"/>
              </w:rPr>
            </w:pPr>
            <w:r w:rsidRPr="009E1EA6">
              <w:rPr>
                <w:sz w:val="22"/>
                <w:szCs w:val="22"/>
              </w:rPr>
              <w:t>49</w:t>
            </w:r>
          </w:p>
        </w:tc>
        <w:tc>
          <w:tcPr>
            <w:tcW w:w="1032" w:type="dxa"/>
            <w:tcBorders>
              <w:top w:val="single" w:sz="4" w:space="0" w:color="auto"/>
              <w:left w:val="single" w:sz="4" w:space="0" w:color="auto"/>
              <w:bottom w:val="nil"/>
              <w:right w:val="nil"/>
            </w:tcBorders>
            <w:shd w:val="clear" w:color="000000" w:fill="FFFFFF"/>
            <w:noWrap/>
            <w:vAlign w:val="bottom"/>
            <w:hideMark/>
          </w:tcPr>
          <w:p w14:paraId="1BD932CA" w14:textId="6EDD9B02" w:rsidR="002C188A" w:rsidRPr="009E1EA6" w:rsidRDefault="00B74A7C" w:rsidP="00E26619">
            <w:pPr>
              <w:jc w:val="center"/>
              <w:rPr>
                <w:bCs/>
                <w:sz w:val="22"/>
                <w:szCs w:val="22"/>
              </w:rPr>
            </w:pPr>
            <w:r w:rsidRPr="009E1EA6">
              <w:rPr>
                <w:bCs/>
                <w:sz w:val="22"/>
                <w:szCs w:val="22"/>
              </w:rPr>
              <w:t>0.</w:t>
            </w:r>
            <w:r w:rsidR="00E26619" w:rsidRPr="009E1EA6">
              <w:rPr>
                <w:bCs/>
                <w:sz w:val="22"/>
                <w:szCs w:val="22"/>
              </w:rPr>
              <w:t>05</w:t>
            </w:r>
          </w:p>
        </w:tc>
        <w:tc>
          <w:tcPr>
            <w:tcW w:w="1149" w:type="dxa"/>
            <w:tcBorders>
              <w:top w:val="single" w:sz="4" w:space="0" w:color="auto"/>
              <w:left w:val="single" w:sz="4" w:space="0" w:color="auto"/>
              <w:bottom w:val="nil"/>
              <w:right w:val="nil"/>
            </w:tcBorders>
            <w:shd w:val="clear" w:color="000000" w:fill="FFFFFF"/>
            <w:noWrap/>
            <w:vAlign w:val="bottom"/>
            <w:hideMark/>
          </w:tcPr>
          <w:p w14:paraId="767E3A88" w14:textId="77777777" w:rsidR="002C188A" w:rsidRPr="009E1EA6" w:rsidRDefault="00B74A7C" w:rsidP="002C188A">
            <w:pPr>
              <w:jc w:val="center"/>
              <w:rPr>
                <w:sz w:val="22"/>
                <w:szCs w:val="22"/>
              </w:rPr>
            </w:pPr>
            <w:r w:rsidRPr="009E1EA6">
              <w:rPr>
                <w:sz w:val="22"/>
                <w:szCs w:val="22"/>
              </w:rPr>
              <w:t>8.4</w:t>
            </w:r>
          </w:p>
        </w:tc>
        <w:tc>
          <w:tcPr>
            <w:tcW w:w="1845" w:type="dxa"/>
            <w:tcBorders>
              <w:top w:val="single" w:sz="4" w:space="0" w:color="auto"/>
              <w:left w:val="nil"/>
              <w:bottom w:val="nil"/>
              <w:right w:val="single" w:sz="4" w:space="0" w:color="auto"/>
            </w:tcBorders>
            <w:shd w:val="clear" w:color="000000" w:fill="FFFFFF"/>
            <w:noWrap/>
            <w:vAlign w:val="bottom"/>
            <w:hideMark/>
          </w:tcPr>
          <w:p w14:paraId="63987ABA" w14:textId="77777777" w:rsidR="002C188A" w:rsidRPr="009E1EA6" w:rsidRDefault="00B74A7C" w:rsidP="005D49EE">
            <w:pPr>
              <w:jc w:val="center"/>
              <w:rPr>
                <w:sz w:val="22"/>
                <w:szCs w:val="22"/>
              </w:rPr>
            </w:pPr>
            <w:r w:rsidRPr="009E1EA6">
              <w:rPr>
                <w:sz w:val="22"/>
                <w:szCs w:val="22"/>
              </w:rPr>
              <w:t>46</w:t>
            </w:r>
          </w:p>
        </w:tc>
      </w:tr>
      <w:tr w:rsidR="009E1EA6" w:rsidRPr="009E1EA6" w14:paraId="325B94EB"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4F6C89B6" w14:textId="77777777" w:rsidR="002C188A" w:rsidRPr="009E1EA6" w:rsidRDefault="002C188A" w:rsidP="002C188A">
            <w:pPr>
              <w:jc w:val="left"/>
              <w:rPr>
                <w:bCs/>
                <w:sz w:val="22"/>
                <w:szCs w:val="22"/>
              </w:rPr>
            </w:pPr>
          </w:p>
        </w:tc>
        <w:tc>
          <w:tcPr>
            <w:tcW w:w="1020" w:type="dxa"/>
            <w:tcBorders>
              <w:top w:val="nil"/>
              <w:left w:val="nil"/>
              <w:bottom w:val="nil"/>
              <w:right w:val="nil"/>
            </w:tcBorders>
            <w:shd w:val="clear" w:color="000000" w:fill="FFFFFF"/>
            <w:noWrap/>
            <w:vAlign w:val="bottom"/>
            <w:hideMark/>
          </w:tcPr>
          <w:p w14:paraId="11EBF4D8" w14:textId="77777777" w:rsidR="002C188A" w:rsidRPr="009E1EA6" w:rsidRDefault="00B74A7C" w:rsidP="002C188A">
            <w:pPr>
              <w:jc w:val="center"/>
              <w:rPr>
                <w:bCs/>
                <w:sz w:val="22"/>
                <w:szCs w:val="22"/>
              </w:rPr>
            </w:pPr>
            <w:r w:rsidRPr="009E1EA6">
              <w:rPr>
                <w:bCs/>
                <w:sz w:val="22"/>
                <w:szCs w:val="22"/>
              </w:rPr>
              <w:t>0.30</w:t>
            </w:r>
          </w:p>
        </w:tc>
        <w:tc>
          <w:tcPr>
            <w:tcW w:w="1155" w:type="dxa"/>
            <w:tcBorders>
              <w:top w:val="nil"/>
              <w:left w:val="single" w:sz="4" w:space="0" w:color="auto"/>
              <w:bottom w:val="nil"/>
              <w:right w:val="nil"/>
            </w:tcBorders>
            <w:shd w:val="clear" w:color="000000" w:fill="FFFFFF"/>
            <w:noWrap/>
            <w:vAlign w:val="bottom"/>
            <w:hideMark/>
          </w:tcPr>
          <w:p w14:paraId="241CC143" w14:textId="77777777" w:rsidR="002C188A" w:rsidRPr="009E1EA6" w:rsidRDefault="00B74A7C" w:rsidP="005D49EE">
            <w:pPr>
              <w:jc w:val="center"/>
              <w:rPr>
                <w:sz w:val="22"/>
                <w:szCs w:val="22"/>
              </w:rPr>
            </w:pPr>
            <w:r w:rsidRPr="009E1EA6">
              <w:rPr>
                <w:sz w:val="22"/>
                <w:szCs w:val="22"/>
              </w:rPr>
              <w:t>2.4</w:t>
            </w:r>
          </w:p>
        </w:tc>
        <w:tc>
          <w:tcPr>
            <w:tcW w:w="1365" w:type="dxa"/>
            <w:tcBorders>
              <w:top w:val="nil"/>
              <w:left w:val="nil"/>
              <w:bottom w:val="nil"/>
              <w:right w:val="nil"/>
            </w:tcBorders>
            <w:shd w:val="clear" w:color="000000" w:fill="FFFFFF"/>
            <w:noWrap/>
            <w:vAlign w:val="bottom"/>
            <w:hideMark/>
          </w:tcPr>
          <w:p w14:paraId="7E2EE30E" w14:textId="77777777" w:rsidR="002C188A" w:rsidRPr="009E1EA6" w:rsidRDefault="00B74A7C" w:rsidP="002C188A">
            <w:pPr>
              <w:jc w:val="center"/>
              <w:rPr>
                <w:sz w:val="22"/>
                <w:szCs w:val="22"/>
              </w:rPr>
            </w:pPr>
            <w:r w:rsidRPr="009E1EA6">
              <w:rPr>
                <w:sz w:val="22"/>
                <w:szCs w:val="22"/>
              </w:rPr>
              <w:t>36</w:t>
            </w:r>
          </w:p>
        </w:tc>
        <w:tc>
          <w:tcPr>
            <w:tcW w:w="1032" w:type="dxa"/>
            <w:tcBorders>
              <w:top w:val="nil"/>
              <w:left w:val="single" w:sz="4" w:space="0" w:color="auto"/>
              <w:bottom w:val="nil"/>
              <w:right w:val="nil"/>
            </w:tcBorders>
            <w:shd w:val="clear" w:color="000000" w:fill="FFFFFF"/>
            <w:noWrap/>
            <w:vAlign w:val="bottom"/>
            <w:hideMark/>
          </w:tcPr>
          <w:p w14:paraId="67C9875F" w14:textId="6DDB7019" w:rsidR="002C188A" w:rsidRPr="009E1EA6" w:rsidRDefault="00B74A7C" w:rsidP="00E26619">
            <w:pPr>
              <w:jc w:val="center"/>
              <w:rPr>
                <w:bCs/>
                <w:sz w:val="22"/>
                <w:szCs w:val="22"/>
              </w:rPr>
            </w:pPr>
            <w:r w:rsidRPr="009E1EA6">
              <w:rPr>
                <w:bCs/>
                <w:sz w:val="22"/>
                <w:szCs w:val="22"/>
              </w:rPr>
              <w:t>0.</w:t>
            </w:r>
            <w:r w:rsidR="00E26619" w:rsidRPr="009E1EA6">
              <w:rPr>
                <w:bCs/>
                <w:sz w:val="22"/>
                <w:szCs w:val="22"/>
              </w:rPr>
              <w:t>10</w:t>
            </w:r>
          </w:p>
        </w:tc>
        <w:tc>
          <w:tcPr>
            <w:tcW w:w="1149" w:type="dxa"/>
            <w:tcBorders>
              <w:top w:val="nil"/>
              <w:left w:val="single" w:sz="4" w:space="0" w:color="auto"/>
              <w:bottom w:val="nil"/>
              <w:right w:val="nil"/>
            </w:tcBorders>
            <w:shd w:val="clear" w:color="000000" w:fill="FFFFFF"/>
            <w:noWrap/>
            <w:vAlign w:val="bottom"/>
            <w:hideMark/>
          </w:tcPr>
          <w:p w14:paraId="395B27F2" w14:textId="77777777" w:rsidR="002C188A" w:rsidRPr="009E1EA6" w:rsidRDefault="00B74A7C" w:rsidP="002C188A">
            <w:pPr>
              <w:jc w:val="center"/>
              <w:rPr>
                <w:sz w:val="22"/>
                <w:szCs w:val="22"/>
              </w:rPr>
            </w:pPr>
            <w:r w:rsidRPr="009E1EA6">
              <w:rPr>
                <w:sz w:val="22"/>
                <w:szCs w:val="22"/>
              </w:rPr>
              <w:t>8.7</w:t>
            </w:r>
          </w:p>
        </w:tc>
        <w:tc>
          <w:tcPr>
            <w:tcW w:w="1845" w:type="dxa"/>
            <w:tcBorders>
              <w:top w:val="nil"/>
              <w:left w:val="nil"/>
              <w:bottom w:val="nil"/>
              <w:right w:val="single" w:sz="4" w:space="0" w:color="auto"/>
            </w:tcBorders>
            <w:shd w:val="clear" w:color="000000" w:fill="FFFFFF"/>
            <w:noWrap/>
            <w:vAlign w:val="bottom"/>
            <w:hideMark/>
          </w:tcPr>
          <w:p w14:paraId="79183FFC" w14:textId="77777777" w:rsidR="002C188A" w:rsidRPr="009E1EA6" w:rsidRDefault="00B74A7C" w:rsidP="005D49EE">
            <w:pPr>
              <w:jc w:val="center"/>
              <w:rPr>
                <w:sz w:val="22"/>
                <w:szCs w:val="22"/>
              </w:rPr>
            </w:pPr>
            <w:r w:rsidRPr="009E1EA6">
              <w:rPr>
                <w:sz w:val="22"/>
                <w:szCs w:val="22"/>
              </w:rPr>
              <w:t>47</w:t>
            </w:r>
          </w:p>
        </w:tc>
      </w:tr>
      <w:tr w:rsidR="009E1EA6" w:rsidRPr="009E1EA6" w14:paraId="4BD2AC37"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7E6CC446" w14:textId="77777777" w:rsidR="002C188A" w:rsidRPr="009E1EA6" w:rsidRDefault="002C188A" w:rsidP="002C188A">
            <w:pPr>
              <w:jc w:val="left"/>
              <w:rPr>
                <w:bCs/>
                <w:sz w:val="22"/>
                <w:szCs w:val="22"/>
              </w:rPr>
            </w:pPr>
          </w:p>
        </w:tc>
        <w:tc>
          <w:tcPr>
            <w:tcW w:w="1020" w:type="dxa"/>
            <w:tcBorders>
              <w:top w:val="nil"/>
              <w:left w:val="nil"/>
              <w:bottom w:val="single" w:sz="4" w:space="0" w:color="auto"/>
              <w:right w:val="nil"/>
            </w:tcBorders>
            <w:shd w:val="clear" w:color="000000" w:fill="FFFFFF"/>
            <w:noWrap/>
            <w:vAlign w:val="bottom"/>
            <w:hideMark/>
          </w:tcPr>
          <w:p w14:paraId="2DB2A785" w14:textId="77777777" w:rsidR="002C188A" w:rsidRPr="009E1EA6" w:rsidRDefault="00B74A7C" w:rsidP="002C188A">
            <w:pPr>
              <w:jc w:val="center"/>
              <w:rPr>
                <w:bCs/>
                <w:sz w:val="22"/>
                <w:szCs w:val="22"/>
              </w:rPr>
            </w:pPr>
            <w:r w:rsidRPr="009E1EA6">
              <w:rPr>
                <w:bCs/>
                <w:sz w:val="22"/>
                <w:szCs w:val="22"/>
              </w:rPr>
              <w:t>0.40</w:t>
            </w:r>
          </w:p>
        </w:tc>
        <w:tc>
          <w:tcPr>
            <w:tcW w:w="1155" w:type="dxa"/>
            <w:tcBorders>
              <w:top w:val="nil"/>
              <w:left w:val="single" w:sz="4" w:space="0" w:color="auto"/>
              <w:bottom w:val="nil"/>
              <w:right w:val="nil"/>
            </w:tcBorders>
            <w:shd w:val="clear" w:color="000000" w:fill="FFFFFF"/>
            <w:noWrap/>
            <w:vAlign w:val="bottom"/>
            <w:hideMark/>
          </w:tcPr>
          <w:p w14:paraId="39D156FC" w14:textId="77777777" w:rsidR="002C188A" w:rsidRPr="009E1EA6" w:rsidRDefault="00B74A7C" w:rsidP="002C188A">
            <w:pPr>
              <w:jc w:val="center"/>
              <w:rPr>
                <w:sz w:val="22"/>
                <w:szCs w:val="22"/>
              </w:rPr>
            </w:pPr>
            <w:r w:rsidRPr="009E1EA6">
              <w:rPr>
                <w:sz w:val="22"/>
                <w:szCs w:val="22"/>
              </w:rPr>
              <w:t>≤ 1</w:t>
            </w:r>
          </w:p>
        </w:tc>
        <w:tc>
          <w:tcPr>
            <w:tcW w:w="1365" w:type="dxa"/>
            <w:tcBorders>
              <w:top w:val="nil"/>
              <w:left w:val="nil"/>
              <w:bottom w:val="nil"/>
              <w:right w:val="nil"/>
            </w:tcBorders>
            <w:shd w:val="clear" w:color="000000" w:fill="FFFFFF"/>
            <w:noWrap/>
            <w:vAlign w:val="bottom"/>
            <w:hideMark/>
          </w:tcPr>
          <w:p w14:paraId="2F02C7D5" w14:textId="77777777" w:rsidR="002C188A" w:rsidRPr="009E1EA6" w:rsidRDefault="00B74A7C" w:rsidP="002C188A">
            <w:pPr>
              <w:jc w:val="center"/>
              <w:rPr>
                <w:sz w:val="22"/>
                <w:szCs w:val="22"/>
              </w:rPr>
            </w:pPr>
            <w:r w:rsidRPr="009E1EA6">
              <w:rPr>
                <w:sz w:val="22"/>
                <w:szCs w:val="22"/>
              </w:rPr>
              <w:t>19</w:t>
            </w:r>
          </w:p>
        </w:tc>
        <w:tc>
          <w:tcPr>
            <w:tcW w:w="1032" w:type="dxa"/>
            <w:tcBorders>
              <w:top w:val="nil"/>
              <w:left w:val="single" w:sz="4" w:space="0" w:color="auto"/>
              <w:bottom w:val="nil"/>
              <w:right w:val="nil"/>
            </w:tcBorders>
            <w:shd w:val="clear" w:color="000000" w:fill="FFFFFF"/>
            <w:noWrap/>
            <w:vAlign w:val="bottom"/>
            <w:hideMark/>
          </w:tcPr>
          <w:p w14:paraId="18B8F865" w14:textId="611B8A86" w:rsidR="002C188A" w:rsidRPr="009E1EA6" w:rsidRDefault="00B74A7C" w:rsidP="00E26619">
            <w:pPr>
              <w:jc w:val="center"/>
              <w:rPr>
                <w:bCs/>
                <w:sz w:val="22"/>
                <w:szCs w:val="22"/>
              </w:rPr>
            </w:pPr>
            <w:r w:rsidRPr="009E1EA6">
              <w:rPr>
                <w:bCs/>
                <w:sz w:val="22"/>
                <w:szCs w:val="22"/>
              </w:rPr>
              <w:t>0.</w:t>
            </w:r>
            <w:r w:rsidR="00E26619" w:rsidRPr="009E1EA6">
              <w:rPr>
                <w:bCs/>
                <w:sz w:val="22"/>
                <w:szCs w:val="22"/>
              </w:rPr>
              <w:t>15</w:t>
            </w:r>
          </w:p>
        </w:tc>
        <w:tc>
          <w:tcPr>
            <w:tcW w:w="1149" w:type="dxa"/>
            <w:tcBorders>
              <w:top w:val="nil"/>
              <w:left w:val="single" w:sz="4" w:space="0" w:color="auto"/>
              <w:bottom w:val="nil"/>
              <w:right w:val="nil"/>
            </w:tcBorders>
            <w:shd w:val="clear" w:color="000000" w:fill="FFFFFF"/>
            <w:noWrap/>
            <w:vAlign w:val="bottom"/>
            <w:hideMark/>
          </w:tcPr>
          <w:p w14:paraId="0B1DEF25" w14:textId="77777777" w:rsidR="002C188A" w:rsidRPr="009E1EA6" w:rsidRDefault="00B74A7C" w:rsidP="002C188A">
            <w:pPr>
              <w:jc w:val="center"/>
              <w:rPr>
                <w:sz w:val="22"/>
                <w:szCs w:val="22"/>
              </w:rPr>
            </w:pPr>
            <w:r w:rsidRPr="009E1EA6">
              <w:rPr>
                <w:sz w:val="22"/>
                <w:szCs w:val="22"/>
              </w:rPr>
              <w:t>9.6</w:t>
            </w:r>
          </w:p>
        </w:tc>
        <w:tc>
          <w:tcPr>
            <w:tcW w:w="1845" w:type="dxa"/>
            <w:tcBorders>
              <w:top w:val="nil"/>
              <w:left w:val="nil"/>
              <w:bottom w:val="nil"/>
              <w:right w:val="single" w:sz="4" w:space="0" w:color="auto"/>
            </w:tcBorders>
            <w:shd w:val="clear" w:color="000000" w:fill="FFFFFF"/>
            <w:noWrap/>
            <w:vAlign w:val="bottom"/>
            <w:hideMark/>
          </w:tcPr>
          <w:p w14:paraId="166C179D" w14:textId="77777777" w:rsidR="002C188A" w:rsidRPr="009E1EA6" w:rsidRDefault="00B74A7C" w:rsidP="005D49EE">
            <w:pPr>
              <w:jc w:val="center"/>
              <w:rPr>
                <w:sz w:val="22"/>
                <w:szCs w:val="22"/>
              </w:rPr>
            </w:pPr>
            <w:r w:rsidRPr="009E1EA6">
              <w:rPr>
                <w:sz w:val="22"/>
                <w:szCs w:val="22"/>
              </w:rPr>
              <w:t>47</w:t>
            </w:r>
          </w:p>
        </w:tc>
      </w:tr>
      <w:tr w:rsidR="009E1EA6" w:rsidRPr="009E1EA6" w14:paraId="7FC127EB" w14:textId="77777777" w:rsidTr="00872E03">
        <w:trPr>
          <w:trHeight w:val="290"/>
        </w:trPr>
        <w:tc>
          <w:tcPr>
            <w:tcW w:w="13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6C258D13" w14:textId="77777777" w:rsidR="002C188A" w:rsidRPr="009E1EA6" w:rsidRDefault="00B74A7C" w:rsidP="002C188A">
            <w:pPr>
              <w:jc w:val="center"/>
              <w:rPr>
                <w:bCs/>
                <w:sz w:val="22"/>
                <w:szCs w:val="22"/>
              </w:rPr>
            </w:pPr>
            <w:r w:rsidRPr="009E1EA6">
              <w:rPr>
                <w:bCs/>
                <w:sz w:val="22"/>
                <w:szCs w:val="22"/>
              </w:rPr>
              <w:t>Far-Field</w:t>
            </w:r>
          </w:p>
        </w:tc>
        <w:tc>
          <w:tcPr>
            <w:tcW w:w="1020" w:type="dxa"/>
            <w:tcBorders>
              <w:top w:val="nil"/>
              <w:left w:val="nil"/>
              <w:bottom w:val="nil"/>
              <w:right w:val="nil"/>
            </w:tcBorders>
            <w:shd w:val="clear" w:color="000000" w:fill="D9D9D9"/>
            <w:noWrap/>
            <w:vAlign w:val="bottom"/>
            <w:hideMark/>
          </w:tcPr>
          <w:p w14:paraId="77A1FC99" w14:textId="77777777" w:rsidR="002C188A" w:rsidRPr="009E1EA6" w:rsidRDefault="00B74A7C" w:rsidP="002C188A">
            <w:pPr>
              <w:jc w:val="center"/>
              <w:rPr>
                <w:bCs/>
                <w:sz w:val="22"/>
                <w:szCs w:val="22"/>
              </w:rPr>
            </w:pPr>
            <w:r w:rsidRPr="009E1EA6">
              <w:rPr>
                <w:bCs/>
                <w:sz w:val="22"/>
                <w:szCs w:val="22"/>
              </w:rPr>
              <w:t>0.20</w:t>
            </w:r>
          </w:p>
        </w:tc>
        <w:tc>
          <w:tcPr>
            <w:tcW w:w="1155" w:type="dxa"/>
            <w:tcBorders>
              <w:top w:val="single" w:sz="4" w:space="0" w:color="auto"/>
              <w:left w:val="single" w:sz="4" w:space="0" w:color="auto"/>
              <w:bottom w:val="nil"/>
              <w:right w:val="nil"/>
            </w:tcBorders>
            <w:shd w:val="clear" w:color="000000" w:fill="D9D9D9"/>
            <w:noWrap/>
            <w:vAlign w:val="bottom"/>
            <w:hideMark/>
          </w:tcPr>
          <w:p w14:paraId="1C646C99" w14:textId="77777777" w:rsidR="002C188A" w:rsidRPr="009E1EA6" w:rsidRDefault="00B74A7C" w:rsidP="002C188A">
            <w:pPr>
              <w:jc w:val="center"/>
              <w:rPr>
                <w:sz w:val="22"/>
                <w:szCs w:val="22"/>
              </w:rPr>
            </w:pPr>
            <w:r w:rsidRPr="009E1EA6">
              <w:rPr>
                <w:sz w:val="22"/>
                <w:szCs w:val="22"/>
              </w:rPr>
              <w:t>≤ 1</w:t>
            </w:r>
          </w:p>
        </w:tc>
        <w:tc>
          <w:tcPr>
            <w:tcW w:w="1365" w:type="dxa"/>
            <w:tcBorders>
              <w:top w:val="single" w:sz="4" w:space="0" w:color="auto"/>
              <w:left w:val="nil"/>
              <w:bottom w:val="nil"/>
              <w:right w:val="nil"/>
            </w:tcBorders>
            <w:shd w:val="clear" w:color="000000" w:fill="D9D9D9"/>
            <w:noWrap/>
            <w:vAlign w:val="bottom"/>
            <w:hideMark/>
          </w:tcPr>
          <w:p w14:paraId="53A6FC87" w14:textId="77777777" w:rsidR="002C188A" w:rsidRPr="009E1EA6" w:rsidRDefault="00B74A7C" w:rsidP="002C188A">
            <w:pPr>
              <w:jc w:val="center"/>
              <w:rPr>
                <w:sz w:val="22"/>
                <w:szCs w:val="22"/>
              </w:rPr>
            </w:pPr>
            <w:r w:rsidRPr="009E1EA6">
              <w:rPr>
                <w:sz w:val="22"/>
                <w:szCs w:val="22"/>
              </w:rPr>
              <w:t>≤ 1</w:t>
            </w:r>
          </w:p>
        </w:tc>
        <w:tc>
          <w:tcPr>
            <w:tcW w:w="1032" w:type="dxa"/>
            <w:tcBorders>
              <w:top w:val="single" w:sz="4" w:space="0" w:color="auto"/>
              <w:left w:val="single" w:sz="4" w:space="0" w:color="auto"/>
              <w:bottom w:val="nil"/>
              <w:right w:val="nil"/>
            </w:tcBorders>
            <w:shd w:val="clear" w:color="000000" w:fill="D9D9D9"/>
            <w:noWrap/>
            <w:vAlign w:val="bottom"/>
            <w:hideMark/>
          </w:tcPr>
          <w:p w14:paraId="4832A3CE" w14:textId="4379A3C5" w:rsidR="002C188A" w:rsidRPr="009E1EA6" w:rsidRDefault="00B74A7C" w:rsidP="00E26619">
            <w:pPr>
              <w:jc w:val="center"/>
              <w:rPr>
                <w:bCs/>
                <w:sz w:val="22"/>
                <w:szCs w:val="22"/>
              </w:rPr>
            </w:pPr>
            <w:r w:rsidRPr="009E1EA6">
              <w:rPr>
                <w:bCs/>
                <w:sz w:val="22"/>
                <w:szCs w:val="22"/>
              </w:rPr>
              <w:t>0.</w:t>
            </w:r>
            <w:r w:rsidR="00E26619" w:rsidRPr="009E1EA6">
              <w:rPr>
                <w:bCs/>
                <w:sz w:val="22"/>
                <w:szCs w:val="22"/>
              </w:rPr>
              <w:t>05</w:t>
            </w:r>
          </w:p>
        </w:tc>
        <w:tc>
          <w:tcPr>
            <w:tcW w:w="1149" w:type="dxa"/>
            <w:tcBorders>
              <w:top w:val="single" w:sz="4" w:space="0" w:color="auto"/>
              <w:left w:val="single" w:sz="4" w:space="0" w:color="auto"/>
              <w:bottom w:val="nil"/>
              <w:right w:val="nil"/>
            </w:tcBorders>
            <w:shd w:val="clear" w:color="000000" w:fill="D9D9D9"/>
            <w:noWrap/>
            <w:vAlign w:val="bottom"/>
            <w:hideMark/>
          </w:tcPr>
          <w:p w14:paraId="59C2EABA" w14:textId="77777777" w:rsidR="002C188A" w:rsidRPr="009E1EA6" w:rsidRDefault="00B74A7C" w:rsidP="002C188A">
            <w:pPr>
              <w:jc w:val="center"/>
              <w:rPr>
                <w:sz w:val="22"/>
                <w:szCs w:val="22"/>
              </w:rPr>
            </w:pPr>
            <w:r w:rsidRPr="009E1EA6">
              <w:rPr>
                <w:sz w:val="22"/>
                <w:szCs w:val="22"/>
              </w:rPr>
              <w:t>≤ 1</w:t>
            </w:r>
          </w:p>
        </w:tc>
        <w:tc>
          <w:tcPr>
            <w:tcW w:w="1845" w:type="dxa"/>
            <w:tcBorders>
              <w:top w:val="single" w:sz="4" w:space="0" w:color="auto"/>
              <w:left w:val="nil"/>
              <w:bottom w:val="nil"/>
              <w:right w:val="single" w:sz="4" w:space="0" w:color="auto"/>
            </w:tcBorders>
            <w:shd w:val="clear" w:color="000000" w:fill="D9D9D9"/>
            <w:noWrap/>
            <w:vAlign w:val="bottom"/>
            <w:hideMark/>
          </w:tcPr>
          <w:p w14:paraId="25B3DA0F" w14:textId="77777777" w:rsidR="002C188A" w:rsidRPr="009E1EA6" w:rsidRDefault="00B74A7C" w:rsidP="002C188A">
            <w:pPr>
              <w:jc w:val="center"/>
              <w:rPr>
                <w:sz w:val="22"/>
                <w:szCs w:val="22"/>
              </w:rPr>
            </w:pPr>
            <w:r w:rsidRPr="009E1EA6">
              <w:rPr>
                <w:sz w:val="22"/>
                <w:szCs w:val="22"/>
              </w:rPr>
              <w:t>≤ 1</w:t>
            </w:r>
          </w:p>
        </w:tc>
      </w:tr>
      <w:tr w:rsidR="009E1EA6" w:rsidRPr="009E1EA6" w14:paraId="0BBD5DB3"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30256499" w14:textId="77777777" w:rsidR="002C188A" w:rsidRPr="009E1EA6" w:rsidRDefault="002C188A" w:rsidP="002C188A">
            <w:pPr>
              <w:jc w:val="left"/>
              <w:rPr>
                <w:bCs/>
                <w:sz w:val="22"/>
                <w:szCs w:val="22"/>
              </w:rPr>
            </w:pPr>
          </w:p>
        </w:tc>
        <w:tc>
          <w:tcPr>
            <w:tcW w:w="1020" w:type="dxa"/>
            <w:tcBorders>
              <w:top w:val="nil"/>
              <w:left w:val="nil"/>
              <w:bottom w:val="nil"/>
              <w:right w:val="nil"/>
            </w:tcBorders>
            <w:shd w:val="clear" w:color="000000" w:fill="D9D9D9"/>
            <w:noWrap/>
            <w:vAlign w:val="bottom"/>
            <w:hideMark/>
          </w:tcPr>
          <w:p w14:paraId="25910FBC" w14:textId="77777777" w:rsidR="002C188A" w:rsidRPr="009E1EA6" w:rsidRDefault="00B74A7C" w:rsidP="002C188A">
            <w:pPr>
              <w:jc w:val="center"/>
              <w:rPr>
                <w:bCs/>
                <w:sz w:val="22"/>
                <w:szCs w:val="22"/>
              </w:rPr>
            </w:pPr>
            <w:r w:rsidRPr="009E1EA6">
              <w:rPr>
                <w:bCs/>
                <w:sz w:val="22"/>
                <w:szCs w:val="22"/>
              </w:rPr>
              <w:t>0.30</w:t>
            </w:r>
          </w:p>
        </w:tc>
        <w:tc>
          <w:tcPr>
            <w:tcW w:w="1155" w:type="dxa"/>
            <w:tcBorders>
              <w:top w:val="nil"/>
              <w:left w:val="single" w:sz="4" w:space="0" w:color="auto"/>
              <w:bottom w:val="nil"/>
              <w:right w:val="nil"/>
            </w:tcBorders>
            <w:shd w:val="clear" w:color="000000" w:fill="D9D9D9"/>
            <w:noWrap/>
            <w:vAlign w:val="bottom"/>
            <w:hideMark/>
          </w:tcPr>
          <w:p w14:paraId="49156415" w14:textId="77777777" w:rsidR="002C188A" w:rsidRPr="009E1EA6" w:rsidRDefault="00B74A7C" w:rsidP="002C188A">
            <w:pPr>
              <w:jc w:val="center"/>
              <w:rPr>
                <w:sz w:val="22"/>
                <w:szCs w:val="22"/>
              </w:rPr>
            </w:pPr>
            <w:r w:rsidRPr="009E1EA6">
              <w:rPr>
                <w:sz w:val="22"/>
                <w:szCs w:val="22"/>
              </w:rPr>
              <w:t>≤ 1</w:t>
            </w:r>
          </w:p>
        </w:tc>
        <w:tc>
          <w:tcPr>
            <w:tcW w:w="1365" w:type="dxa"/>
            <w:tcBorders>
              <w:top w:val="nil"/>
              <w:left w:val="nil"/>
              <w:bottom w:val="nil"/>
              <w:right w:val="nil"/>
            </w:tcBorders>
            <w:shd w:val="clear" w:color="000000" w:fill="D9D9D9"/>
            <w:noWrap/>
            <w:vAlign w:val="bottom"/>
            <w:hideMark/>
          </w:tcPr>
          <w:p w14:paraId="54AD49BA" w14:textId="77777777" w:rsidR="002C188A" w:rsidRPr="009E1EA6" w:rsidRDefault="00B74A7C" w:rsidP="002C188A">
            <w:pPr>
              <w:jc w:val="center"/>
              <w:rPr>
                <w:sz w:val="22"/>
                <w:szCs w:val="22"/>
              </w:rPr>
            </w:pPr>
            <w:r w:rsidRPr="009E1EA6">
              <w:rPr>
                <w:sz w:val="22"/>
                <w:szCs w:val="22"/>
              </w:rPr>
              <w:t>≤ 1</w:t>
            </w:r>
          </w:p>
        </w:tc>
        <w:tc>
          <w:tcPr>
            <w:tcW w:w="1032" w:type="dxa"/>
            <w:tcBorders>
              <w:top w:val="nil"/>
              <w:left w:val="single" w:sz="4" w:space="0" w:color="auto"/>
              <w:bottom w:val="nil"/>
              <w:right w:val="nil"/>
            </w:tcBorders>
            <w:shd w:val="clear" w:color="000000" w:fill="D9D9D9"/>
            <w:noWrap/>
            <w:vAlign w:val="bottom"/>
            <w:hideMark/>
          </w:tcPr>
          <w:p w14:paraId="16F24515" w14:textId="234951B6" w:rsidR="002C188A" w:rsidRPr="009E1EA6" w:rsidRDefault="00B74A7C" w:rsidP="00E26619">
            <w:pPr>
              <w:jc w:val="center"/>
              <w:rPr>
                <w:bCs/>
                <w:sz w:val="22"/>
                <w:szCs w:val="22"/>
              </w:rPr>
            </w:pPr>
            <w:r w:rsidRPr="009E1EA6">
              <w:rPr>
                <w:bCs/>
                <w:sz w:val="22"/>
                <w:szCs w:val="22"/>
              </w:rPr>
              <w:t>0.</w:t>
            </w:r>
            <w:r w:rsidR="00E26619" w:rsidRPr="009E1EA6">
              <w:rPr>
                <w:bCs/>
                <w:sz w:val="22"/>
                <w:szCs w:val="22"/>
              </w:rPr>
              <w:t>10</w:t>
            </w:r>
          </w:p>
        </w:tc>
        <w:tc>
          <w:tcPr>
            <w:tcW w:w="1149" w:type="dxa"/>
            <w:tcBorders>
              <w:top w:val="nil"/>
              <w:left w:val="single" w:sz="4" w:space="0" w:color="auto"/>
              <w:bottom w:val="nil"/>
              <w:right w:val="nil"/>
            </w:tcBorders>
            <w:shd w:val="clear" w:color="000000" w:fill="D9D9D9"/>
            <w:noWrap/>
            <w:vAlign w:val="bottom"/>
            <w:hideMark/>
          </w:tcPr>
          <w:p w14:paraId="6750E84E" w14:textId="77777777" w:rsidR="002C188A" w:rsidRPr="009E1EA6" w:rsidRDefault="00B74A7C" w:rsidP="002C188A">
            <w:pPr>
              <w:jc w:val="center"/>
              <w:rPr>
                <w:sz w:val="22"/>
                <w:szCs w:val="22"/>
              </w:rPr>
            </w:pPr>
            <w:r w:rsidRPr="009E1EA6">
              <w:rPr>
                <w:sz w:val="22"/>
                <w:szCs w:val="22"/>
              </w:rPr>
              <w:t>≤ 1</w:t>
            </w:r>
          </w:p>
        </w:tc>
        <w:tc>
          <w:tcPr>
            <w:tcW w:w="1845" w:type="dxa"/>
            <w:tcBorders>
              <w:top w:val="nil"/>
              <w:left w:val="nil"/>
              <w:bottom w:val="nil"/>
              <w:right w:val="single" w:sz="4" w:space="0" w:color="auto"/>
            </w:tcBorders>
            <w:shd w:val="clear" w:color="000000" w:fill="D9D9D9"/>
            <w:noWrap/>
            <w:vAlign w:val="bottom"/>
            <w:hideMark/>
          </w:tcPr>
          <w:p w14:paraId="25ECE296" w14:textId="77777777" w:rsidR="002C188A" w:rsidRPr="009E1EA6" w:rsidRDefault="00B74A7C" w:rsidP="002C188A">
            <w:pPr>
              <w:jc w:val="center"/>
              <w:rPr>
                <w:sz w:val="22"/>
                <w:szCs w:val="22"/>
              </w:rPr>
            </w:pPr>
            <w:r w:rsidRPr="009E1EA6">
              <w:rPr>
                <w:sz w:val="22"/>
                <w:szCs w:val="22"/>
              </w:rPr>
              <w:t>≤ 1</w:t>
            </w:r>
          </w:p>
        </w:tc>
      </w:tr>
      <w:tr w:rsidR="009E1EA6" w:rsidRPr="009E1EA6" w14:paraId="73A8DBAB"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7AC06142" w14:textId="77777777" w:rsidR="002C188A" w:rsidRPr="009E1EA6" w:rsidRDefault="002C188A" w:rsidP="002C188A">
            <w:pPr>
              <w:jc w:val="left"/>
              <w:rPr>
                <w:bCs/>
                <w:sz w:val="22"/>
                <w:szCs w:val="22"/>
              </w:rPr>
            </w:pPr>
          </w:p>
        </w:tc>
        <w:tc>
          <w:tcPr>
            <w:tcW w:w="1020" w:type="dxa"/>
            <w:tcBorders>
              <w:top w:val="nil"/>
              <w:left w:val="nil"/>
              <w:bottom w:val="single" w:sz="4" w:space="0" w:color="auto"/>
              <w:right w:val="nil"/>
            </w:tcBorders>
            <w:shd w:val="clear" w:color="000000" w:fill="D9D9D9"/>
            <w:noWrap/>
            <w:vAlign w:val="bottom"/>
            <w:hideMark/>
          </w:tcPr>
          <w:p w14:paraId="41601AE3" w14:textId="77777777" w:rsidR="002C188A" w:rsidRPr="009E1EA6" w:rsidRDefault="00B74A7C" w:rsidP="002C188A">
            <w:pPr>
              <w:jc w:val="center"/>
              <w:rPr>
                <w:bCs/>
                <w:sz w:val="22"/>
                <w:szCs w:val="22"/>
              </w:rPr>
            </w:pPr>
            <w:r w:rsidRPr="009E1EA6">
              <w:rPr>
                <w:bCs/>
                <w:sz w:val="22"/>
                <w:szCs w:val="22"/>
              </w:rPr>
              <w:t>0.40</w:t>
            </w:r>
          </w:p>
        </w:tc>
        <w:tc>
          <w:tcPr>
            <w:tcW w:w="1155" w:type="dxa"/>
            <w:tcBorders>
              <w:top w:val="nil"/>
              <w:left w:val="single" w:sz="4" w:space="0" w:color="auto"/>
              <w:bottom w:val="single" w:sz="4" w:space="0" w:color="auto"/>
              <w:right w:val="nil"/>
            </w:tcBorders>
            <w:shd w:val="clear" w:color="000000" w:fill="D9D9D9"/>
            <w:noWrap/>
            <w:vAlign w:val="bottom"/>
            <w:hideMark/>
          </w:tcPr>
          <w:p w14:paraId="1EF43E53" w14:textId="77777777" w:rsidR="002C188A" w:rsidRPr="009E1EA6" w:rsidRDefault="00B74A7C" w:rsidP="002C188A">
            <w:pPr>
              <w:jc w:val="center"/>
              <w:rPr>
                <w:sz w:val="22"/>
                <w:szCs w:val="22"/>
              </w:rPr>
            </w:pPr>
            <w:r w:rsidRPr="009E1EA6">
              <w:rPr>
                <w:sz w:val="22"/>
                <w:szCs w:val="22"/>
              </w:rPr>
              <w:t>≤ 1</w:t>
            </w:r>
          </w:p>
        </w:tc>
        <w:tc>
          <w:tcPr>
            <w:tcW w:w="1365" w:type="dxa"/>
            <w:tcBorders>
              <w:top w:val="nil"/>
              <w:left w:val="nil"/>
              <w:bottom w:val="single" w:sz="4" w:space="0" w:color="auto"/>
              <w:right w:val="nil"/>
            </w:tcBorders>
            <w:shd w:val="clear" w:color="000000" w:fill="D9D9D9"/>
            <w:noWrap/>
            <w:vAlign w:val="bottom"/>
            <w:hideMark/>
          </w:tcPr>
          <w:p w14:paraId="1B07B10C" w14:textId="77777777" w:rsidR="002C188A" w:rsidRPr="009E1EA6" w:rsidRDefault="00B74A7C" w:rsidP="002C188A">
            <w:pPr>
              <w:jc w:val="center"/>
              <w:rPr>
                <w:sz w:val="22"/>
                <w:szCs w:val="22"/>
              </w:rPr>
            </w:pPr>
            <w:r w:rsidRPr="009E1EA6">
              <w:rPr>
                <w:sz w:val="22"/>
                <w:szCs w:val="22"/>
              </w:rPr>
              <w:t>≤ 1</w:t>
            </w:r>
          </w:p>
        </w:tc>
        <w:tc>
          <w:tcPr>
            <w:tcW w:w="1032" w:type="dxa"/>
            <w:tcBorders>
              <w:top w:val="nil"/>
              <w:left w:val="single" w:sz="4" w:space="0" w:color="auto"/>
              <w:bottom w:val="single" w:sz="4" w:space="0" w:color="auto"/>
              <w:right w:val="nil"/>
            </w:tcBorders>
            <w:shd w:val="clear" w:color="000000" w:fill="D9D9D9"/>
            <w:noWrap/>
            <w:vAlign w:val="bottom"/>
            <w:hideMark/>
          </w:tcPr>
          <w:p w14:paraId="111FEA5C" w14:textId="4EC8F17B" w:rsidR="002C188A" w:rsidRPr="009E1EA6" w:rsidRDefault="00B74A7C" w:rsidP="00E26619">
            <w:pPr>
              <w:jc w:val="center"/>
              <w:rPr>
                <w:bCs/>
                <w:sz w:val="22"/>
                <w:szCs w:val="22"/>
              </w:rPr>
            </w:pPr>
            <w:r w:rsidRPr="009E1EA6">
              <w:rPr>
                <w:bCs/>
                <w:sz w:val="22"/>
                <w:szCs w:val="22"/>
              </w:rPr>
              <w:t>0.</w:t>
            </w:r>
            <w:r w:rsidR="00E26619" w:rsidRPr="009E1EA6">
              <w:rPr>
                <w:bCs/>
                <w:sz w:val="22"/>
                <w:szCs w:val="22"/>
              </w:rPr>
              <w:t>15</w:t>
            </w:r>
          </w:p>
        </w:tc>
        <w:tc>
          <w:tcPr>
            <w:tcW w:w="1149" w:type="dxa"/>
            <w:tcBorders>
              <w:top w:val="nil"/>
              <w:left w:val="single" w:sz="4" w:space="0" w:color="auto"/>
              <w:bottom w:val="single" w:sz="4" w:space="0" w:color="auto"/>
              <w:right w:val="nil"/>
            </w:tcBorders>
            <w:shd w:val="clear" w:color="000000" w:fill="D9D9D9"/>
            <w:noWrap/>
            <w:vAlign w:val="bottom"/>
            <w:hideMark/>
          </w:tcPr>
          <w:p w14:paraId="106E8C76" w14:textId="77777777" w:rsidR="002C188A" w:rsidRPr="009E1EA6" w:rsidRDefault="00B74A7C" w:rsidP="002C188A">
            <w:pPr>
              <w:jc w:val="center"/>
              <w:rPr>
                <w:sz w:val="22"/>
                <w:szCs w:val="22"/>
              </w:rPr>
            </w:pPr>
            <w:r w:rsidRPr="009E1EA6">
              <w:rPr>
                <w:sz w:val="22"/>
                <w:szCs w:val="22"/>
              </w:rPr>
              <w:t>≤ 1</w:t>
            </w:r>
          </w:p>
        </w:tc>
        <w:tc>
          <w:tcPr>
            <w:tcW w:w="1845" w:type="dxa"/>
            <w:tcBorders>
              <w:top w:val="nil"/>
              <w:left w:val="nil"/>
              <w:bottom w:val="single" w:sz="4" w:space="0" w:color="auto"/>
              <w:right w:val="single" w:sz="4" w:space="0" w:color="auto"/>
            </w:tcBorders>
            <w:shd w:val="clear" w:color="000000" w:fill="D9D9D9"/>
            <w:noWrap/>
            <w:vAlign w:val="bottom"/>
            <w:hideMark/>
          </w:tcPr>
          <w:p w14:paraId="7C0F57D1" w14:textId="77777777" w:rsidR="002C188A" w:rsidRPr="009E1EA6" w:rsidRDefault="00B74A7C" w:rsidP="002C188A">
            <w:pPr>
              <w:jc w:val="center"/>
              <w:rPr>
                <w:sz w:val="22"/>
                <w:szCs w:val="22"/>
              </w:rPr>
            </w:pPr>
            <w:r w:rsidRPr="009E1EA6">
              <w:rPr>
                <w:sz w:val="22"/>
                <w:szCs w:val="22"/>
              </w:rPr>
              <w:t>≤ 1</w:t>
            </w:r>
          </w:p>
        </w:tc>
      </w:tr>
    </w:tbl>
    <w:p w14:paraId="30001AF2" w14:textId="77777777" w:rsidR="00163C38" w:rsidRPr="009E1EA6" w:rsidRDefault="00163C38" w:rsidP="00163C38">
      <w:pPr>
        <w:pStyle w:val="Textoindependiente"/>
        <w:ind w:firstLine="0"/>
      </w:pPr>
    </w:p>
    <w:p w14:paraId="0F167814" w14:textId="77777777" w:rsidR="00163C38" w:rsidRPr="009E1EA6" w:rsidRDefault="00B74A7C" w:rsidP="00163C38">
      <w:pPr>
        <w:pStyle w:val="Textoindependiente"/>
        <w:ind w:firstLine="0"/>
        <w:rPr>
          <w:sz w:val="22"/>
        </w:rPr>
      </w:pPr>
      <w:r w:rsidRPr="009E1EA6">
        <w:rPr>
          <w:b/>
          <w:sz w:val="22"/>
        </w:rPr>
        <w:t>Table B3.</w:t>
      </w:r>
      <w:r w:rsidR="00997C14" w:rsidRPr="009E1EA6">
        <w:rPr>
          <w:sz w:val="22"/>
        </w:rPr>
        <w:t xml:space="preserve"> D</w:t>
      </w:r>
      <w:r w:rsidR="00997C14" w:rsidRPr="009E1EA6">
        <w:rPr>
          <w:sz w:val="22"/>
          <w:vertAlign w:val="subscript"/>
        </w:rPr>
        <w:t>1000</w:t>
      </w:r>
      <w:r w:rsidR="00997C14" w:rsidRPr="009E1EA6">
        <w:rPr>
          <w:sz w:val="22"/>
        </w:rPr>
        <w:t xml:space="preserve"> and D</w:t>
      </w:r>
      <w:r w:rsidR="00997C14" w:rsidRPr="009E1EA6">
        <w:rPr>
          <w:sz w:val="22"/>
          <w:vertAlign w:val="subscript"/>
        </w:rPr>
        <w:t>10000</w:t>
      </w:r>
      <w:r w:rsidRPr="009E1EA6">
        <w:rPr>
          <w:sz w:val="22"/>
        </w:rPr>
        <w:t xml:space="preserve"> (cm) values computed for viscous and SCSS isolated blocks</w:t>
      </w:r>
    </w:p>
    <w:tbl>
      <w:tblPr>
        <w:tblW w:w="8926" w:type="dxa"/>
        <w:tblLook w:val="04A0" w:firstRow="1" w:lastRow="0" w:firstColumn="1" w:lastColumn="0" w:noHBand="0" w:noVBand="1"/>
      </w:tblPr>
      <w:tblGrid>
        <w:gridCol w:w="1360"/>
        <w:gridCol w:w="864"/>
        <w:gridCol w:w="1227"/>
        <w:gridCol w:w="1450"/>
        <w:gridCol w:w="864"/>
        <w:gridCol w:w="1227"/>
        <w:gridCol w:w="1934"/>
      </w:tblGrid>
      <w:tr w:rsidR="009E1EA6" w:rsidRPr="009E1EA6" w14:paraId="47AF5988" w14:textId="77777777" w:rsidTr="00872E03">
        <w:trPr>
          <w:trHeight w:val="290"/>
        </w:trPr>
        <w:tc>
          <w:tcPr>
            <w:tcW w:w="13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6C0959A6" w14:textId="77777777" w:rsidR="00AC3587" w:rsidRPr="009E1EA6" w:rsidRDefault="00B74A7C" w:rsidP="00AC3587">
            <w:pPr>
              <w:jc w:val="center"/>
              <w:rPr>
                <w:bCs/>
                <w:sz w:val="22"/>
                <w:szCs w:val="22"/>
              </w:rPr>
            </w:pPr>
            <w:r w:rsidRPr="009E1EA6">
              <w:rPr>
                <w:bCs/>
                <w:sz w:val="22"/>
                <w:szCs w:val="22"/>
              </w:rPr>
              <w:t>Site Location</w:t>
            </w:r>
          </w:p>
        </w:tc>
        <w:tc>
          <w:tcPr>
            <w:tcW w:w="3541" w:type="dxa"/>
            <w:gridSpan w:val="3"/>
            <w:tcBorders>
              <w:top w:val="single" w:sz="4" w:space="0" w:color="auto"/>
              <w:left w:val="nil"/>
              <w:bottom w:val="nil"/>
              <w:right w:val="nil"/>
            </w:tcBorders>
            <w:shd w:val="clear" w:color="auto" w:fill="auto"/>
            <w:noWrap/>
            <w:vAlign w:val="bottom"/>
            <w:hideMark/>
          </w:tcPr>
          <w:p w14:paraId="3DC132F6" w14:textId="785456BE" w:rsidR="00AC3587" w:rsidRPr="009E1EA6" w:rsidRDefault="00B74A7C" w:rsidP="00887F79">
            <w:pPr>
              <w:jc w:val="center"/>
              <w:rPr>
                <w:bCs/>
                <w:sz w:val="22"/>
                <w:szCs w:val="22"/>
              </w:rPr>
            </w:pPr>
            <w:r w:rsidRPr="009E1EA6">
              <w:rPr>
                <w:bCs/>
                <w:sz w:val="22"/>
                <w:szCs w:val="22"/>
                <w:lang w:eastAsia="es-CL"/>
              </w:rPr>
              <w:t>Viscous (</w:t>
            </w:r>
            <m:oMath>
              <m:sSub>
                <m:sSubPr>
                  <m:ctrlPr>
                    <w:rPr>
                      <w:rFonts w:ascii="Cambria Math" w:hAnsi="Cambria Math"/>
                      <w:bCs/>
                      <w:i/>
                      <w:sz w:val="22"/>
                      <w:szCs w:val="22"/>
                      <w:lang w:eastAsia="es-CL"/>
                    </w:rPr>
                  </m:ctrlPr>
                </m:sSubPr>
                <m:e>
                  <m:r>
                    <w:rPr>
                      <w:rFonts w:ascii="Cambria Math" w:hAnsi="Cambria Math"/>
                      <w:sz w:val="22"/>
                      <w:szCs w:val="22"/>
                      <w:lang w:eastAsia="es-CL"/>
                    </w:rPr>
                    <m:t>T</m:t>
                  </m:r>
                </m:e>
                <m:sub>
                  <m:r>
                    <w:rPr>
                      <w:rFonts w:ascii="Cambria Math" w:hAnsi="Cambria Math"/>
                      <w:sz w:val="22"/>
                      <w:szCs w:val="22"/>
                      <w:lang w:eastAsia="es-CL"/>
                    </w:rPr>
                    <m:t>b</m:t>
                  </m:r>
                </m:sub>
              </m:sSub>
              <m:r>
                <w:rPr>
                  <w:rFonts w:ascii="Cambria Math" w:hAnsi="Cambria Math"/>
                  <w:sz w:val="22"/>
                  <w:szCs w:val="22"/>
                  <w:lang w:eastAsia="es-CL"/>
                </w:rPr>
                <m:t xml:space="preserve">=1 s, </m:t>
              </m:r>
              <m:sSub>
                <m:sSubPr>
                  <m:ctrlPr>
                    <w:rPr>
                      <w:rFonts w:ascii="Cambria Math" w:hAnsi="Cambria Math"/>
                      <w:bCs/>
                      <w:i/>
                      <w:sz w:val="22"/>
                      <w:szCs w:val="22"/>
                      <w:lang w:eastAsia="es-CL"/>
                    </w:rPr>
                  </m:ctrlPr>
                </m:sSubPr>
                <m:e>
                  <m:r>
                    <w:rPr>
                      <w:rFonts w:ascii="Cambria Math" w:hAnsi="Cambria Math"/>
                      <w:sz w:val="22"/>
                      <w:szCs w:val="22"/>
                      <w:lang w:eastAsia="es-CL"/>
                    </w:rPr>
                    <m:t>ξ</m:t>
                  </m:r>
                </m:e>
                <m:sub>
                  <m:r>
                    <w:rPr>
                      <w:rFonts w:ascii="Cambria Math" w:hAnsi="Cambria Math"/>
                      <w:sz w:val="22"/>
                      <w:szCs w:val="22"/>
                      <w:lang w:eastAsia="es-CL"/>
                    </w:rPr>
                    <m:t>b</m:t>
                  </m:r>
                </m:sub>
              </m:sSub>
              <m:r>
                <w:rPr>
                  <w:rFonts w:ascii="Cambria Math" w:hAnsi="Cambria Math"/>
                  <w:sz w:val="22"/>
                  <w:szCs w:val="22"/>
                  <w:lang w:eastAsia="es-CL"/>
                </w:rPr>
                <m:t>=0.25</m:t>
              </m:r>
            </m:oMath>
            <w:r w:rsidRPr="009E1EA6">
              <w:rPr>
                <w:bCs/>
                <w:sz w:val="22"/>
                <w:szCs w:val="22"/>
                <w:lang w:eastAsia="es-CL"/>
              </w:rPr>
              <w:t>)</w:t>
            </w:r>
          </w:p>
        </w:tc>
        <w:tc>
          <w:tcPr>
            <w:tcW w:w="4025"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37CCD25F" w14:textId="36414390" w:rsidR="00AC3587" w:rsidRPr="009E1EA6" w:rsidRDefault="00B74A7C" w:rsidP="00887F79">
            <w:pPr>
              <w:jc w:val="center"/>
              <w:rPr>
                <w:bCs/>
                <w:sz w:val="22"/>
                <w:szCs w:val="22"/>
              </w:rPr>
            </w:pPr>
            <w:r w:rsidRPr="009E1EA6">
              <w:rPr>
                <w:bCs/>
                <w:sz w:val="22"/>
                <w:szCs w:val="22"/>
                <w:lang w:eastAsia="es-CL"/>
              </w:rPr>
              <w:t>Viscous (</w:t>
            </w:r>
            <m:oMath>
              <m:sSub>
                <m:sSubPr>
                  <m:ctrlPr>
                    <w:rPr>
                      <w:rFonts w:ascii="Cambria Math" w:hAnsi="Cambria Math"/>
                      <w:bCs/>
                      <w:i/>
                      <w:sz w:val="22"/>
                      <w:szCs w:val="22"/>
                      <w:lang w:eastAsia="es-CL"/>
                    </w:rPr>
                  </m:ctrlPr>
                </m:sSubPr>
                <m:e>
                  <m:r>
                    <w:rPr>
                      <w:rFonts w:ascii="Cambria Math" w:hAnsi="Cambria Math"/>
                      <w:sz w:val="22"/>
                      <w:szCs w:val="22"/>
                      <w:lang w:eastAsia="es-CL"/>
                    </w:rPr>
                    <m:t>T</m:t>
                  </m:r>
                </m:e>
                <m:sub>
                  <m:r>
                    <w:rPr>
                      <w:rFonts w:ascii="Cambria Math" w:hAnsi="Cambria Math"/>
                      <w:sz w:val="22"/>
                      <w:szCs w:val="22"/>
                      <w:lang w:eastAsia="es-CL"/>
                    </w:rPr>
                    <m:t>b</m:t>
                  </m:r>
                </m:sub>
              </m:sSub>
              <m:r>
                <w:rPr>
                  <w:rFonts w:ascii="Cambria Math" w:hAnsi="Cambria Math"/>
                  <w:sz w:val="22"/>
                  <w:szCs w:val="22"/>
                  <w:lang w:eastAsia="es-CL"/>
                </w:rPr>
                <m:t xml:space="preserve">=2 s, </m:t>
              </m:r>
              <m:sSub>
                <m:sSubPr>
                  <m:ctrlPr>
                    <w:rPr>
                      <w:rFonts w:ascii="Cambria Math" w:hAnsi="Cambria Math"/>
                      <w:bCs/>
                      <w:i/>
                      <w:sz w:val="22"/>
                      <w:szCs w:val="22"/>
                      <w:lang w:eastAsia="es-CL"/>
                    </w:rPr>
                  </m:ctrlPr>
                </m:sSubPr>
                <m:e>
                  <m:r>
                    <w:rPr>
                      <w:rFonts w:ascii="Cambria Math" w:hAnsi="Cambria Math"/>
                      <w:sz w:val="22"/>
                      <w:szCs w:val="22"/>
                      <w:lang w:eastAsia="es-CL"/>
                    </w:rPr>
                    <m:t>ξ</m:t>
                  </m:r>
                </m:e>
                <m:sub>
                  <m:r>
                    <w:rPr>
                      <w:rFonts w:ascii="Cambria Math" w:hAnsi="Cambria Math"/>
                      <w:sz w:val="22"/>
                      <w:szCs w:val="22"/>
                      <w:lang w:eastAsia="es-CL"/>
                    </w:rPr>
                    <m:t>b</m:t>
                  </m:r>
                </m:sub>
              </m:sSub>
              <m:r>
                <w:rPr>
                  <w:rFonts w:ascii="Cambria Math" w:hAnsi="Cambria Math"/>
                  <w:sz w:val="22"/>
                  <w:szCs w:val="22"/>
                  <w:lang w:eastAsia="es-CL"/>
                </w:rPr>
                <m:t>=0.25</m:t>
              </m:r>
            </m:oMath>
            <w:r w:rsidRPr="009E1EA6">
              <w:rPr>
                <w:bCs/>
                <w:sz w:val="22"/>
                <w:szCs w:val="22"/>
                <w:lang w:eastAsia="es-CL"/>
              </w:rPr>
              <w:t>)</w:t>
            </w:r>
          </w:p>
        </w:tc>
      </w:tr>
      <w:tr w:rsidR="009E1EA6" w:rsidRPr="009E1EA6" w14:paraId="38E69D6D" w14:textId="77777777" w:rsidTr="00872E03">
        <w:trPr>
          <w:trHeight w:val="290"/>
        </w:trPr>
        <w:tc>
          <w:tcPr>
            <w:tcW w:w="1360" w:type="dxa"/>
            <w:vMerge/>
            <w:tcBorders>
              <w:top w:val="single" w:sz="4" w:space="0" w:color="auto"/>
              <w:left w:val="single" w:sz="4" w:space="0" w:color="auto"/>
              <w:bottom w:val="nil"/>
              <w:right w:val="single" w:sz="4" w:space="0" w:color="auto"/>
            </w:tcBorders>
            <w:vAlign w:val="center"/>
            <w:hideMark/>
          </w:tcPr>
          <w:p w14:paraId="2D0A9A23" w14:textId="77777777" w:rsidR="00F005E1" w:rsidRPr="009E1EA6" w:rsidRDefault="00F005E1" w:rsidP="00F005E1">
            <w:pPr>
              <w:jc w:val="left"/>
              <w:rPr>
                <w:bCs/>
                <w:sz w:val="22"/>
                <w:szCs w:val="22"/>
              </w:rPr>
            </w:pPr>
          </w:p>
        </w:tc>
        <w:tc>
          <w:tcPr>
            <w:tcW w:w="864" w:type="dxa"/>
            <w:tcBorders>
              <w:top w:val="nil"/>
              <w:left w:val="nil"/>
              <w:bottom w:val="nil"/>
              <w:right w:val="nil"/>
            </w:tcBorders>
            <w:shd w:val="clear" w:color="auto" w:fill="auto"/>
            <w:noWrap/>
            <w:vAlign w:val="bottom"/>
            <w:hideMark/>
          </w:tcPr>
          <w:p w14:paraId="0AC8017E" w14:textId="63B3B1F3"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227" w:type="dxa"/>
            <w:tcBorders>
              <w:top w:val="nil"/>
              <w:left w:val="nil"/>
              <w:bottom w:val="nil"/>
              <w:right w:val="nil"/>
            </w:tcBorders>
            <w:shd w:val="clear" w:color="auto" w:fill="auto"/>
            <w:noWrap/>
            <w:vAlign w:val="bottom"/>
            <w:hideMark/>
          </w:tcPr>
          <w:p w14:paraId="35EDEAE8" w14:textId="60A00831"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450" w:type="dxa"/>
            <w:tcBorders>
              <w:top w:val="nil"/>
              <w:left w:val="nil"/>
              <w:bottom w:val="nil"/>
              <w:right w:val="nil"/>
            </w:tcBorders>
            <w:shd w:val="clear" w:color="auto" w:fill="auto"/>
            <w:noWrap/>
            <w:vAlign w:val="bottom"/>
            <w:hideMark/>
          </w:tcPr>
          <w:p w14:paraId="03599F9A" w14:textId="6F65F6AF"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c>
          <w:tcPr>
            <w:tcW w:w="864" w:type="dxa"/>
            <w:tcBorders>
              <w:top w:val="nil"/>
              <w:left w:val="single" w:sz="4" w:space="0" w:color="auto"/>
              <w:bottom w:val="nil"/>
              <w:right w:val="nil"/>
            </w:tcBorders>
            <w:shd w:val="clear" w:color="auto" w:fill="auto"/>
            <w:noWrap/>
            <w:vAlign w:val="bottom"/>
            <w:hideMark/>
          </w:tcPr>
          <w:p w14:paraId="204C77D7" w14:textId="28B67F9A"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227" w:type="dxa"/>
            <w:tcBorders>
              <w:top w:val="nil"/>
              <w:left w:val="nil"/>
              <w:bottom w:val="nil"/>
              <w:right w:val="nil"/>
            </w:tcBorders>
            <w:shd w:val="clear" w:color="auto" w:fill="auto"/>
            <w:noWrap/>
            <w:vAlign w:val="bottom"/>
            <w:hideMark/>
          </w:tcPr>
          <w:p w14:paraId="309E42FB" w14:textId="45D14AEB"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934" w:type="dxa"/>
            <w:tcBorders>
              <w:top w:val="nil"/>
              <w:left w:val="nil"/>
              <w:bottom w:val="nil"/>
              <w:right w:val="single" w:sz="4" w:space="0" w:color="auto"/>
            </w:tcBorders>
            <w:shd w:val="clear" w:color="auto" w:fill="auto"/>
            <w:noWrap/>
            <w:vAlign w:val="bottom"/>
            <w:hideMark/>
          </w:tcPr>
          <w:p w14:paraId="427C62C9" w14:textId="2870B704"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r>
      <w:tr w:rsidR="009E1EA6" w:rsidRPr="009E1EA6" w14:paraId="5382786E" w14:textId="77777777" w:rsidTr="00872E03">
        <w:trPr>
          <w:trHeight w:val="290"/>
        </w:trPr>
        <w:tc>
          <w:tcPr>
            <w:tcW w:w="136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0232215D" w14:textId="77777777" w:rsidR="00AC3587" w:rsidRPr="009E1EA6" w:rsidRDefault="00B74A7C" w:rsidP="00AC3587">
            <w:pPr>
              <w:jc w:val="center"/>
              <w:rPr>
                <w:bCs/>
                <w:sz w:val="22"/>
                <w:szCs w:val="22"/>
              </w:rPr>
            </w:pPr>
            <w:r w:rsidRPr="009E1EA6">
              <w:rPr>
                <w:bCs/>
                <w:sz w:val="22"/>
                <w:szCs w:val="22"/>
              </w:rPr>
              <w:t>Near Source</w:t>
            </w:r>
          </w:p>
        </w:tc>
        <w:tc>
          <w:tcPr>
            <w:tcW w:w="864" w:type="dxa"/>
            <w:tcBorders>
              <w:top w:val="single" w:sz="4" w:space="0" w:color="auto"/>
              <w:left w:val="nil"/>
              <w:bottom w:val="nil"/>
              <w:right w:val="nil"/>
            </w:tcBorders>
            <w:shd w:val="clear" w:color="000000" w:fill="FFFFFF"/>
            <w:noWrap/>
            <w:vAlign w:val="bottom"/>
            <w:hideMark/>
          </w:tcPr>
          <w:p w14:paraId="58369A31"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FFFFFF"/>
            <w:noWrap/>
            <w:vAlign w:val="bottom"/>
            <w:hideMark/>
          </w:tcPr>
          <w:p w14:paraId="41C6267D" w14:textId="77777777" w:rsidR="00AC3587" w:rsidRPr="009E1EA6" w:rsidRDefault="00B74A7C" w:rsidP="00AC3587">
            <w:pPr>
              <w:jc w:val="center"/>
              <w:rPr>
                <w:sz w:val="22"/>
                <w:szCs w:val="22"/>
              </w:rPr>
            </w:pPr>
            <w:r w:rsidRPr="009E1EA6">
              <w:rPr>
                <w:sz w:val="22"/>
                <w:szCs w:val="22"/>
              </w:rPr>
              <w:t>29</w:t>
            </w:r>
          </w:p>
        </w:tc>
        <w:tc>
          <w:tcPr>
            <w:tcW w:w="1450" w:type="dxa"/>
            <w:tcBorders>
              <w:top w:val="single" w:sz="4" w:space="0" w:color="auto"/>
              <w:left w:val="nil"/>
              <w:bottom w:val="nil"/>
              <w:right w:val="nil"/>
            </w:tcBorders>
            <w:shd w:val="clear" w:color="000000" w:fill="FFFFFF"/>
            <w:noWrap/>
            <w:vAlign w:val="bottom"/>
            <w:hideMark/>
          </w:tcPr>
          <w:p w14:paraId="69BF6E56" w14:textId="77777777" w:rsidR="00AC3587" w:rsidRPr="009E1EA6" w:rsidRDefault="00B74A7C" w:rsidP="00AC3587">
            <w:pPr>
              <w:jc w:val="center"/>
              <w:rPr>
                <w:sz w:val="22"/>
                <w:szCs w:val="22"/>
              </w:rPr>
            </w:pPr>
            <w:r w:rsidRPr="009E1EA6">
              <w:rPr>
                <w:sz w:val="22"/>
                <w:szCs w:val="22"/>
              </w:rPr>
              <w:t>70</w:t>
            </w:r>
          </w:p>
        </w:tc>
        <w:tc>
          <w:tcPr>
            <w:tcW w:w="864" w:type="dxa"/>
            <w:tcBorders>
              <w:top w:val="single" w:sz="4" w:space="0" w:color="auto"/>
              <w:left w:val="single" w:sz="4" w:space="0" w:color="auto"/>
              <w:bottom w:val="nil"/>
              <w:right w:val="nil"/>
            </w:tcBorders>
            <w:shd w:val="clear" w:color="000000" w:fill="FFFFFF"/>
            <w:noWrap/>
            <w:vAlign w:val="bottom"/>
            <w:hideMark/>
          </w:tcPr>
          <w:p w14:paraId="6FF8CCC7"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FFFFFF"/>
            <w:noWrap/>
            <w:vAlign w:val="bottom"/>
            <w:hideMark/>
          </w:tcPr>
          <w:p w14:paraId="36D4F1F1" w14:textId="77777777" w:rsidR="00AC3587" w:rsidRPr="009E1EA6" w:rsidRDefault="00B74A7C" w:rsidP="00AC3587">
            <w:pPr>
              <w:jc w:val="center"/>
              <w:rPr>
                <w:sz w:val="22"/>
                <w:szCs w:val="22"/>
              </w:rPr>
            </w:pPr>
            <w:r w:rsidRPr="009E1EA6">
              <w:rPr>
                <w:sz w:val="22"/>
                <w:szCs w:val="22"/>
              </w:rPr>
              <w:t>19</w:t>
            </w:r>
          </w:p>
        </w:tc>
        <w:tc>
          <w:tcPr>
            <w:tcW w:w="1934" w:type="dxa"/>
            <w:tcBorders>
              <w:top w:val="single" w:sz="4" w:space="0" w:color="auto"/>
              <w:left w:val="nil"/>
              <w:bottom w:val="nil"/>
              <w:right w:val="single" w:sz="4" w:space="0" w:color="auto"/>
            </w:tcBorders>
            <w:shd w:val="clear" w:color="000000" w:fill="FFFFFF"/>
            <w:noWrap/>
            <w:vAlign w:val="bottom"/>
            <w:hideMark/>
          </w:tcPr>
          <w:p w14:paraId="225289F0" w14:textId="77777777" w:rsidR="00AC3587" w:rsidRPr="009E1EA6" w:rsidRDefault="00B74A7C" w:rsidP="00AC3587">
            <w:pPr>
              <w:jc w:val="center"/>
              <w:rPr>
                <w:sz w:val="22"/>
                <w:szCs w:val="22"/>
              </w:rPr>
            </w:pPr>
            <w:r w:rsidRPr="009E1EA6">
              <w:rPr>
                <w:sz w:val="22"/>
                <w:szCs w:val="22"/>
              </w:rPr>
              <w:t>81</w:t>
            </w:r>
          </w:p>
        </w:tc>
      </w:tr>
      <w:tr w:rsidR="009E1EA6" w:rsidRPr="009E1EA6" w14:paraId="0BD974B0"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4F52EF4C" w14:textId="77777777" w:rsidR="00AC3587" w:rsidRPr="009E1EA6" w:rsidRDefault="00AC3587" w:rsidP="00AC3587">
            <w:pPr>
              <w:jc w:val="left"/>
              <w:rPr>
                <w:bCs/>
                <w:sz w:val="22"/>
                <w:szCs w:val="22"/>
              </w:rPr>
            </w:pPr>
          </w:p>
        </w:tc>
        <w:tc>
          <w:tcPr>
            <w:tcW w:w="864" w:type="dxa"/>
            <w:tcBorders>
              <w:top w:val="nil"/>
              <w:left w:val="nil"/>
              <w:bottom w:val="nil"/>
              <w:right w:val="nil"/>
            </w:tcBorders>
            <w:shd w:val="clear" w:color="000000" w:fill="FFFFFF"/>
            <w:noWrap/>
            <w:vAlign w:val="bottom"/>
            <w:hideMark/>
          </w:tcPr>
          <w:p w14:paraId="3BB3208F"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FFFFFF"/>
            <w:noWrap/>
            <w:vAlign w:val="bottom"/>
            <w:hideMark/>
          </w:tcPr>
          <w:p w14:paraId="61F4E1A4" w14:textId="77777777" w:rsidR="00AC3587" w:rsidRPr="009E1EA6" w:rsidRDefault="00B74A7C" w:rsidP="00AC3587">
            <w:pPr>
              <w:jc w:val="center"/>
              <w:rPr>
                <w:sz w:val="22"/>
                <w:szCs w:val="22"/>
              </w:rPr>
            </w:pPr>
            <w:r w:rsidRPr="009E1EA6">
              <w:rPr>
                <w:sz w:val="22"/>
                <w:szCs w:val="22"/>
              </w:rPr>
              <w:t>20</w:t>
            </w:r>
          </w:p>
        </w:tc>
        <w:tc>
          <w:tcPr>
            <w:tcW w:w="1450" w:type="dxa"/>
            <w:tcBorders>
              <w:top w:val="nil"/>
              <w:left w:val="nil"/>
              <w:bottom w:val="nil"/>
              <w:right w:val="nil"/>
            </w:tcBorders>
            <w:shd w:val="clear" w:color="000000" w:fill="FFFFFF"/>
            <w:noWrap/>
            <w:vAlign w:val="bottom"/>
            <w:hideMark/>
          </w:tcPr>
          <w:p w14:paraId="0A814CAA" w14:textId="77777777" w:rsidR="00AC3587" w:rsidRPr="009E1EA6" w:rsidRDefault="00B74A7C" w:rsidP="00AC3587">
            <w:pPr>
              <w:jc w:val="center"/>
              <w:rPr>
                <w:sz w:val="22"/>
                <w:szCs w:val="22"/>
              </w:rPr>
            </w:pPr>
            <w:r w:rsidRPr="009E1EA6">
              <w:rPr>
                <w:sz w:val="22"/>
                <w:szCs w:val="22"/>
              </w:rPr>
              <w:t>63</w:t>
            </w:r>
          </w:p>
        </w:tc>
        <w:tc>
          <w:tcPr>
            <w:tcW w:w="864" w:type="dxa"/>
            <w:tcBorders>
              <w:top w:val="nil"/>
              <w:left w:val="single" w:sz="4" w:space="0" w:color="auto"/>
              <w:bottom w:val="nil"/>
              <w:right w:val="nil"/>
            </w:tcBorders>
            <w:shd w:val="clear" w:color="000000" w:fill="FFFFFF"/>
            <w:noWrap/>
            <w:vAlign w:val="bottom"/>
            <w:hideMark/>
          </w:tcPr>
          <w:p w14:paraId="1D66C172"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FFFFFF"/>
            <w:noWrap/>
            <w:vAlign w:val="bottom"/>
            <w:hideMark/>
          </w:tcPr>
          <w:p w14:paraId="0A17E1EC" w14:textId="77777777" w:rsidR="00AC3587" w:rsidRPr="009E1EA6" w:rsidRDefault="00B74A7C" w:rsidP="00AC3587">
            <w:pPr>
              <w:jc w:val="center"/>
              <w:rPr>
                <w:sz w:val="22"/>
                <w:szCs w:val="22"/>
              </w:rPr>
            </w:pPr>
            <w:r w:rsidRPr="009E1EA6">
              <w:rPr>
                <w:sz w:val="22"/>
                <w:szCs w:val="22"/>
              </w:rPr>
              <w:t>6.8</w:t>
            </w:r>
          </w:p>
        </w:tc>
        <w:tc>
          <w:tcPr>
            <w:tcW w:w="1934" w:type="dxa"/>
            <w:tcBorders>
              <w:top w:val="nil"/>
              <w:left w:val="nil"/>
              <w:bottom w:val="nil"/>
              <w:right w:val="single" w:sz="4" w:space="0" w:color="auto"/>
            </w:tcBorders>
            <w:shd w:val="clear" w:color="000000" w:fill="FFFFFF"/>
            <w:noWrap/>
            <w:vAlign w:val="bottom"/>
            <w:hideMark/>
          </w:tcPr>
          <w:p w14:paraId="5142D45A" w14:textId="77777777" w:rsidR="00AC3587" w:rsidRPr="009E1EA6" w:rsidRDefault="00B74A7C" w:rsidP="00AC3587">
            <w:pPr>
              <w:jc w:val="center"/>
              <w:rPr>
                <w:sz w:val="22"/>
                <w:szCs w:val="22"/>
              </w:rPr>
            </w:pPr>
            <w:r w:rsidRPr="009E1EA6">
              <w:rPr>
                <w:sz w:val="22"/>
                <w:szCs w:val="22"/>
              </w:rPr>
              <w:t>56</w:t>
            </w:r>
          </w:p>
        </w:tc>
      </w:tr>
      <w:tr w:rsidR="009E1EA6" w:rsidRPr="009E1EA6" w14:paraId="0D6C53D9"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305E3E4F" w14:textId="77777777" w:rsidR="00AC3587" w:rsidRPr="009E1EA6" w:rsidRDefault="00AC3587" w:rsidP="00AC3587">
            <w:pPr>
              <w:jc w:val="left"/>
              <w:rPr>
                <w:bCs/>
                <w:sz w:val="22"/>
                <w:szCs w:val="22"/>
              </w:rPr>
            </w:pPr>
          </w:p>
        </w:tc>
        <w:tc>
          <w:tcPr>
            <w:tcW w:w="864" w:type="dxa"/>
            <w:tcBorders>
              <w:top w:val="nil"/>
              <w:left w:val="nil"/>
              <w:bottom w:val="single" w:sz="4" w:space="0" w:color="auto"/>
              <w:right w:val="nil"/>
            </w:tcBorders>
            <w:shd w:val="clear" w:color="000000" w:fill="FFFFFF"/>
            <w:noWrap/>
            <w:vAlign w:val="bottom"/>
            <w:hideMark/>
          </w:tcPr>
          <w:p w14:paraId="2A892349"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nil"/>
              <w:right w:val="nil"/>
            </w:tcBorders>
            <w:shd w:val="clear" w:color="000000" w:fill="FFFFFF"/>
            <w:noWrap/>
            <w:vAlign w:val="bottom"/>
            <w:hideMark/>
          </w:tcPr>
          <w:p w14:paraId="6A1B5F0A" w14:textId="77777777" w:rsidR="00AC3587" w:rsidRPr="009E1EA6" w:rsidRDefault="00B74A7C" w:rsidP="00AC3587">
            <w:pPr>
              <w:jc w:val="center"/>
              <w:rPr>
                <w:sz w:val="22"/>
                <w:szCs w:val="22"/>
              </w:rPr>
            </w:pPr>
            <w:r w:rsidRPr="009E1EA6">
              <w:rPr>
                <w:sz w:val="22"/>
                <w:szCs w:val="22"/>
              </w:rPr>
              <w:t>12</w:t>
            </w:r>
          </w:p>
        </w:tc>
        <w:tc>
          <w:tcPr>
            <w:tcW w:w="1450" w:type="dxa"/>
            <w:tcBorders>
              <w:top w:val="nil"/>
              <w:left w:val="nil"/>
              <w:bottom w:val="nil"/>
              <w:right w:val="nil"/>
            </w:tcBorders>
            <w:shd w:val="clear" w:color="000000" w:fill="FFFFFF"/>
            <w:noWrap/>
            <w:vAlign w:val="bottom"/>
            <w:hideMark/>
          </w:tcPr>
          <w:p w14:paraId="3719F353" w14:textId="77777777" w:rsidR="00AC3587" w:rsidRPr="009E1EA6" w:rsidRDefault="00B74A7C" w:rsidP="00AC3587">
            <w:pPr>
              <w:jc w:val="center"/>
              <w:rPr>
                <w:sz w:val="22"/>
                <w:szCs w:val="22"/>
              </w:rPr>
            </w:pPr>
            <w:r w:rsidRPr="009E1EA6">
              <w:rPr>
                <w:sz w:val="22"/>
                <w:szCs w:val="22"/>
              </w:rPr>
              <w:t>53</w:t>
            </w:r>
          </w:p>
        </w:tc>
        <w:tc>
          <w:tcPr>
            <w:tcW w:w="864" w:type="dxa"/>
            <w:tcBorders>
              <w:top w:val="nil"/>
              <w:left w:val="single" w:sz="4" w:space="0" w:color="auto"/>
              <w:bottom w:val="single" w:sz="4" w:space="0" w:color="auto"/>
              <w:right w:val="nil"/>
            </w:tcBorders>
            <w:shd w:val="clear" w:color="000000" w:fill="FFFFFF"/>
            <w:noWrap/>
            <w:vAlign w:val="bottom"/>
            <w:hideMark/>
          </w:tcPr>
          <w:p w14:paraId="7998982E"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FFFFFF"/>
            <w:noWrap/>
            <w:vAlign w:val="bottom"/>
            <w:hideMark/>
          </w:tcPr>
          <w:p w14:paraId="6E132587" w14:textId="77777777" w:rsidR="00AC3587" w:rsidRPr="009E1EA6" w:rsidRDefault="00B74A7C" w:rsidP="00AC3587">
            <w:pPr>
              <w:jc w:val="center"/>
              <w:rPr>
                <w:sz w:val="22"/>
                <w:szCs w:val="22"/>
              </w:rPr>
            </w:pPr>
            <w:r w:rsidRPr="009E1EA6">
              <w:rPr>
                <w:sz w:val="22"/>
                <w:szCs w:val="22"/>
              </w:rPr>
              <w:t>≤ 1</w:t>
            </w:r>
          </w:p>
        </w:tc>
        <w:tc>
          <w:tcPr>
            <w:tcW w:w="1934" w:type="dxa"/>
            <w:tcBorders>
              <w:top w:val="nil"/>
              <w:left w:val="nil"/>
              <w:bottom w:val="single" w:sz="4" w:space="0" w:color="auto"/>
              <w:right w:val="single" w:sz="4" w:space="0" w:color="auto"/>
            </w:tcBorders>
            <w:shd w:val="clear" w:color="000000" w:fill="FFFFFF"/>
            <w:noWrap/>
            <w:vAlign w:val="bottom"/>
            <w:hideMark/>
          </w:tcPr>
          <w:p w14:paraId="6F939FF4" w14:textId="77777777" w:rsidR="00AC3587" w:rsidRPr="009E1EA6" w:rsidRDefault="00B74A7C" w:rsidP="00AC3587">
            <w:pPr>
              <w:jc w:val="center"/>
              <w:rPr>
                <w:sz w:val="22"/>
                <w:szCs w:val="22"/>
              </w:rPr>
            </w:pPr>
            <w:r w:rsidRPr="009E1EA6">
              <w:rPr>
                <w:sz w:val="22"/>
                <w:szCs w:val="22"/>
              </w:rPr>
              <w:t>31</w:t>
            </w:r>
          </w:p>
        </w:tc>
      </w:tr>
      <w:tr w:rsidR="009E1EA6" w:rsidRPr="009E1EA6" w14:paraId="5F116C44" w14:textId="77777777" w:rsidTr="00872E03">
        <w:trPr>
          <w:trHeight w:val="290"/>
        </w:trPr>
        <w:tc>
          <w:tcPr>
            <w:tcW w:w="13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0FD95738" w14:textId="77777777" w:rsidR="00AC3587" w:rsidRPr="009E1EA6" w:rsidRDefault="00B74A7C" w:rsidP="00AC3587">
            <w:pPr>
              <w:jc w:val="center"/>
              <w:rPr>
                <w:bCs/>
                <w:sz w:val="22"/>
                <w:szCs w:val="22"/>
              </w:rPr>
            </w:pPr>
            <w:r w:rsidRPr="009E1EA6">
              <w:rPr>
                <w:bCs/>
                <w:sz w:val="22"/>
                <w:szCs w:val="22"/>
              </w:rPr>
              <w:t>Far-Field</w:t>
            </w:r>
          </w:p>
        </w:tc>
        <w:tc>
          <w:tcPr>
            <w:tcW w:w="864" w:type="dxa"/>
            <w:tcBorders>
              <w:top w:val="nil"/>
              <w:left w:val="nil"/>
              <w:bottom w:val="nil"/>
              <w:right w:val="nil"/>
            </w:tcBorders>
            <w:shd w:val="clear" w:color="000000" w:fill="D9D9D9"/>
            <w:noWrap/>
            <w:vAlign w:val="bottom"/>
            <w:hideMark/>
          </w:tcPr>
          <w:p w14:paraId="1FF3B957"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D9D9D9"/>
            <w:noWrap/>
            <w:vAlign w:val="bottom"/>
            <w:hideMark/>
          </w:tcPr>
          <w:p w14:paraId="641A08B5" w14:textId="77777777" w:rsidR="00AC3587" w:rsidRPr="009E1EA6" w:rsidRDefault="00B74A7C" w:rsidP="00AC3587">
            <w:pPr>
              <w:jc w:val="center"/>
              <w:rPr>
                <w:sz w:val="22"/>
                <w:szCs w:val="22"/>
              </w:rPr>
            </w:pPr>
            <w:r w:rsidRPr="009E1EA6">
              <w:rPr>
                <w:sz w:val="22"/>
                <w:szCs w:val="22"/>
              </w:rPr>
              <w:t>17</w:t>
            </w:r>
          </w:p>
        </w:tc>
        <w:tc>
          <w:tcPr>
            <w:tcW w:w="1450" w:type="dxa"/>
            <w:tcBorders>
              <w:top w:val="single" w:sz="4" w:space="0" w:color="auto"/>
              <w:left w:val="nil"/>
              <w:bottom w:val="nil"/>
              <w:right w:val="nil"/>
            </w:tcBorders>
            <w:shd w:val="clear" w:color="000000" w:fill="D9D9D9"/>
            <w:noWrap/>
            <w:vAlign w:val="bottom"/>
            <w:hideMark/>
          </w:tcPr>
          <w:p w14:paraId="55CCFA3E" w14:textId="77777777" w:rsidR="00AC3587" w:rsidRPr="009E1EA6" w:rsidRDefault="00B74A7C" w:rsidP="00AC3587">
            <w:pPr>
              <w:jc w:val="center"/>
              <w:rPr>
                <w:sz w:val="22"/>
                <w:szCs w:val="22"/>
              </w:rPr>
            </w:pPr>
            <w:r w:rsidRPr="009E1EA6">
              <w:rPr>
                <w:sz w:val="22"/>
                <w:szCs w:val="22"/>
              </w:rPr>
              <w:t>84</w:t>
            </w:r>
          </w:p>
        </w:tc>
        <w:tc>
          <w:tcPr>
            <w:tcW w:w="864" w:type="dxa"/>
            <w:tcBorders>
              <w:top w:val="nil"/>
              <w:left w:val="single" w:sz="4" w:space="0" w:color="auto"/>
              <w:bottom w:val="nil"/>
              <w:right w:val="nil"/>
            </w:tcBorders>
            <w:shd w:val="clear" w:color="000000" w:fill="D9D9D9"/>
            <w:noWrap/>
            <w:vAlign w:val="bottom"/>
            <w:hideMark/>
          </w:tcPr>
          <w:p w14:paraId="33A90B58"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nil"/>
              <w:left w:val="single" w:sz="4" w:space="0" w:color="auto"/>
              <w:bottom w:val="nil"/>
              <w:right w:val="nil"/>
            </w:tcBorders>
            <w:shd w:val="clear" w:color="000000" w:fill="D9D9D9"/>
            <w:noWrap/>
            <w:vAlign w:val="bottom"/>
            <w:hideMark/>
          </w:tcPr>
          <w:p w14:paraId="7724FB3E" w14:textId="77777777" w:rsidR="00AC3587" w:rsidRPr="009E1EA6" w:rsidRDefault="00B74A7C" w:rsidP="00AC3587">
            <w:pPr>
              <w:jc w:val="center"/>
              <w:rPr>
                <w:sz w:val="22"/>
                <w:szCs w:val="22"/>
              </w:rPr>
            </w:pPr>
            <w:r w:rsidRPr="009E1EA6">
              <w:rPr>
                <w:sz w:val="22"/>
                <w:szCs w:val="22"/>
              </w:rPr>
              <w:t>17</w:t>
            </w:r>
          </w:p>
        </w:tc>
        <w:tc>
          <w:tcPr>
            <w:tcW w:w="1934" w:type="dxa"/>
            <w:tcBorders>
              <w:top w:val="nil"/>
              <w:left w:val="nil"/>
              <w:bottom w:val="nil"/>
              <w:right w:val="single" w:sz="4" w:space="0" w:color="auto"/>
            </w:tcBorders>
            <w:shd w:val="clear" w:color="000000" w:fill="D9D9D9"/>
            <w:noWrap/>
            <w:vAlign w:val="bottom"/>
            <w:hideMark/>
          </w:tcPr>
          <w:p w14:paraId="60C77647" w14:textId="77777777" w:rsidR="00AC3587" w:rsidRPr="009E1EA6" w:rsidRDefault="00B74A7C" w:rsidP="00AC3587">
            <w:pPr>
              <w:jc w:val="center"/>
              <w:rPr>
                <w:sz w:val="22"/>
                <w:szCs w:val="22"/>
              </w:rPr>
            </w:pPr>
            <w:r w:rsidRPr="009E1EA6">
              <w:rPr>
                <w:sz w:val="22"/>
                <w:szCs w:val="22"/>
              </w:rPr>
              <w:t>91</w:t>
            </w:r>
          </w:p>
        </w:tc>
      </w:tr>
      <w:tr w:rsidR="009E1EA6" w:rsidRPr="009E1EA6" w14:paraId="60F5DEF1"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3A734AD0" w14:textId="77777777" w:rsidR="00AC3587" w:rsidRPr="009E1EA6" w:rsidRDefault="00AC3587" w:rsidP="00AC3587">
            <w:pPr>
              <w:jc w:val="left"/>
              <w:rPr>
                <w:bCs/>
                <w:sz w:val="22"/>
                <w:szCs w:val="22"/>
              </w:rPr>
            </w:pPr>
          </w:p>
        </w:tc>
        <w:tc>
          <w:tcPr>
            <w:tcW w:w="864" w:type="dxa"/>
            <w:tcBorders>
              <w:top w:val="nil"/>
              <w:left w:val="nil"/>
              <w:bottom w:val="nil"/>
              <w:right w:val="nil"/>
            </w:tcBorders>
            <w:shd w:val="clear" w:color="000000" w:fill="D9D9D9"/>
            <w:noWrap/>
            <w:vAlign w:val="bottom"/>
            <w:hideMark/>
          </w:tcPr>
          <w:p w14:paraId="7409ECCB"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D9D9D9"/>
            <w:noWrap/>
            <w:vAlign w:val="bottom"/>
            <w:hideMark/>
          </w:tcPr>
          <w:p w14:paraId="3BCE22C7" w14:textId="77777777" w:rsidR="00AC3587" w:rsidRPr="009E1EA6" w:rsidRDefault="00B74A7C" w:rsidP="00AC3587">
            <w:pPr>
              <w:jc w:val="center"/>
              <w:rPr>
                <w:sz w:val="22"/>
                <w:szCs w:val="22"/>
              </w:rPr>
            </w:pPr>
            <w:r w:rsidRPr="009E1EA6">
              <w:rPr>
                <w:sz w:val="22"/>
                <w:szCs w:val="22"/>
              </w:rPr>
              <w:t>5.0</w:t>
            </w:r>
          </w:p>
        </w:tc>
        <w:tc>
          <w:tcPr>
            <w:tcW w:w="1450" w:type="dxa"/>
            <w:tcBorders>
              <w:top w:val="nil"/>
              <w:left w:val="nil"/>
              <w:bottom w:val="nil"/>
              <w:right w:val="nil"/>
            </w:tcBorders>
            <w:shd w:val="clear" w:color="000000" w:fill="D9D9D9"/>
            <w:noWrap/>
            <w:vAlign w:val="bottom"/>
            <w:hideMark/>
          </w:tcPr>
          <w:p w14:paraId="6E191005" w14:textId="77777777" w:rsidR="00AC3587" w:rsidRPr="009E1EA6" w:rsidRDefault="00B74A7C" w:rsidP="00AC3587">
            <w:pPr>
              <w:jc w:val="center"/>
              <w:rPr>
                <w:sz w:val="22"/>
                <w:szCs w:val="22"/>
              </w:rPr>
            </w:pPr>
            <w:r w:rsidRPr="009E1EA6">
              <w:rPr>
                <w:sz w:val="22"/>
                <w:szCs w:val="22"/>
              </w:rPr>
              <w:t>52</w:t>
            </w:r>
          </w:p>
        </w:tc>
        <w:tc>
          <w:tcPr>
            <w:tcW w:w="864" w:type="dxa"/>
            <w:tcBorders>
              <w:top w:val="nil"/>
              <w:left w:val="single" w:sz="4" w:space="0" w:color="auto"/>
              <w:bottom w:val="nil"/>
              <w:right w:val="nil"/>
            </w:tcBorders>
            <w:shd w:val="clear" w:color="000000" w:fill="D9D9D9"/>
            <w:noWrap/>
            <w:vAlign w:val="bottom"/>
            <w:hideMark/>
          </w:tcPr>
          <w:p w14:paraId="528886F4"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D9D9D9"/>
            <w:noWrap/>
            <w:vAlign w:val="bottom"/>
            <w:hideMark/>
          </w:tcPr>
          <w:p w14:paraId="5AAE1149" w14:textId="77777777" w:rsidR="00AC3587" w:rsidRPr="009E1EA6" w:rsidRDefault="00B74A7C" w:rsidP="00AC3587">
            <w:pPr>
              <w:jc w:val="center"/>
              <w:rPr>
                <w:sz w:val="22"/>
                <w:szCs w:val="22"/>
              </w:rPr>
            </w:pPr>
            <w:r w:rsidRPr="009E1EA6">
              <w:rPr>
                <w:sz w:val="22"/>
                <w:szCs w:val="22"/>
              </w:rPr>
              <w:t>3.1</w:t>
            </w:r>
          </w:p>
        </w:tc>
        <w:tc>
          <w:tcPr>
            <w:tcW w:w="1934" w:type="dxa"/>
            <w:tcBorders>
              <w:top w:val="nil"/>
              <w:left w:val="nil"/>
              <w:bottom w:val="nil"/>
              <w:right w:val="single" w:sz="4" w:space="0" w:color="auto"/>
            </w:tcBorders>
            <w:shd w:val="clear" w:color="000000" w:fill="D9D9D9"/>
            <w:noWrap/>
            <w:vAlign w:val="bottom"/>
            <w:hideMark/>
          </w:tcPr>
          <w:p w14:paraId="62DA04C5" w14:textId="77777777" w:rsidR="00AC3587" w:rsidRPr="009E1EA6" w:rsidRDefault="00B74A7C" w:rsidP="00AC3587">
            <w:pPr>
              <w:jc w:val="center"/>
              <w:rPr>
                <w:sz w:val="22"/>
                <w:szCs w:val="22"/>
              </w:rPr>
            </w:pPr>
            <w:r w:rsidRPr="009E1EA6">
              <w:rPr>
                <w:sz w:val="22"/>
                <w:szCs w:val="22"/>
              </w:rPr>
              <w:t>55</w:t>
            </w:r>
          </w:p>
        </w:tc>
      </w:tr>
      <w:tr w:rsidR="009E1EA6" w:rsidRPr="009E1EA6" w14:paraId="120EB5B3"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5376BA89" w14:textId="77777777" w:rsidR="00AC3587" w:rsidRPr="009E1EA6" w:rsidRDefault="00AC3587" w:rsidP="00AC3587">
            <w:pPr>
              <w:jc w:val="left"/>
              <w:rPr>
                <w:bCs/>
                <w:sz w:val="22"/>
                <w:szCs w:val="22"/>
              </w:rPr>
            </w:pPr>
          </w:p>
        </w:tc>
        <w:tc>
          <w:tcPr>
            <w:tcW w:w="864" w:type="dxa"/>
            <w:tcBorders>
              <w:top w:val="nil"/>
              <w:left w:val="nil"/>
              <w:bottom w:val="single" w:sz="4" w:space="0" w:color="auto"/>
              <w:right w:val="nil"/>
            </w:tcBorders>
            <w:shd w:val="clear" w:color="000000" w:fill="D9D9D9"/>
            <w:noWrap/>
            <w:vAlign w:val="bottom"/>
            <w:hideMark/>
          </w:tcPr>
          <w:p w14:paraId="0CDF04B2"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D9D9D9"/>
            <w:noWrap/>
            <w:vAlign w:val="bottom"/>
            <w:hideMark/>
          </w:tcPr>
          <w:p w14:paraId="62C3DBDB" w14:textId="77777777" w:rsidR="00AC3587" w:rsidRPr="009E1EA6" w:rsidRDefault="00B74A7C" w:rsidP="00AC3587">
            <w:pPr>
              <w:jc w:val="center"/>
              <w:rPr>
                <w:sz w:val="22"/>
                <w:szCs w:val="22"/>
              </w:rPr>
            </w:pPr>
            <w:r w:rsidRPr="009E1EA6">
              <w:rPr>
                <w:sz w:val="22"/>
                <w:szCs w:val="22"/>
              </w:rPr>
              <w:t>≤ 1</w:t>
            </w:r>
          </w:p>
        </w:tc>
        <w:tc>
          <w:tcPr>
            <w:tcW w:w="1450" w:type="dxa"/>
            <w:tcBorders>
              <w:top w:val="nil"/>
              <w:left w:val="nil"/>
              <w:bottom w:val="single" w:sz="4" w:space="0" w:color="auto"/>
              <w:right w:val="nil"/>
            </w:tcBorders>
            <w:shd w:val="clear" w:color="000000" w:fill="D9D9D9"/>
            <w:noWrap/>
            <w:vAlign w:val="bottom"/>
            <w:hideMark/>
          </w:tcPr>
          <w:p w14:paraId="0ED64D6F" w14:textId="77777777" w:rsidR="00AC3587" w:rsidRPr="009E1EA6" w:rsidRDefault="00B74A7C" w:rsidP="00AC3587">
            <w:pPr>
              <w:jc w:val="center"/>
              <w:rPr>
                <w:sz w:val="22"/>
                <w:szCs w:val="22"/>
              </w:rPr>
            </w:pPr>
            <w:r w:rsidRPr="009E1EA6">
              <w:rPr>
                <w:sz w:val="22"/>
                <w:szCs w:val="22"/>
              </w:rPr>
              <w:t>29</w:t>
            </w:r>
          </w:p>
        </w:tc>
        <w:tc>
          <w:tcPr>
            <w:tcW w:w="864" w:type="dxa"/>
            <w:tcBorders>
              <w:top w:val="nil"/>
              <w:left w:val="single" w:sz="4" w:space="0" w:color="auto"/>
              <w:bottom w:val="single" w:sz="4" w:space="0" w:color="auto"/>
              <w:right w:val="nil"/>
            </w:tcBorders>
            <w:shd w:val="clear" w:color="000000" w:fill="D9D9D9"/>
            <w:noWrap/>
            <w:vAlign w:val="bottom"/>
            <w:hideMark/>
          </w:tcPr>
          <w:p w14:paraId="4E654BE1"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D9D9D9"/>
            <w:noWrap/>
            <w:vAlign w:val="bottom"/>
            <w:hideMark/>
          </w:tcPr>
          <w:p w14:paraId="1F1CC531" w14:textId="77777777" w:rsidR="00AC3587" w:rsidRPr="009E1EA6" w:rsidRDefault="00B74A7C" w:rsidP="00AC3587">
            <w:pPr>
              <w:jc w:val="center"/>
              <w:rPr>
                <w:sz w:val="22"/>
                <w:szCs w:val="22"/>
              </w:rPr>
            </w:pPr>
            <w:r w:rsidRPr="009E1EA6">
              <w:rPr>
                <w:sz w:val="22"/>
                <w:szCs w:val="22"/>
              </w:rPr>
              <w:t>≤ 1</w:t>
            </w:r>
          </w:p>
        </w:tc>
        <w:tc>
          <w:tcPr>
            <w:tcW w:w="1934" w:type="dxa"/>
            <w:tcBorders>
              <w:top w:val="nil"/>
              <w:left w:val="nil"/>
              <w:bottom w:val="single" w:sz="4" w:space="0" w:color="auto"/>
              <w:right w:val="single" w:sz="4" w:space="0" w:color="auto"/>
            </w:tcBorders>
            <w:shd w:val="clear" w:color="000000" w:fill="D9D9D9"/>
            <w:noWrap/>
            <w:vAlign w:val="bottom"/>
            <w:hideMark/>
          </w:tcPr>
          <w:p w14:paraId="2DC5A319" w14:textId="77777777" w:rsidR="00AC3587" w:rsidRPr="009E1EA6" w:rsidRDefault="00B74A7C" w:rsidP="00AC3587">
            <w:pPr>
              <w:jc w:val="center"/>
              <w:rPr>
                <w:sz w:val="22"/>
                <w:szCs w:val="22"/>
              </w:rPr>
            </w:pPr>
            <w:r w:rsidRPr="009E1EA6">
              <w:rPr>
                <w:sz w:val="22"/>
                <w:szCs w:val="22"/>
              </w:rPr>
              <w:t>29</w:t>
            </w:r>
          </w:p>
        </w:tc>
      </w:tr>
      <w:tr w:rsidR="009E1EA6" w:rsidRPr="009E1EA6" w14:paraId="64162958" w14:textId="77777777" w:rsidTr="00872E03">
        <w:trPr>
          <w:trHeight w:val="290"/>
        </w:trPr>
        <w:tc>
          <w:tcPr>
            <w:tcW w:w="1360" w:type="dxa"/>
            <w:tcBorders>
              <w:top w:val="nil"/>
              <w:left w:val="nil"/>
              <w:bottom w:val="nil"/>
              <w:right w:val="nil"/>
            </w:tcBorders>
            <w:shd w:val="clear" w:color="auto" w:fill="auto"/>
            <w:noWrap/>
            <w:vAlign w:val="center"/>
            <w:hideMark/>
          </w:tcPr>
          <w:p w14:paraId="595D4FAB" w14:textId="77777777" w:rsidR="00AC3587" w:rsidRPr="009E1EA6" w:rsidRDefault="00AC3587" w:rsidP="00AC3587">
            <w:pPr>
              <w:jc w:val="center"/>
              <w:rPr>
                <w:sz w:val="22"/>
                <w:szCs w:val="22"/>
              </w:rPr>
            </w:pPr>
          </w:p>
        </w:tc>
        <w:tc>
          <w:tcPr>
            <w:tcW w:w="864" w:type="dxa"/>
            <w:tcBorders>
              <w:top w:val="nil"/>
              <w:left w:val="nil"/>
              <w:bottom w:val="nil"/>
              <w:right w:val="nil"/>
            </w:tcBorders>
            <w:shd w:val="clear" w:color="auto" w:fill="auto"/>
            <w:noWrap/>
            <w:vAlign w:val="bottom"/>
            <w:hideMark/>
          </w:tcPr>
          <w:p w14:paraId="6BC64370" w14:textId="77777777" w:rsidR="00AC3587" w:rsidRPr="009E1EA6" w:rsidRDefault="00AC3587" w:rsidP="00AC3587">
            <w:pPr>
              <w:jc w:val="center"/>
              <w:rPr>
                <w:sz w:val="20"/>
              </w:rPr>
            </w:pPr>
          </w:p>
        </w:tc>
        <w:tc>
          <w:tcPr>
            <w:tcW w:w="1227" w:type="dxa"/>
            <w:tcBorders>
              <w:top w:val="nil"/>
              <w:left w:val="nil"/>
              <w:bottom w:val="nil"/>
              <w:right w:val="nil"/>
            </w:tcBorders>
            <w:shd w:val="clear" w:color="auto" w:fill="auto"/>
            <w:noWrap/>
            <w:vAlign w:val="bottom"/>
            <w:hideMark/>
          </w:tcPr>
          <w:p w14:paraId="3016043E" w14:textId="77777777" w:rsidR="00AC3587" w:rsidRPr="009E1EA6" w:rsidRDefault="00AC3587" w:rsidP="00AC3587">
            <w:pPr>
              <w:jc w:val="center"/>
              <w:rPr>
                <w:sz w:val="20"/>
              </w:rPr>
            </w:pPr>
          </w:p>
        </w:tc>
        <w:tc>
          <w:tcPr>
            <w:tcW w:w="1450" w:type="dxa"/>
            <w:tcBorders>
              <w:top w:val="nil"/>
              <w:left w:val="nil"/>
              <w:bottom w:val="nil"/>
              <w:right w:val="nil"/>
            </w:tcBorders>
            <w:shd w:val="clear" w:color="auto" w:fill="auto"/>
            <w:noWrap/>
            <w:vAlign w:val="bottom"/>
            <w:hideMark/>
          </w:tcPr>
          <w:p w14:paraId="57AD8F5F" w14:textId="77777777" w:rsidR="00AC3587" w:rsidRPr="009E1EA6" w:rsidRDefault="00AC3587" w:rsidP="00AC3587">
            <w:pPr>
              <w:jc w:val="center"/>
              <w:rPr>
                <w:sz w:val="20"/>
              </w:rPr>
            </w:pPr>
          </w:p>
        </w:tc>
        <w:tc>
          <w:tcPr>
            <w:tcW w:w="864" w:type="dxa"/>
            <w:tcBorders>
              <w:top w:val="nil"/>
              <w:left w:val="nil"/>
              <w:bottom w:val="nil"/>
              <w:right w:val="nil"/>
            </w:tcBorders>
            <w:shd w:val="clear" w:color="auto" w:fill="auto"/>
            <w:noWrap/>
            <w:vAlign w:val="bottom"/>
            <w:hideMark/>
          </w:tcPr>
          <w:p w14:paraId="386208FA" w14:textId="77777777" w:rsidR="00AC3587" w:rsidRPr="009E1EA6" w:rsidRDefault="00AC3587" w:rsidP="00AC3587">
            <w:pPr>
              <w:jc w:val="center"/>
              <w:rPr>
                <w:sz w:val="20"/>
              </w:rPr>
            </w:pPr>
          </w:p>
        </w:tc>
        <w:tc>
          <w:tcPr>
            <w:tcW w:w="1227" w:type="dxa"/>
            <w:tcBorders>
              <w:top w:val="nil"/>
              <w:left w:val="nil"/>
              <w:bottom w:val="nil"/>
              <w:right w:val="nil"/>
            </w:tcBorders>
            <w:shd w:val="clear" w:color="auto" w:fill="auto"/>
            <w:noWrap/>
            <w:vAlign w:val="bottom"/>
            <w:hideMark/>
          </w:tcPr>
          <w:p w14:paraId="23FF3404" w14:textId="77777777" w:rsidR="00AC3587" w:rsidRPr="009E1EA6" w:rsidRDefault="00AC3587" w:rsidP="00AC3587">
            <w:pPr>
              <w:jc w:val="center"/>
              <w:rPr>
                <w:sz w:val="20"/>
              </w:rPr>
            </w:pPr>
          </w:p>
        </w:tc>
        <w:tc>
          <w:tcPr>
            <w:tcW w:w="1934" w:type="dxa"/>
            <w:tcBorders>
              <w:top w:val="nil"/>
              <w:left w:val="nil"/>
              <w:bottom w:val="nil"/>
              <w:right w:val="nil"/>
            </w:tcBorders>
            <w:shd w:val="clear" w:color="auto" w:fill="auto"/>
            <w:noWrap/>
            <w:vAlign w:val="bottom"/>
            <w:hideMark/>
          </w:tcPr>
          <w:p w14:paraId="107B4516" w14:textId="77777777" w:rsidR="00AC3587" w:rsidRPr="009E1EA6" w:rsidRDefault="00AC3587" w:rsidP="00AC3587">
            <w:pPr>
              <w:jc w:val="center"/>
              <w:rPr>
                <w:sz w:val="20"/>
              </w:rPr>
            </w:pPr>
          </w:p>
        </w:tc>
      </w:tr>
      <w:tr w:rsidR="009E1EA6" w:rsidRPr="009E1EA6" w14:paraId="5A8F572C" w14:textId="77777777" w:rsidTr="00872E03">
        <w:trPr>
          <w:trHeight w:val="290"/>
        </w:trPr>
        <w:tc>
          <w:tcPr>
            <w:tcW w:w="13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413CF254" w14:textId="77777777" w:rsidR="00AC3587" w:rsidRPr="009E1EA6" w:rsidRDefault="00B74A7C" w:rsidP="00AC3587">
            <w:pPr>
              <w:jc w:val="center"/>
              <w:rPr>
                <w:bCs/>
                <w:sz w:val="22"/>
                <w:szCs w:val="22"/>
              </w:rPr>
            </w:pPr>
            <w:r w:rsidRPr="009E1EA6">
              <w:rPr>
                <w:bCs/>
                <w:sz w:val="22"/>
                <w:szCs w:val="22"/>
              </w:rPr>
              <w:t>Site Location</w:t>
            </w:r>
          </w:p>
        </w:tc>
        <w:tc>
          <w:tcPr>
            <w:tcW w:w="3541" w:type="dxa"/>
            <w:gridSpan w:val="3"/>
            <w:tcBorders>
              <w:top w:val="single" w:sz="4" w:space="0" w:color="auto"/>
              <w:left w:val="nil"/>
              <w:bottom w:val="nil"/>
              <w:right w:val="nil"/>
            </w:tcBorders>
            <w:shd w:val="clear" w:color="auto" w:fill="auto"/>
            <w:noWrap/>
            <w:vAlign w:val="bottom"/>
            <w:hideMark/>
          </w:tcPr>
          <w:p w14:paraId="5A2966CB" w14:textId="32754685" w:rsidR="00AC3587" w:rsidRPr="009E1EA6" w:rsidRDefault="00B74A7C" w:rsidP="00741961">
            <w:pPr>
              <w:jc w:val="center"/>
              <w:rPr>
                <w:bCs/>
                <w:sz w:val="22"/>
                <w:szCs w:val="22"/>
              </w:rPr>
            </w:pPr>
            <w:r w:rsidRPr="009E1EA6">
              <w:rPr>
                <w:bCs/>
                <w:sz w:val="22"/>
                <w:szCs w:val="22"/>
                <w:lang w:eastAsia="es-CL"/>
              </w:rPr>
              <w:t>SCSS (</w:t>
            </w:r>
            <m:oMath>
              <m:sSub>
                <m:sSubPr>
                  <m:ctrlPr>
                    <w:rPr>
                      <w:rFonts w:ascii="Cambria Math" w:hAnsi="Cambria Math"/>
                      <w:bCs/>
                      <w:i/>
                      <w:sz w:val="22"/>
                      <w:szCs w:val="22"/>
                      <w:lang w:eastAsia="es-CL"/>
                    </w:rPr>
                  </m:ctrlPr>
                </m:sSubPr>
                <m:e>
                  <m:r>
                    <w:rPr>
                      <w:rFonts w:ascii="Cambria Math" w:hAnsi="Cambria Math"/>
                      <w:sz w:val="22"/>
                      <w:szCs w:val="22"/>
                      <w:lang w:eastAsia="es-CL"/>
                    </w:rPr>
                    <m:t>T</m:t>
                  </m:r>
                </m:e>
                <m:sub>
                  <m:r>
                    <w:rPr>
                      <w:rFonts w:ascii="Cambria Math" w:hAnsi="Cambria Math"/>
                      <w:sz w:val="22"/>
                      <w:szCs w:val="22"/>
                      <w:lang w:eastAsia="es-CL"/>
                    </w:rPr>
                    <m:t>b</m:t>
                  </m:r>
                </m:sub>
              </m:sSub>
              <m:r>
                <w:rPr>
                  <w:rFonts w:ascii="Cambria Math" w:hAnsi="Cambria Math"/>
                  <w:sz w:val="22"/>
                  <w:szCs w:val="22"/>
                  <w:lang w:eastAsia="es-CL"/>
                </w:rPr>
                <m:t xml:space="preserve">=1 s, </m:t>
              </m:r>
              <m:sSub>
                <m:sSubPr>
                  <m:ctrlPr>
                    <w:rPr>
                      <w:rFonts w:ascii="Cambria Math" w:hAnsi="Cambria Math"/>
                      <w:bCs/>
                      <w:i/>
                      <w:sz w:val="22"/>
                      <w:szCs w:val="22"/>
                      <w:lang w:eastAsia="es-CL"/>
                    </w:rPr>
                  </m:ctrlPr>
                </m:sSubPr>
                <m:e>
                  <m:r>
                    <w:rPr>
                      <w:rFonts w:ascii="Cambria Math" w:hAnsi="Cambria Math"/>
                      <w:sz w:val="22"/>
                      <w:szCs w:val="22"/>
                      <w:lang w:eastAsia="es-CL"/>
                    </w:rPr>
                    <m:t>μ</m:t>
                  </m:r>
                  <m:ctrlPr>
                    <w:rPr>
                      <w:rFonts w:ascii="Cambria Math" w:hAnsi="Cambria Math"/>
                      <w:i/>
                      <w:sz w:val="22"/>
                      <w:szCs w:val="22"/>
                      <w:lang w:eastAsia="es-CL"/>
                    </w:rPr>
                  </m:ctrlPr>
                </m:e>
                <m:sub>
                  <m:r>
                    <w:rPr>
                      <w:rFonts w:ascii="Cambria Math" w:hAnsi="Cambria Math"/>
                      <w:sz w:val="22"/>
                      <w:szCs w:val="22"/>
                      <w:lang w:eastAsia="es-CL"/>
                    </w:rPr>
                    <m:t>y</m:t>
                  </m:r>
                </m:sub>
              </m:sSub>
              <m:r>
                <w:rPr>
                  <w:rFonts w:ascii="Cambria Math" w:hAnsi="Cambria Math"/>
                  <w:sz w:val="22"/>
                  <w:szCs w:val="22"/>
                  <w:lang w:eastAsia="es-CL"/>
                </w:rPr>
                <m:t>=0.25mm</m:t>
              </m:r>
            </m:oMath>
            <w:r w:rsidRPr="009E1EA6">
              <w:rPr>
                <w:bCs/>
                <w:sz w:val="22"/>
                <w:szCs w:val="22"/>
                <w:lang w:eastAsia="es-CL"/>
              </w:rPr>
              <w:t>)</w:t>
            </w:r>
          </w:p>
        </w:tc>
        <w:tc>
          <w:tcPr>
            <w:tcW w:w="4025"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01595144" w14:textId="5AC61216" w:rsidR="00AC3587" w:rsidRPr="009E1EA6" w:rsidRDefault="00B74A7C" w:rsidP="00741961">
            <w:pPr>
              <w:jc w:val="center"/>
              <w:rPr>
                <w:bCs/>
                <w:sz w:val="22"/>
                <w:szCs w:val="22"/>
              </w:rPr>
            </w:pPr>
            <w:r w:rsidRPr="009E1EA6">
              <w:rPr>
                <w:bCs/>
                <w:sz w:val="22"/>
                <w:szCs w:val="22"/>
                <w:lang w:eastAsia="es-CL"/>
              </w:rPr>
              <w:t>SCSS (</w:t>
            </w:r>
            <m:oMath>
              <m:sSub>
                <m:sSubPr>
                  <m:ctrlPr>
                    <w:rPr>
                      <w:rFonts w:ascii="Cambria Math" w:hAnsi="Cambria Math"/>
                      <w:bCs/>
                      <w:i/>
                      <w:sz w:val="22"/>
                      <w:szCs w:val="22"/>
                      <w:lang w:eastAsia="es-CL"/>
                    </w:rPr>
                  </m:ctrlPr>
                </m:sSubPr>
                <m:e>
                  <m:r>
                    <w:rPr>
                      <w:rFonts w:ascii="Cambria Math" w:hAnsi="Cambria Math"/>
                      <w:sz w:val="22"/>
                      <w:szCs w:val="22"/>
                      <w:lang w:eastAsia="es-CL"/>
                    </w:rPr>
                    <m:t>T</m:t>
                  </m:r>
                </m:e>
                <m:sub>
                  <m:r>
                    <w:rPr>
                      <w:rFonts w:ascii="Cambria Math" w:hAnsi="Cambria Math"/>
                      <w:sz w:val="22"/>
                      <w:szCs w:val="22"/>
                      <w:lang w:eastAsia="es-CL"/>
                    </w:rPr>
                    <m:t>b</m:t>
                  </m:r>
                </m:sub>
              </m:sSub>
              <m:r>
                <w:rPr>
                  <w:rFonts w:ascii="Cambria Math" w:hAnsi="Cambria Math"/>
                  <w:sz w:val="22"/>
                  <w:szCs w:val="22"/>
                  <w:lang w:eastAsia="es-CL"/>
                </w:rPr>
                <m:t xml:space="preserve">=2 s, </m:t>
              </m:r>
              <m:sSub>
                <m:sSubPr>
                  <m:ctrlPr>
                    <w:rPr>
                      <w:rFonts w:ascii="Cambria Math" w:hAnsi="Cambria Math"/>
                      <w:bCs/>
                      <w:i/>
                      <w:sz w:val="22"/>
                      <w:szCs w:val="22"/>
                      <w:lang w:eastAsia="es-CL"/>
                    </w:rPr>
                  </m:ctrlPr>
                </m:sSubPr>
                <m:e>
                  <m:r>
                    <w:rPr>
                      <w:rFonts w:ascii="Cambria Math" w:hAnsi="Cambria Math"/>
                      <w:sz w:val="22"/>
                      <w:szCs w:val="22"/>
                      <w:lang w:eastAsia="es-CL"/>
                    </w:rPr>
                    <m:t>μ</m:t>
                  </m:r>
                </m:e>
                <m:sub>
                  <m:r>
                    <w:rPr>
                      <w:rFonts w:ascii="Cambria Math" w:hAnsi="Cambria Math"/>
                      <w:sz w:val="22"/>
                      <w:szCs w:val="22"/>
                      <w:lang w:eastAsia="es-CL"/>
                    </w:rPr>
                    <m:t>y</m:t>
                  </m:r>
                </m:sub>
              </m:sSub>
              <m:r>
                <w:rPr>
                  <w:rFonts w:ascii="Cambria Math" w:hAnsi="Cambria Math"/>
                  <w:sz w:val="22"/>
                  <w:szCs w:val="22"/>
                  <w:lang w:eastAsia="es-CL"/>
                </w:rPr>
                <m:t>=0.25mm</m:t>
              </m:r>
            </m:oMath>
            <w:r w:rsidRPr="009E1EA6">
              <w:rPr>
                <w:bCs/>
                <w:sz w:val="22"/>
                <w:szCs w:val="22"/>
                <w:lang w:eastAsia="es-CL"/>
              </w:rPr>
              <w:t>)</w:t>
            </w:r>
          </w:p>
        </w:tc>
      </w:tr>
      <w:tr w:rsidR="009E1EA6" w:rsidRPr="009E1EA6" w14:paraId="461849D0" w14:textId="77777777" w:rsidTr="00872E03">
        <w:trPr>
          <w:trHeight w:val="290"/>
        </w:trPr>
        <w:tc>
          <w:tcPr>
            <w:tcW w:w="1360" w:type="dxa"/>
            <w:vMerge/>
            <w:tcBorders>
              <w:top w:val="single" w:sz="4" w:space="0" w:color="auto"/>
              <w:left w:val="single" w:sz="4" w:space="0" w:color="auto"/>
              <w:bottom w:val="nil"/>
              <w:right w:val="single" w:sz="4" w:space="0" w:color="auto"/>
            </w:tcBorders>
            <w:vAlign w:val="center"/>
            <w:hideMark/>
          </w:tcPr>
          <w:p w14:paraId="4810190A" w14:textId="77777777" w:rsidR="00F005E1" w:rsidRPr="009E1EA6" w:rsidRDefault="00F005E1" w:rsidP="00F005E1">
            <w:pPr>
              <w:jc w:val="left"/>
              <w:rPr>
                <w:bCs/>
                <w:sz w:val="22"/>
                <w:szCs w:val="22"/>
              </w:rPr>
            </w:pPr>
          </w:p>
        </w:tc>
        <w:tc>
          <w:tcPr>
            <w:tcW w:w="864" w:type="dxa"/>
            <w:tcBorders>
              <w:top w:val="nil"/>
              <w:left w:val="nil"/>
              <w:bottom w:val="nil"/>
              <w:right w:val="nil"/>
            </w:tcBorders>
            <w:shd w:val="clear" w:color="auto" w:fill="auto"/>
            <w:noWrap/>
            <w:vAlign w:val="bottom"/>
            <w:hideMark/>
          </w:tcPr>
          <w:p w14:paraId="2C9D62B6" w14:textId="7BC00EFF"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227" w:type="dxa"/>
            <w:tcBorders>
              <w:top w:val="nil"/>
              <w:left w:val="nil"/>
              <w:bottom w:val="nil"/>
              <w:right w:val="nil"/>
            </w:tcBorders>
            <w:shd w:val="clear" w:color="auto" w:fill="auto"/>
            <w:noWrap/>
            <w:vAlign w:val="bottom"/>
            <w:hideMark/>
          </w:tcPr>
          <w:p w14:paraId="2CE09DEF" w14:textId="351FEC1A"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450" w:type="dxa"/>
            <w:tcBorders>
              <w:top w:val="nil"/>
              <w:left w:val="nil"/>
              <w:bottom w:val="nil"/>
              <w:right w:val="nil"/>
            </w:tcBorders>
            <w:shd w:val="clear" w:color="auto" w:fill="auto"/>
            <w:noWrap/>
            <w:vAlign w:val="bottom"/>
            <w:hideMark/>
          </w:tcPr>
          <w:p w14:paraId="4017AE0B" w14:textId="46D67C92"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c>
          <w:tcPr>
            <w:tcW w:w="864" w:type="dxa"/>
            <w:tcBorders>
              <w:top w:val="nil"/>
              <w:left w:val="single" w:sz="4" w:space="0" w:color="auto"/>
              <w:bottom w:val="nil"/>
              <w:right w:val="nil"/>
            </w:tcBorders>
            <w:shd w:val="clear" w:color="auto" w:fill="auto"/>
            <w:noWrap/>
            <w:vAlign w:val="bottom"/>
            <w:hideMark/>
          </w:tcPr>
          <w:p w14:paraId="677CBC21" w14:textId="269A35FD" w:rsidR="00F005E1" w:rsidRPr="009E1EA6" w:rsidRDefault="006E3CB7" w:rsidP="00F005E1">
            <w:pPr>
              <w:jc w:val="center"/>
              <w:rPr>
                <w:bCs/>
                <w:sz w:val="22"/>
                <w:szCs w:val="22"/>
              </w:rPr>
            </w:pPr>
            <m:oMathPara>
              <m:oMath>
                <m:sSub>
                  <m:sSubPr>
                    <m:ctrlPr>
                      <w:rPr>
                        <w:rFonts w:ascii="Cambria Math" w:hAnsi="Cambria Math"/>
                        <w:i/>
                        <w:sz w:val="22"/>
                        <w:szCs w:val="22"/>
                        <w:lang w:eastAsia="es-MX"/>
                      </w:rPr>
                    </m:ctrlPr>
                  </m:sSubPr>
                  <m:e>
                    <m:r>
                      <w:rPr>
                        <w:rFonts w:ascii="Cambria Math" w:hAnsi="Cambria Math"/>
                        <w:sz w:val="22"/>
                        <w:szCs w:val="22"/>
                      </w:rPr>
                      <m:t>μ</m:t>
                    </m:r>
                  </m:e>
                  <m:sub>
                    <m:r>
                      <w:rPr>
                        <w:rFonts w:ascii="Cambria Math" w:hAnsi="Cambria Math"/>
                        <w:sz w:val="22"/>
                        <w:szCs w:val="22"/>
                      </w:rPr>
                      <m:t>k</m:t>
                    </m:r>
                  </m:sub>
                </m:sSub>
              </m:oMath>
            </m:oMathPara>
          </w:p>
        </w:tc>
        <w:tc>
          <w:tcPr>
            <w:tcW w:w="1227" w:type="dxa"/>
            <w:tcBorders>
              <w:top w:val="nil"/>
              <w:left w:val="nil"/>
              <w:bottom w:val="nil"/>
              <w:right w:val="nil"/>
            </w:tcBorders>
            <w:shd w:val="clear" w:color="auto" w:fill="auto"/>
            <w:noWrap/>
            <w:vAlign w:val="bottom"/>
            <w:hideMark/>
          </w:tcPr>
          <w:p w14:paraId="374A198D" w14:textId="29A7602A"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w:t>
            </w:r>
          </w:p>
        </w:tc>
        <w:tc>
          <w:tcPr>
            <w:tcW w:w="1934" w:type="dxa"/>
            <w:tcBorders>
              <w:top w:val="nil"/>
              <w:left w:val="nil"/>
              <w:bottom w:val="nil"/>
              <w:right w:val="single" w:sz="4" w:space="0" w:color="auto"/>
            </w:tcBorders>
            <w:shd w:val="clear" w:color="auto" w:fill="auto"/>
            <w:noWrap/>
            <w:vAlign w:val="bottom"/>
            <w:hideMark/>
          </w:tcPr>
          <w:p w14:paraId="30C30EB7" w14:textId="2A4F957C" w:rsidR="00F005E1" w:rsidRPr="009E1EA6" w:rsidRDefault="00F005E1" w:rsidP="00F005E1">
            <w:pPr>
              <w:jc w:val="center"/>
              <w:rPr>
                <w:bCs/>
                <w:sz w:val="22"/>
                <w:szCs w:val="22"/>
              </w:rPr>
            </w:pPr>
            <w:r w:rsidRPr="009E1EA6">
              <w:rPr>
                <w:bCs/>
                <w:sz w:val="22"/>
                <w:szCs w:val="22"/>
              </w:rPr>
              <w:t>D</w:t>
            </w:r>
            <w:r w:rsidRPr="009E1EA6">
              <w:rPr>
                <w:bCs/>
                <w:sz w:val="22"/>
                <w:szCs w:val="22"/>
                <w:vertAlign w:val="subscript"/>
              </w:rPr>
              <w:t>10000</w:t>
            </w:r>
          </w:p>
        </w:tc>
      </w:tr>
      <w:tr w:rsidR="009E1EA6" w:rsidRPr="009E1EA6" w14:paraId="200F7381" w14:textId="77777777" w:rsidTr="00872E03">
        <w:trPr>
          <w:trHeight w:val="290"/>
        </w:trPr>
        <w:tc>
          <w:tcPr>
            <w:tcW w:w="13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CD48768" w14:textId="77777777" w:rsidR="00AC3587" w:rsidRPr="009E1EA6" w:rsidRDefault="00B74A7C" w:rsidP="00AC3587">
            <w:pPr>
              <w:jc w:val="center"/>
              <w:rPr>
                <w:bCs/>
                <w:sz w:val="22"/>
                <w:szCs w:val="22"/>
              </w:rPr>
            </w:pPr>
            <w:r w:rsidRPr="009E1EA6">
              <w:rPr>
                <w:bCs/>
                <w:sz w:val="22"/>
                <w:szCs w:val="22"/>
              </w:rPr>
              <w:t>Near Source</w:t>
            </w:r>
          </w:p>
        </w:tc>
        <w:tc>
          <w:tcPr>
            <w:tcW w:w="864" w:type="dxa"/>
            <w:tcBorders>
              <w:top w:val="single" w:sz="4" w:space="0" w:color="auto"/>
              <w:left w:val="nil"/>
              <w:bottom w:val="nil"/>
              <w:right w:val="nil"/>
            </w:tcBorders>
            <w:shd w:val="clear" w:color="000000" w:fill="FFFFFF"/>
            <w:noWrap/>
            <w:vAlign w:val="bottom"/>
            <w:hideMark/>
          </w:tcPr>
          <w:p w14:paraId="705B6843"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FFFFFF"/>
            <w:noWrap/>
            <w:vAlign w:val="bottom"/>
            <w:hideMark/>
          </w:tcPr>
          <w:p w14:paraId="7DBBB71D" w14:textId="77777777" w:rsidR="00AC3587" w:rsidRPr="009E1EA6" w:rsidRDefault="00B74A7C" w:rsidP="00AC3587">
            <w:pPr>
              <w:jc w:val="center"/>
              <w:rPr>
                <w:sz w:val="22"/>
                <w:szCs w:val="22"/>
              </w:rPr>
            </w:pPr>
            <w:r w:rsidRPr="009E1EA6">
              <w:rPr>
                <w:sz w:val="22"/>
                <w:szCs w:val="22"/>
              </w:rPr>
              <w:t>21</w:t>
            </w:r>
          </w:p>
        </w:tc>
        <w:tc>
          <w:tcPr>
            <w:tcW w:w="1450" w:type="dxa"/>
            <w:tcBorders>
              <w:top w:val="single" w:sz="4" w:space="0" w:color="auto"/>
              <w:left w:val="nil"/>
              <w:bottom w:val="nil"/>
              <w:right w:val="nil"/>
            </w:tcBorders>
            <w:shd w:val="clear" w:color="000000" w:fill="FFFFFF"/>
            <w:noWrap/>
            <w:vAlign w:val="bottom"/>
            <w:hideMark/>
          </w:tcPr>
          <w:p w14:paraId="256CDF94" w14:textId="77777777" w:rsidR="00AC3587" w:rsidRPr="009E1EA6" w:rsidRDefault="00B74A7C" w:rsidP="00AC3587">
            <w:pPr>
              <w:jc w:val="center"/>
              <w:rPr>
                <w:sz w:val="22"/>
                <w:szCs w:val="22"/>
              </w:rPr>
            </w:pPr>
            <w:r w:rsidRPr="009E1EA6">
              <w:rPr>
                <w:sz w:val="22"/>
                <w:szCs w:val="22"/>
              </w:rPr>
              <w:t>72</w:t>
            </w:r>
          </w:p>
        </w:tc>
        <w:tc>
          <w:tcPr>
            <w:tcW w:w="864" w:type="dxa"/>
            <w:tcBorders>
              <w:top w:val="single" w:sz="4" w:space="0" w:color="auto"/>
              <w:left w:val="single" w:sz="4" w:space="0" w:color="auto"/>
              <w:bottom w:val="nil"/>
              <w:right w:val="nil"/>
            </w:tcBorders>
            <w:shd w:val="clear" w:color="000000" w:fill="FFFFFF"/>
            <w:noWrap/>
            <w:vAlign w:val="bottom"/>
            <w:hideMark/>
          </w:tcPr>
          <w:p w14:paraId="5CC9F6F9"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FFFFFF"/>
            <w:noWrap/>
            <w:vAlign w:val="bottom"/>
            <w:hideMark/>
          </w:tcPr>
          <w:p w14:paraId="4B148FDD" w14:textId="77777777" w:rsidR="00AC3587" w:rsidRPr="009E1EA6" w:rsidRDefault="00B74A7C" w:rsidP="00AC3587">
            <w:pPr>
              <w:jc w:val="center"/>
              <w:rPr>
                <w:sz w:val="22"/>
                <w:szCs w:val="22"/>
              </w:rPr>
            </w:pPr>
            <w:r w:rsidRPr="009E1EA6">
              <w:rPr>
                <w:sz w:val="22"/>
                <w:szCs w:val="22"/>
              </w:rPr>
              <w:t>12</w:t>
            </w:r>
          </w:p>
        </w:tc>
        <w:tc>
          <w:tcPr>
            <w:tcW w:w="1934" w:type="dxa"/>
            <w:tcBorders>
              <w:top w:val="single" w:sz="4" w:space="0" w:color="auto"/>
              <w:left w:val="nil"/>
              <w:bottom w:val="nil"/>
              <w:right w:val="single" w:sz="4" w:space="0" w:color="auto"/>
            </w:tcBorders>
            <w:shd w:val="clear" w:color="000000" w:fill="FFFFFF"/>
            <w:noWrap/>
            <w:vAlign w:val="bottom"/>
            <w:hideMark/>
          </w:tcPr>
          <w:p w14:paraId="6EDFF037" w14:textId="77777777" w:rsidR="00AC3587" w:rsidRPr="009E1EA6" w:rsidRDefault="00B74A7C" w:rsidP="00AC3587">
            <w:pPr>
              <w:jc w:val="center"/>
              <w:rPr>
                <w:sz w:val="22"/>
                <w:szCs w:val="22"/>
              </w:rPr>
            </w:pPr>
            <w:r w:rsidRPr="009E1EA6">
              <w:rPr>
                <w:sz w:val="22"/>
                <w:szCs w:val="22"/>
              </w:rPr>
              <w:t>57</w:t>
            </w:r>
          </w:p>
        </w:tc>
      </w:tr>
      <w:tr w:rsidR="009E1EA6" w:rsidRPr="009E1EA6" w14:paraId="73F0CD79"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0BCEE9B8" w14:textId="77777777" w:rsidR="00AC3587" w:rsidRPr="009E1EA6" w:rsidRDefault="00AC3587" w:rsidP="00AC3587">
            <w:pPr>
              <w:jc w:val="left"/>
              <w:rPr>
                <w:bCs/>
                <w:sz w:val="22"/>
                <w:szCs w:val="22"/>
              </w:rPr>
            </w:pPr>
          </w:p>
        </w:tc>
        <w:tc>
          <w:tcPr>
            <w:tcW w:w="864" w:type="dxa"/>
            <w:tcBorders>
              <w:top w:val="nil"/>
              <w:left w:val="nil"/>
              <w:bottom w:val="nil"/>
              <w:right w:val="nil"/>
            </w:tcBorders>
            <w:shd w:val="clear" w:color="000000" w:fill="FFFFFF"/>
            <w:noWrap/>
            <w:vAlign w:val="bottom"/>
            <w:hideMark/>
          </w:tcPr>
          <w:p w14:paraId="1BE8E0C2"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FFFFFF"/>
            <w:noWrap/>
            <w:vAlign w:val="bottom"/>
            <w:hideMark/>
          </w:tcPr>
          <w:p w14:paraId="50032CB2" w14:textId="77777777" w:rsidR="00AC3587" w:rsidRPr="009E1EA6" w:rsidRDefault="00B74A7C" w:rsidP="00AC3587">
            <w:pPr>
              <w:jc w:val="center"/>
              <w:rPr>
                <w:sz w:val="22"/>
                <w:szCs w:val="22"/>
              </w:rPr>
            </w:pPr>
            <w:r w:rsidRPr="009E1EA6">
              <w:rPr>
                <w:sz w:val="22"/>
                <w:szCs w:val="22"/>
              </w:rPr>
              <w:t>13</w:t>
            </w:r>
          </w:p>
        </w:tc>
        <w:tc>
          <w:tcPr>
            <w:tcW w:w="1450" w:type="dxa"/>
            <w:tcBorders>
              <w:top w:val="nil"/>
              <w:left w:val="nil"/>
              <w:bottom w:val="nil"/>
              <w:right w:val="nil"/>
            </w:tcBorders>
            <w:shd w:val="clear" w:color="000000" w:fill="FFFFFF"/>
            <w:noWrap/>
            <w:vAlign w:val="bottom"/>
            <w:hideMark/>
          </w:tcPr>
          <w:p w14:paraId="24D687AD" w14:textId="77777777" w:rsidR="00AC3587" w:rsidRPr="009E1EA6" w:rsidRDefault="00B74A7C" w:rsidP="00AC3587">
            <w:pPr>
              <w:jc w:val="center"/>
              <w:rPr>
                <w:sz w:val="22"/>
                <w:szCs w:val="22"/>
              </w:rPr>
            </w:pPr>
            <w:r w:rsidRPr="009E1EA6">
              <w:rPr>
                <w:sz w:val="22"/>
                <w:szCs w:val="22"/>
              </w:rPr>
              <w:t>74</w:t>
            </w:r>
          </w:p>
        </w:tc>
        <w:tc>
          <w:tcPr>
            <w:tcW w:w="864" w:type="dxa"/>
            <w:tcBorders>
              <w:top w:val="nil"/>
              <w:left w:val="single" w:sz="4" w:space="0" w:color="auto"/>
              <w:bottom w:val="nil"/>
              <w:right w:val="nil"/>
            </w:tcBorders>
            <w:shd w:val="clear" w:color="000000" w:fill="FFFFFF"/>
            <w:noWrap/>
            <w:vAlign w:val="bottom"/>
            <w:hideMark/>
          </w:tcPr>
          <w:p w14:paraId="551FB79C"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FFFFFF"/>
            <w:noWrap/>
            <w:vAlign w:val="bottom"/>
            <w:hideMark/>
          </w:tcPr>
          <w:p w14:paraId="3CD3CB9E" w14:textId="77777777" w:rsidR="00AC3587" w:rsidRPr="009E1EA6" w:rsidRDefault="00B74A7C" w:rsidP="00AC3587">
            <w:pPr>
              <w:jc w:val="center"/>
              <w:rPr>
                <w:sz w:val="22"/>
                <w:szCs w:val="22"/>
              </w:rPr>
            </w:pPr>
            <w:r w:rsidRPr="009E1EA6">
              <w:rPr>
                <w:sz w:val="22"/>
                <w:szCs w:val="22"/>
              </w:rPr>
              <w:t>1.5</w:t>
            </w:r>
          </w:p>
        </w:tc>
        <w:tc>
          <w:tcPr>
            <w:tcW w:w="1934" w:type="dxa"/>
            <w:tcBorders>
              <w:top w:val="nil"/>
              <w:left w:val="nil"/>
              <w:bottom w:val="nil"/>
              <w:right w:val="single" w:sz="4" w:space="0" w:color="auto"/>
            </w:tcBorders>
            <w:shd w:val="clear" w:color="000000" w:fill="FFFFFF"/>
            <w:noWrap/>
            <w:vAlign w:val="bottom"/>
            <w:hideMark/>
          </w:tcPr>
          <w:p w14:paraId="24372E1D" w14:textId="77777777" w:rsidR="00AC3587" w:rsidRPr="009E1EA6" w:rsidRDefault="00B74A7C" w:rsidP="00AC3587">
            <w:pPr>
              <w:jc w:val="center"/>
              <w:rPr>
                <w:sz w:val="22"/>
                <w:szCs w:val="22"/>
              </w:rPr>
            </w:pPr>
            <w:r w:rsidRPr="009E1EA6">
              <w:rPr>
                <w:sz w:val="22"/>
                <w:szCs w:val="22"/>
              </w:rPr>
              <w:t>36</w:t>
            </w:r>
          </w:p>
        </w:tc>
      </w:tr>
      <w:tr w:rsidR="009E1EA6" w:rsidRPr="009E1EA6" w14:paraId="1F32AA71" w14:textId="77777777" w:rsidTr="00872E03">
        <w:trPr>
          <w:trHeight w:val="290"/>
        </w:trPr>
        <w:tc>
          <w:tcPr>
            <w:tcW w:w="1360" w:type="dxa"/>
            <w:vMerge/>
            <w:tcBorders>
              <w:top w:val="single" w:sz="4" w:space="0" w:color="auto"/>
              <w:left w:val="single" w:sz="4" w:space="0" w:color="auto"/>
              <w:bottom w:val="single" w:sz="4" w:space="0" w:color="000000"/>
              <w:right w:val="single" w:sz="4" w:space="0" w:color="auto"/>
            </w:tcBorders>
            <w:vAlign w:val="center"/>
            <w:hideMark/>
          </w:tcPr>
          <w:p w14:paraId="78078AF9" w14:textId="77777777" w:rsidR="00AC3587" w:rsidRPr="009E1EA6" w:rsidRDefault="00AC3587" w:rsidP="00AC3587">
            <w:pPr>
              <w:jc w:val="left"/>
              <w:rPr>
                <w:bCs/>
                <w:sz w:val="22"/>
                <w:szCs w:val="22"/>
              </w:rPr>
            </w:pPr>
          </w:p>
        </w:tc>
        <w:tc>
          <w:tcPr>
            <w:tcW w:w="864" w:type="dxa"/>
            <w:tcBorders>
              <w:top w:val="nil"/>
              <w:left w:val="nil"/>
              <w:bottom w:val="single" w:sz="4" w:space="0" w:color="auto"/>
              <w:right w:val="nil"/>
            </w:tcBorders>
            <w:shd w:val="clear" w:color="000000" w:fill="FFFFFF"/>
            <w:noWrap/>
            <w:vAlign w:val="bottom"/>
            <w:hideMark/>
          </w:tcPr>
          <w:p w14:paraId="546B6193"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nil"/>
              <w:right w:val="nil"/>
            </w:tcBorders>
            <w:shd w:val="clear" w:color="000000" w:fill="FFFFFF"/>
            <w:noWrap/>
            <w:vAlign w:val="bottom"/>
            <w:hideMark/>
          </w:tcPr>
          <w:p w14:paraId="368B2CA1" w14:textId="77777777" w:rsidR="00AC3587" w:rsidRPr="009E1EA6" w:rsidRDefault="00B74A7C" w:rsidP="00AC3587">
            <w:pPr>
              <w:jc w:val="center"/>
              <w:rPr>
                <w:sz w:val="22"/>
                <w:szCs w:val="22"/>
              </w:rPr>
            </w:pPr>
            <w:r w:rsidRPr="009E1EA6">
              <w:rPr>
                <w:sz w:val="22"/>
                <w:szCs w:val="22"/>
              </w:rPr>
              <w:t>7.7</w:t>
            </w:r>
          </w:p>
        </w:tc>
        <w:tc>
          <w:tcPr>
            <w:tcW w:w="1450" w:type="dxa"/>
            <w:tcBorders>
              <w:top w:val="nil"/>
              <w:left w:val="nil"/>
              <w:bottom w:val="nil"/>
              <w:right w:val="nil"/>
            </w:tcBorders>
            <w:shd w:val="clear" w:color="000000" w:fill="FFFFFF"/>
            <w:noWrap/>
            <w:vAlign w:val="bottom"/>
            <w:hideMark/>
          </w:tcPr>
          <w:p w14:paraId="143BE95E" w14:textId="77777777" w:rsidR="00AC3587" w:rsidRPr="009E1EA6" w:rsidRDefault="00B74A7C" w:rsidP="00AC3587">
            <w:pPr>
              <w:jc w:val="center"/>
              <w:rPr>
                <w:sz w:val="22"/>
                <w:szCs w:val="22"/>
              </w:rPr>
            </w:pPr>
            <w:r w:rsidRPr="009E1EA6">
              <w:rPr>
                <w:sz w:val="22"/>
                <w:szCs w:val="22"/>
              </w:rPr>
              <w:t>65</w:t>
            </w:r>
          </w:p>
        </w:tc>
        <w:tc>
          <w:tcPr>
            <w:tcW w:w="864" w:type="dxa"/>
            <w:tcBorders>
              <w:top w:val="nil"/>
              <w:left w:val="single" w:sz="4" w:space="0" w:color="auto"/>
              <w:bottom w:val="single" w:sz="4" w:space="0" w:color="auto"/>
              <w:right w:val="nil"/>
            </w:tcBorders>
            <w:shd w:val="clear" w:color="000000" w:fill="FFFFFF"/>
            <w:noWrap/>
            <w:vAlign w:val="bottom"/>
            <w:hideMark/>
          </w:tcPr>
          <w:p w14:paraId="59747C8F"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FFFFFF"/>
            <w:noWrap/>
            <w:vAlign w:val="bottom"/>
            <w:hideMark/>
          </w:tcPr>
          <w:p w14:paraId="64DB69BE" w14:textId="77777777" w:rsidR="00AC3587" w:rsidRPr="009E1EA6" w:rsidRDefault="00B74A7C" w:rsidP="00AC3587">
            <w:pPr>
              <w:jc w:val="center"/>
              <w:rPr>
                <w:sz w:val="22"/>
                <w:szCs w:val="22"/>
              </w:rPr>
            </w:pPr>
            <w:r w:rsidRPr="009E1EA6">
              <w:rPr>
                <w:sz w:val="22"/>
                <w:szCs w:val="22"/>
              </w:rPr>
              <w:t>≤ 1</w:t>
            </w:r>
          </w:p>
        </w:tc>
        <w:tc>
          <w:tcPr>
            <w:tcW w:w="1934" w:type="dxa"/>
            <w:tcBorders>
              <w:top w:val="nil"/>
              <w:left w:val="nil"/>
              <w:bottom w:val="single" w:sz="4" w:space="0" w:color="auto"/>
              <w:right w:val="single" w:sz="4" w:space="0" w:color="auto"/>
            </w:tcBorders>
            <w:shd w:val="clear" w:color="000000" w:fill="FFFFFF"/>
            <w:noWrap/>
            <w:vAlign w:val="bottom"/>
            <w:hideMark/>
          </w:tcPr>
          <w:p w14:paraId="50747829" w14:textId="77777777" w:rsidR="00AC3587" w:rsidRPr="009E1EA6" w:rsidRDefault="00B74A7C" w:rsidP="00AC3587">
            <w:pPr>
              <w:jc w:val="center"/>
              <w:rPr>
                <w:sz w:val="22"/>
                <w:szCs w:val="22"/>
              </w:rPr>
            </w:pPr>
            <w:r w:rsidRPr="009E1EA6">
              <w:rPr>
                <w:sz w:val="22"/>
                <w:szCs w:val="22"/>
              </w:rPr>
              <w:t>22</w:t>
            </w:r>
          </w:p>
        </w:tc>
      </w:tr>
      <w:tr w:rsidR="009E1EA6" w:rsidRPr="009E1EA6" w14:paraId="6ED6457C" w14:textId="77777777" w:rsidTr="00872E03">
        <w:trPr>
          <w:trHeight w:val="290"/>
        </w:trPr>
        <w:tc>
          <w:tcPr>
            <w:tcW w:w="13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5C179F4" w14:textId="77777777" w:rsidR="00AC3587" w:rsidRPr="009E1EA6" w:rsidRDefault="00B74A7C" w:rsidP="00AC3587">
            <w:pPr>
              <w:jc w:val="center"/>
              <w:rPr>
                <w:bCs/>
                <w:sz w:val="22"/>
                <w:szCs w:val="22"/>
              </w:rPr>
            </w:pPr>
            <w:r w:rsidRPr="009E1EA6">
              <w:rPr>
                <w:bCs/>
                <w:sz w:val="22"/>
                <w:szCs w:val="22"/>
              </w:rPr>
              <w:t>Far-Field</w:t>
            </w:r>
          </w:p>
        </w:tc>
        <w:tc>
          <w:tcPr>
            <w:tcW w:w="864" w:type="dxa"/>
            <w:tcBorders>
              <w:top w:val="nil"/>
              <w:left w:val="nil"/>
              <w:bottom w:val="nil"/>
              <w:right w:val="nil"/>
            </w:tcBorders>
            <w:shd w:val="clear" w:color="000000" w:fill="D9D9D9"/>
            <w:noWrap/>
            <w:vAlign w:val="bottom"/>
            <w:hideMark/>
          </w:tcPr>
          <w:p w14:paraId="1A707BBB"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single" w:sz="4" w:space="0" w:color="auto"/>
              <w:left w:val="single" w:sz="4" w:space="0" w:color="auto"/>
              <w:bottom w:val="nil"/>
              <w:right w:val="nil"/>
            </w:tcBorders>
            <w:shd w:val="clear" w:color="000000" w:fill="D9D9D9"/>
            <w:noWrap/>
            <w:vAlign w:val="bottom"/>
            <w:hideMark/>
          </w:tcPr>
          <w:p w14:paraId="68477299" w14:textId="77777777" w:rsidR="00AC3587" w:rsidRPr="009E1EA6" w:rsidRDefault="00B74A7C" w:rsidP="00AC3587">
            <w:pPr>
              <w:jc w:val="center"/>
              <w:rPr>
                <w:sz w:val="22"/>
                <w:szCs w:val="22"/>
              </w:rPr>
            </w:pPr>
            <w:r w:rsidRPr="009E1EA6">
              <w:rPr>
                <w:sz w:val="22"/>
                <w:szCs w:val="22"/>
              </w:rPr>
              <w:t>3.2</w:t>
            </w:r>
          </w:p>
        </w:tc>
        <w:tc>
          <w:tcPr>
            <w:tcW w:w="1450" w:type="dxa"/>
            <w:tcBorders>
              <w:top w:val="single" w:sz="4" w:space="0" w:color="auto"/>
              <w:left w:val="nil"/>
              <w:bottom w:val="nil"/>
              <w:right w:val="nil"/>
            </w:tcBorders>
            <w:shd w:val="clear" w:color="000000" w:fill="D9D9D9"/>
            <w:noWrap/>
            <w:vAlign w:val="bottom"/>
            <w:hideMark/>
          </w:tcPr>
          <w:p w14:paraId="1804443B" w14:textId="77777777" w:rsidR="00AC3587" w:rsidRPr="009E1EA6" w:rsidRDefault="00B74A7C" w:rsidP="00AC3587">
            <w:pPr>
              <w:jc w:val="center"/>
              <w:rPr>
                <w:sz w:val="22"/>
                <w:szCs w:val="22"/>
              </w:rPr>
            </w:pPr>
            <w:r w:rsidRPr="009E1EA6">
              <w:rPr>
                <w:sz w:val="22"/>
                <w:szCs w:val="22"/>
              </w:rPr>
              <w:t>38</w:t>
            </w:r>
          </w:p>
        </w:tc>
        <w:tc>
          <w:tcPr>
            <w:tcW w:w="864" w:type="dxa"/>
            <w:tcBorders>
              <w:top w:val="nil"/>
              <w:left w:val="single" w:sz="4" w:space="0" w:color="auto"/>
              <w:bottom w:val="nil"/>
              <w:right w:val="nil"/>
            </w:tcBorders>
            <w:shd w:val="clear" w:color="000000" w:fill="D9D9D9"/>
            <w:noWrap/>
            <w:vAlign w:val="bottom"/>
            <w:hideMark/>
          </w:tcPr>
          <w:p w14:paraId="76BA4D71" w14:textId="77777777" w:rsidR="00AC3587" w:rsidRPr="009E1EA6" w:rsidRDefault="00B74A7C" w:rsidP="00AC3587">
            <w:pPr>
              <w:jc w:val="center"/>
              <w:rPr>
                <w:bCs/>
                <w:sz w:val="22"/>
                <w:szCs w:val="22"/>
              </w:rPr>
            </w:pPr>
            <w:r w:rsidRPr="009E1EA6">
              <w:rPr>
                <w:bCs/>
                <w:sz w:val="22"/>
                <w:szCs w:val="22"/>
              </w:rPr>
              <w:t>0.10</w:t>
            </w:r>
          </w:p>
        </w:tc>
        <w:tc>
          <w:tcPr>
            <w:tcW w:w="1227" w:type="dxa"/>
            <w:tcBorders>
              <w:top w:val="nil"/>
              <w:left w:val="single" w:sz="4" w:space="0" w:color="auto"/>
              <w:bottom w:val="nil"/>
              <w:right w:val="nil"/>
            </w:tcBorders>
            <w:shd w:val="clear" w:color="000000" w:fill="D9D9D9"/>
            <w:noWrap/>
            <w:vAlign w:val="bottom"/>
            <w:hideMark/>
          </w:tcPr>
          <w:p w14:paraId="6439E93A" w14:textId="77777777" w:rsidR="00AC3587" w:rsidRPr="009E1EA6" w:rsidRDefault="00B74A7C" w:rsidP="00AC3587">
            <w:pPr>
              <w:jc w:val="center"/>
              <w:rPr>
                <w:sz w:val="22"/>
                <w:szCs w:val="22"/>
              </w:rPr>
            </w:pPr>
            <w:r w:rsidRPr="009E1EA6">
              <w:rPr>
                <w:sz w:val="22"/>
                <w:szCs w:val="22"/>
              </w:rPr>
              <w:t>2.9</w:t>
            </w:r>
          </w:p>
        </w:tc>
        <w:tc>
          <w:tcPr>
            <w:tcW w:w="1934" w:type="dxa"/>
            <w:tcBorders>
              <w:top w:val="nil"/>
              <w:left w:val="nil"/>
              <w:bottom w:val="nil"/>
              <w:right w:val="single" w:sz="4" w:space="0" w:color="auto"/>
            </w:tcBorders>
            <w:shd w:val="clear" w:color="000000" w:fill="D9D9D9"/>
            <w:noWrap/>
            <w:vAlign w:val="bottom"/>
            <w:hideMark/>
          </w:tcPr>
          <w:p w14:paraId="1CB5359B" w14:textId="77777777" w:rsidR="00AC3587" w:rsidRPr="009E1EA6" w:rsidRDefault="00B74A7C" w:rsidP="00AC3587">
            <w:pPr>
              <w:jc w:val="center"/>
              <w:rPr>
                <w:sz w:val="22"/>
                <w:szCs w:val="22"/>
              </w:rPr>
            </w:pPr>
            <w:r w:rsidRPr="009E1EA6">
              <w:rPr>
                <w:sz w:val="22"/>
                <w:szCs w:val="22"/>
              </w:rPr>
              <w:t>31</w:t>
            </w:r>
          </w:p>
        </w:tc>
      </w:tr>
      <w:tr w:rsidR="009E1EA6" w:rsidRPr="009E1EA6" w14:paraId="462185BB"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2D349F82" w14:textId="77777777" w:rsidR="00AC3587" w:rsidRPr="009E1EA6" w:rsidRDefault="00AC3587" w:rsidP="00AC3587">
            <w:pPr>
              <w:jc w:val="left"/>
              <w:rPr>
                <w:bCs/>
                <w:sz w:val="22"/>
                <w:szCs w:val="22"/>
              </w:rPr>
            </w:pPr>
          </w:p>
        </w:tc>
        <w:tc>
          <w:tcPr>
            <w:tcW w:w="864" w:type="dxa"/>
            <w:tcBorders>
              <w:top w:val="nil"/>
              <w:left w:val="nil"/>
              <w:bottom w:val="nil"/>
              <w:right w:val="nil"/>
            </w:tcBorders>
            <w:shd w:val="clear" w:color="000000" w:fill="D9D9D9"/>
            <w:noWrap/>
            <w:vAlign w:val="bottom"/>
            <w:hideMark/>
          </w:tcPr>
          <w:p w14:paraId="56D802A3"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D9D9D9"/>
            <w:noWrap/>
            <w:vAlign w:val="bottom"/>
            <w:hideMark/>
          </w:tcPr>
          <w:p w14:paraId="37E9FAD6" w14:textId="77777777" w:rsidR="00AC3587" w:rsidRPr="009E1EA6" w:rsidRDefault="00B74A7C" w:rsidP="00AC3587">
            <w:pPr>
              <w:jc w:val="center"/>
              <w:rPr>
                <w:sz w:val="22"/>
                <w:szCs w:val="22"/>
              </w:rPr>
            </w:pPr>
            <w:r w:rsidRPr="009E1EA6">
              <w:rPr>
                <w:sz w:val="22"/>
                <w:szCs w:val="22"/>
              </w:rPr>
              <w:t>≤ 1</w:t>
            </w:r>
          </w:p>
        </w:tc>
        <w:tc>
          <w:tcPr>
            <w:tcW w:w="1450" w:type="dxa"/>
            <w:tcBorders>
              <w:top w:val="nil"/>
              <w:left w:val="nil"/>
              <w:bottom w:val="nil"/>
              <w:right w:val="nil"/>
            </w:tcBorders>
            <w:shd w:val="clear" w:color="000000" w:fill="D9D9D9"/>
            <w:noWrap/>
            <w:vAlign w:val="bottom"/>
            <w:hideMark/>
          </w:tcPr>
          <w:p w14:paraId="2648B27E" w14:textId="77777777" w:rsidR="00AC3587" w:rsidRPr="009E1EA6" w:rsidRDefault="00B74A7C" w:rsidP="00AC3587">
            <w:pPr>
              <w:jc w:val="center"/>
              <w:rPr>
                <w:sz w:val="22"/>
                <w:szCs w:val="22"/>
              </w:rPr>
            </w:pPr>
            <w:r w:rsidRPr="009E1EA6">
              <w:rPr>
                <w:sz w:val="22"/>
                <w:szCs w:val="22"/>
              </w:rPr>
              <w:t>19</w:t>
            </w:r>
          </w:p>
        </w:tc>
        <w:tc>
          <w:tcPr>
            <w:tcW w:w="864" w:type="dxa"/>
            <w:tcBorders>
              <w:top w:val="nil"/>
              <w:left w:val="single" w:sz="4" w:space="0" w:color="auto"/>
              <w:bottom w:val="nil"/>
              <w:right w:val="nil"/>
            </w:tcBorders>
            <w:shd w:val="clear" w:color="000000" w:fill="D9D9D9"/>
            <w:noWrap/>
            <w:vAlign w:val="bottom"/>
            <w:hideMark/>
          </w:tcPr>
          <w:p w14:paraId="4DF461F1" w14:textId="77777777" w:rsidR="00AC3587" w:rsidRPr="009E1EA6" w:rsidRDefault="00B74A7C" w:rsidP="00AC3587">
            <w:pPr>
              <w:jc w:val="center"/>
              <w:rPr>
                <w:bCs/>
                <w:sz w:val="22"/>
                <w:szCs w:val="22"/>
              </w:rPr>
            </w:pPr>
            <w:r w:rsidRPr="009E1EA6">
              <w:rPr>
                <w:bCs/>
                <w:sz w:val="22"/>
                <w:szCs w:val="22"/>
              </w:rPr>
              <w:t>0.15</w:t>
            </w:r>
          </w:p>
        </w:tc>
        <w:tc>
          <w:tcPr>
            <w:tcW w:w="1227" w:type="dxa"/>
            <w:tcBorders>
              <w:top w:val="nil"/>
              <w:left w:val="single" w:sz="4" w:space="0" w:color="auto"/>
              <w:bottom w:val="nil"/>
              <w:right w:val="nil"/>
            </w:tcBorders>
            <w:shd w:val="clear" w:color="000000" w:fill="D9D9D9"/>
            <w:noWrap/>
            <w:vAlign w:val="bottom"/>
            <w:hideMark/>
          </w:tcPr>
          <w:p w14:paraId="335E300C" w14:textId="77777777" w:rsidR="00AC3587" w:rsidRPr="009E1EA6" w:rsidRDefault="00B74A7C" w:rsidP="00AC3587">
            <w:pPr>
              <w:jc w:val="center"/>
              <w:rPr>
                <w:sz w:val="22"/>
                <w:szCs w:val="22"/>
              </w:rPr>
            </w:pPr>
            <w:r w:rsidRPr="009E1EA6">
              <w:rPr>
                <w:sz w:val="22"/>
                <w:szCs w:val="22"/>
              </w:rPr>
              <w:t>≤ 1</w:t>
            </w:r>
          </w:p>
        </w:tc>
        <w:tc>
          <w:tcPr>
            <w:tcW w:w="1934" w:type="dxa"/>
            <w:tcBorders>
              <w:top w:val="nil"/>
              <w:left w:val="nil"/>
              <w:bottom w:val="nil"/>
              <w:right w:val="single" w:sz="4" w:space="0" w:color="auto"/>
            </w:tcBorders>
            <w:shd w:val="clear" w:color="000000" w:fill="D9D9D9"/>
            <w:noWrap/>
            <w:vAlign w:val="bottom"/>
            <w:hideMark/>
          </w:tcPr>
          <w:p w14:paraId="3F65F980" w14:textId="77777777" w:rsidR="00AC3587" w:rsidRPr="009E1EA6" w:rsidRDefault="00B74A7C" w:rsidP="00AC3587">
            <w:pPr>
              <w:jc w:val="center"/>
              <w:rPr>
                <w:sz w:val="22"/>
                <w:szCs w:val="22"/>
              </w:rPr>
            </w:pPr>
            <w:r w:rsidRPr="009E1EA6">
              <w:rPr>
                <w:sz w:val="22"/>
                <w:szCs w:val="22"/>
              </w:rPr>
              <w:t>5.8</w:t>
            </w:r>
          </w:p>
        </w:tc>
      </w:tr>
      <w:tr w:rsidR="009E1EA6" w:rsidRPr="009E1EA6" w14:paraId="0FBF8980" w14:textId="77777777" w:rsidTr="00872E03">
        <w:trPr>
          <w:trHeight w:val="290"/>
        </w:trPr>
        <w:tc>
          <w:tcPr>
            <w:tcW w:w="1360" w:type="dxa"/>
            <w:vMerge/>
            <w:tcBorders>
              <w:top w:val="nil"/>
              <w:left w:val="single" w:sz="4" w:space="0" w:color="auto"/>
              <w:bottom w:val="single" w:sz="4" w:space="0" w:color="000000"/>
              <w:right w:val="single" w:sz="4" w:space="0" w:color="auto"/>
            </w:tcBorders>
            <w:vAlign w:val="center"/>
            <w:hideMark/>
          </w:tcPr>
          <w:p w14:paraId="0F1435CC" w14:textId="77777777" w:rsidR="00AC3587" w:rsidRPr="009E1EA6" w:rsidRDefault="00AC3587" w:rsidP="00AC3587">
            <w:pPr>
              <w:jc w:val="left"/>
              <w:rPr>
                <w:bCs/>
                <w:sz w:val="22"/>
                <w:szCs w:val="22"/>
              </w:rPr>
            </w:pPr>
          </w:p>
        </w:tc>
        <w:tc>
          <w:tcPr>
            <w:tcW w:w="864" w:type="dxa"/>
            <w:tcBorders>
              <w:top w:val="nil"/>
              <w:left w:val="nil"/>
              <w:bottom w:val="single" w:sz="4" w:space="0" w:color="auto"/>
              <w:right w:val="nil"/>
            </w:tcBorders>
            <w:shd w:val="clear" w:color="000000" w:fill="D9D9D9"/>
            <w:noWrap/>
            <w:vAlign w:val="bottom"/>
            <w:hideMark/>
          </w:tcPr>
          <w:p w14:paraId="156084F1"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D9D9D9"/>
            <w:noWrap/>
            <w:vAlign w:val="bottom"/>
            <w:hideMark/>
          </w:tcPr>
          <w:p w14:paraId="32D8BD03" w14:textId="77777777" w:rsidR="00AC3587" w:rsidRPr="009E1EA6" w:rsidRDefault="00B74A7C" w:rsidP="00AC3587">
            <w:pPr>
              <w:jc w:val="center"/>
              <w:rPr>
                <w:sz w:val="22"/>
                <w:szCs w:val="22"/>
              </w:rPr>
            </w:pPr>
            <w:r w:rsidRPr="009E1EA6">
              <w:rPr>
                <w:sz w:val="22"/>
                <w:szCs w:val="22"/>
              </w:rPr>
              <w:t>≤ 1</w:t>
            </w:r>
          </w:p>
        </w:tc>
        <w:tc>
          <w:tcPr>
            <w:tcW w:w="1450" w:type="dxa"/>
            <w:tcBorders>
              <w:top w:val="nil"/>
              <w:left w:val="nil"/>
              <w:bottom w:val="single" w:sz="4" w:space="0" w:color="auto"/>
              <w:right w:val="nil"/>
            </w:tcBorders>
            <w:shd w:val="clear" w:color="000000" w:fill="D9D9D9"/>
            <w:noWrap/>
            <w:vAlign w:val="bottom"/>
            <w:hideMark/>
          </w:tcPr>
          <w:p w14:paraId="3FD7DD0E" w14:textId="77777777" w:rsidR="00AC3587" w:rsidRPr="009E1EA6" w:rsidRDefault="00B74A7C" w:rsidP="00AC3587">
            <w:pPr>
              <w:jc w:val="center"/>
              <w:rPr>
                <w:sz w:val="22"/>
                <w:szCs w:val="22"/>
              </w:rPr>
            </w:pPr>
            <w:r w:rsidRPr="009E1EA6">
              <w:rPr>
                <w:sz w:val="22"/>
                <w:szCs w:val="22"/>
              </w:rPr>
              <w:t>9.3</w:t>
            </w:r>
          </w:p>
        </w:tc>
        <w:tc>
          <w:tcPr>
            <w:tcW w:w="864" w:type="dxa"/>
            <w:tcBorders>
              <w:top w:val="nil"/>
              <w:left w:val="single" w:sz="4" w:space="0" w:color="auto"/>
              <w:bottom w:val="single" w:sz="4" w:space="0" w:color="auto"/>
              <w:right w:val="nil"/>
            </w:tcBorders>
            <w:shd w:val="clear" w:color="000000" w:fill="D9D9D9"/>
            <w:noWrap/>
            <w:vAlign w:val="bottom"/>
            <w:hideMark/>
          </w:tcPr>
          <w:p w14:paraId="57482811" w14:textId="77777777" w:rsidR="00AC3587" w:rsidRPr="009E1EA6" w:rsidRDefault="00B74A7C" w:rsidP="00AC3587">
            <w:pPr>
              <w:jc w:val="center"/>
              <w:rPr>
                <w:bCs/>
                <w:sz w:val="22"/>
                <w:szCs w:val="22"/>
              </w:rPr>
            </w:pPr>
            <w:r w:rsidRPr="009E1EA6">
              <w:rPr>
                <w:bCs/>
                <w:sz w:val="22"/>
                <w:szCs w:val="22"/>
              </w:rPr>
              <w:t>0.20</w:t>
            </w:r>
          </w:p>
        </w:tc>
        <w:tc>
          <w:tcPr>
            <w:tcW w:w="1227" w:type="dxa"/>
            <w:tcBorders>
              <w:top w:val="nil"/>
              <w:left w:val="single" w:sz="4" w:space="0" w:color="auto"/>
              <w:bottom w:val="single" w:sz="4" w:space="0" w:color="auto"/>
              <w:right w:val="nil"/>
            </w:tcBorders>
            <w:shd w:val="clear" w:color="000000" w:fill="D9D9D9"/>
            <w:noWrap/>
            <w:vAlign w:val="bottom"/>
            <w:hideMark/>
          </w:tcPr>
          <w:p w14:paraId="0636070B" w14:textId="77777777" w:rsidR="00AC3587" w:rsidRPr="009E1EA6" w:rsidRDefault="00B74A7C" w:rsidP="00AC3587">
            <w:pPr>
              <w:jc w:val="center"/>
              <w:rPr>
                <w:sz w:val="22"/>
                <w:szCs w:val="22"/>
              </w:rPr>
            </w:pPr>
            <w:r w:rsidRPr="009E1EA6">
              <w:rPr>
                <w:sz w:val="22"/>
                <w:szCs w:val="22"/>
              </w:rPr>
              <w:t>≤ 1</w:t>
            </w:r>
          </w:p>
        </w:tc>
        <w:tc>
          <w:tcPr>
            <w:tcW w:w="1934" w:type="dxa"/>
            <w:tcBorders>
              <w:top w:val="nil"/>
              <w:left w:val="nil"/>
              <w:bottom w:val="single" w:sz="4" w:space="0" w:color="auto"/>
              <w:right w:val="single" w:sz="4" w:space="0" w:color="auto"/>
            </w:tcBorders>
            <w:shd w:val="clear" w:color="000000" w:fill="D9D9D9"/>
            <w:noWrap/>
            <w:vAlign w:val="bottom"/>
            <w:hideMark/>
          </w:tcPr>
          <w:p w14:paraId="61B8F5EE" w14:textId="77777777" w:rsidR="00AC3587" w:rsidRPr="009E1EA6" w:rsidRDefault="00B74A7C" w:rsidP="00AC3587">
            <w:pPr>
              <w:jc w:val="center"/>
              <w:rPr>
                <w:sz w:val="22"/>
                <w:szCs w:val="22"/>
              </w:rPr>
            </w:pPr>
            <w:r w:rsidRPr="009E1EA6">
              <w:rPr>
                <w:sz w:val="22"/>
                <w:szCs w:val="22"/>
              </w:rPr>
              <w:t>≤ 1</w:t>
            </w:r>
          </w:p>
        </w:tc>
      </w:tr>
    </w:tbl>
    <w:p w14:paraId="420AA567" w14:textId="77777777" w:rsidR="00D31006" w:rsidRPr="009E1EA6" w:rsidRDefault="00D31006" w:rsidP="008D0DFD">
      <w:pPr>
        <w:jc w:val="left"/>
      </w:pPr>
    </w:p>
    <w:sectPr w:rsidR="00D31006" w:rsidRPr="009E1EA6" w:rsidSect="00917F6F">
      <w:headerReference w:type="even" r:id="rId36"/>
      <w:headerReference w:type="first" r:id="rId37"/>
      <w:pgSz w:w="12240" w:h="15840" w:code="1"/>
      <w:pgMar w:top="1080" w:right="1613" w:bottom="1134" w:left="1613" w:header="576" w:footer="0" w:gutter="0"/>
      <w:lnNumType w:countBy="1" w:restart="continuous"/>
      <w:cols w:space="720"/>
      <w:titlePg/>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C5D458" w16cid:durableId="2141C9B6"/>
  <w16cid:commentId w16cid:paraId="3433E6E3" w16cid:durableId="2141D921"/>
  <w16cid:commentId w16cid:paraId="7C634AB0" w16cid:durableId="2141E37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01AF80" w14:textId="77777777" w:rsidR="006E3CB7" w:rsidRDefault="006E3CB7">
      <w:r>
        <w:separator/>
      </w:r>
    </w:p>
  </w:endnote>
  <w:endnote w:type="continuationSeparator" w:id="0">
    <w:p w14:paraId="7F846E8F" w14:textId="77777777" w:rsidR="006E3CB7" w:rsidRDefault="006E3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ill Sans MT">
    <w:panose1 w:val="020B05020201040202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09AB58" w14:textId="77777777" w:rsidR="006E3CB7" w:rsidRDefault="006E3CB7" w:rsidP="00C33F67">
      <w:r>
        <w:separator/>
      </w:r>
    </w:p>
  </w:footnote>
  <w:footnote w:type="continuationSeparator" w:id="0">
    <w:p w14:paraId="0473C05B" w14:textId="77777777" w:rsidR="006E3CB7" w:rsidRDefault="006E3CB7" w:rsidP="00C33F67">
      <w:r>
        <w:continuationSeparator/>
      </w:r>
    </w:p>
  </w:footnote>
  <w:footnote w:id="1">
    <w:p w14:paraId="14ED8320" w14:textId="3E0C2D96" w:rsidR="00F005E1" w:rsidRPr="005D47D8" w:rsidRDefault="00F005E1" w:rsidP="00316A68">
      <w:pPr>
        <w:pStyle w:val="AuthorAffiliation"/>
        <w:rPr>
          <w:lang w:val="es-CL"/>
        </w:rPr>
      </w:pPr>
      <w:r w:rsidRPr="008C2CD8">
        <w:rPr>
          <w:rStyle w:val="Refdenotaalpie"/>
          <w:vertAlign w:val="baseline"/>
          <w:lang w:val="es-CL"/>
        </w:rPr>
        <w:t>a)</w:t>
      </w:r>
      <w:r w:rsidRPr="0059541C">
        <w:rPr>
          <w:lang w:val="es-CL"/>
        </w:rPr>
        <w:t xml:space="preserve"> Instituto de Ingeniería, UNAM, </w:t>
      </w:r>
      <w:r>
        <w:rPr>
          <w:lang w:val="es-CL"/>
        </w:rPr>
        <w:t xml:space="preserve">Coordinación de Ingeniería Estructural, </w:t>
      </w:r>
      <w:r w:rsidRPr="0059541C">
        <w:rPr>
          <w:lang w:val="es-CL"/>
        </w:rPr>
        <w:t>Av. Universidad, No. 3000, CP 04510, Del. Coyoacán, México D.F. E-mail: mjaimest@iingen.unam.mx</w:t>
      </w:r>
    </w:p>
  </w:footnote>
  <w:footnote w:id="2">
    <w:p w14:paraId="76CC1B0B" w14:textId="77777777" w:rsidR="00F005E1" w:rsidRPr="00EC1358" w:rsidRDefault="00F005E1" w:rsidP="00316A68">
      <w:pPr>
        <w:pStyle w:val="AuthorAffiliation"/>
      </w:pPr>
      <w:r>
        <w:rPr>
          <w:rStyle w:val="Refdenotaalpie"/>
          <w:vertAlign w:val="baseline"/>
          <w:lang w:val="es-CL"/>
        </w:rPr>
        <w:t xml:space="preserve">b) </w:t>
      </w:r>
      <w:r>
        <w:rPr>
          <w:lang w:val="es-CL"/>
        </w:rPr>
        <w:t xml:space="preserve">Universidad del Desarrollo, Facultad de Ingeniería Civil. Av. Plaza 680 Las Condes, Santiago – Chile. </w:t>
      </w:r>
      <w:r>
        <w:t>National Research Center for Integrated Natural Disaster Management CONICYT/FONDAP/15110017.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369562" w14:textId="77777777" w:rsidR="00F005E1" w:rsidRDefault="00F005E1">
    <w:pPr>
      <w:pStyle w:val="AuthorHeading-evenpages"/>
      <w:tabs>
        <w:tab w:val="right" w:pos="9000"/>
      </w:tabs>
      <w:jc w:val="both"/>
      <w:rPr>
        <w:rFonts w:ascii="Gill Sans MT" w:hAnsi="Gill Sans MT" w:cs="Arial"/>
        <w:bCs/>
        <w:sz w:val="18"/>
      </w:rPr>
    </w:pPr>
    <w:r>
      <w:rPr>
        <w:rStyle w:val="Nmerodepgina"/>
        <w:rFonts w:ascii="Gill Sans MT" w:hAnsi="Gill Sans MT" w:cs="Arial"/>
        <w:bCs/>
        <w:sz w:val="18"/>
      </w:rPr>
      <w:fldChar w:fldCharType="begin"/>
    </w:r>
    <w:r>
      <w:rPr>
        <w:rStyle w:val="Nmerodepgina"/>
        <w:rFonts w:ascii="Gill Sans MT" w:hAnsi="Gill Sans MT" w:cs="Arial"/>
        <w:bCs/>
        <w:sz w:val="18"/>
      </w:rPr>
      <w:instrText xml:space="preserve"> PAGE </w:instrText>
    </w:r>
    <w:r>
      <w:rPr>
        <w:rStyle w:val="Nmerodepgina"/>
        <w:rFonts w:ascii="Gill Sans MT" w:hAnsi="Gill Sans MT" w:cs="Arial"/>
        <w:bCs/>
        <w:sz w:val="18"/>
      </w:rPr>
      <w:fldChar w:fldCharType="separate"/>
    </w:r>
    <w:r>
      <w:rPr>
        <w:rStyle w:val="Nmerodepgina"/>
        <w:rFonts w:ascii="Gill Sans MT" w:hAnsi="Gill Sans MT" w:cs="Arial"/>
        <w:bCs/>
        <w:noProof/>
        <w:sz w:val="18"/>
      </w:rPr>
      <w:t>12</w:t>
    </w:r>
    <w:r>
      <w:rPr>
        <w:rStyle w:val="Nmerodepgina"/>
        <w:rFonts w:ascii="Gill Sans MT" w:hAnsi="Gill Sans MT" w:cs="Arial"/>
        <w:bCs/>
        <w:sz w:val="18"/>
      </w:rPr>
      <w:fldChar w:fldCharType="end"/>
    </w:r>
    <w:r>
      <w:rPr>
        <w:rStyle w:val="Nmerodepgina"/>
        <w:rFonts w:ascii="Gill Sans MT" w:hAnsi="Gill Sans MT" w:cs="Arial"/>
        <w:bCs/>
        <w:sz w:val="18"/>
      </w:rPr>
      <w:tab/>
    </w:r>
    <w:r>
      <w:rPr>
        <w:rFonts w:ascii="Gill Sans MT" w:hAnsi="Gill Sans MT" w:cs="Arial"/>
        <w:bCs/>
        <w:sz w:val="18"/>
      </w:rPr>
      <w:t>EERI</w:t>
    </w:r>
  </w:p>
  <w:p w14:paraId="0E0D7ACA" w14:textId="77777777" w:rsidR="00F005E1" w:rsidRDefault="00F005E1">
    <w:pPr>
      <w:pStyle w:val="Encabezado"/>
      <w:spacing w:line="4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C4BA22" w14:textId="77777777" w:rsidR="00F005E1" w:rsidRDefault="00F005E1">
    <w:pPr>
      <w:pStyle w:val="Encabezado"/>
      <w:spacing w:line="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A4722"/>
    <w:multiLevelType w:val="hybridMultilevel"/>
    <w:tmpl w:val="4A7E29B4"/>
    <w:lvl w:ilvl="0" w:tplc="B11604D2">
      <w:start w:val="1"/>
      <w:numFmt w:val="bullet"/>
      <w:lvlText w:val=""/>
      <w:lvlJc w:val="left"/>
      <w:pPr>
        <w:ind w:left="720" w:hanging="360"/>
      </w:pPr>
      <w:rPr>
        <w:rFonts w:ascii="Symbol" w:hAnsi="Symbol" w:hint="default"/>
      </w:rPr>
    </w:lvl>
    <w:lvl w:ilvl="1" w:tplc="40148A7A" w:tentative="1">
      <w:start w:val="1"/>
      <w:numFmt w:val="bullet"/>
      <w:lvlText w:val="o"/>
      <w:lvlJc w:val="left"/>
      <w:pPr>
        <w:ind w:left="1440" w:hanging="360"/>
      </w:pPr>
      <w:rPr>
        <w:rFonts w:ascii="Courier New" w:hAnsi="Courier New" w:cs="Courier New" w:hint="default"/>
      </w:rPr>
    </w:lvl>
    <w:lvl w:ilvl="2" w:tplc="EBA81820" w:tentative="1">
      <w:start w:val="1"/>
      <w:numFmt w:val="bullet"/>
      <w:lvlText w:val=""/>
      <w:lvlJc w:val="left"/>
      <w:pPr>
        <w:ind w:left="2160" w:hanging="360"/>
      </w:pPr>
      <w:rPr>
        <w:rFonts w:ascii="Wingdings" w:hAnsi="Wingdings" w:hint="default"/>
      </w:rPr>
    </w:lvl>
    <w:lvl w:ilvl="3" w:tplc="D412688E" w:tentative="1">
      <w:start w:val="1"/>
      <w:numFmt w:val="bullet"/>
      <w:lvlText w:val=""/>
      <w:lvlJc w:val="left"/>
      <w:pPr>
        <w:ind w:left="2880" w:hanging="360"/>
      </w:pPr>
      <w:rPr>
        <w:rFonts w:ascii="Symbol" w:hAnsi="Symbol" w:hint="default"/>
      </w:rPr>
    </w:lvl>
    <w:lvl w:ilvl="4" w:tplc="A70AD692" w:tentative="1">
      <w:start w:val="1"/>
      <w:numFmt w:val="bullet"/>
      <w:lvlText w:val="o"/>
      <w:lvlJc w:val="left"/>
      <w:pPr>
        <w:ind w:left="3600" w:hanging="360"/>
      </w:pPr>
      <w:rPr>
        <w:rFonts w:ascii="Courier New" w:hAnsi="Courier New" w:cs="Courier New" w:hint="default"/>
      </w:rPr>
    </w:lvl>
    <w:lvl w:ilvl="5" w:tplc="4EB0177A" w:tentative="1">
      <w:start w:val="1"/>
      <w:numFmt w:val="bullet"/>
      <w:lvlText w:val=""/>
      <w:lvlJc w:val="left"/>
      <w:pPr>
        <w:ind w:left="4320" w:hanging="360"/>
      </w:pPr>
      <w:rPr>
        <w:rFonts w:ascii="Wingdings" w:hAnsi="Wingdings" w:hint="default"/>
      </w:rPr>
    </w:lvl>
    <w:lvl w:ilvl="6" w:tplc="0784B2A0" w:tentative="1">
      <w:start w:val="1"/>
      <w:numFmt w:val="bullet"/>
      <w:lvlText w:val=""/>
      <w:lvlJc w:val="left"/>
      <w:pPr>
        <w:ind w:left="5040" w:hanging="360"/>
      </w:pPr>
      <w:rPr>
        <w:rFonts w:ascii="Symbol" w:hAnsi="Symbol" w:hint="default"/>
      </w:rPr>
    </w:lvl>
    <w:lvl w:ilvl="7" w:tplc="47F4AE62" w:tentative="1">
      <w:start w:val="1"/>
      <w:numFmt w:val="bullet"/>
      <w:lvlText w:val="o"/>
      <w:lvlJc w:val="left"/>
      <w:pPr>
        <w:ind w:left="5760" w:hanging="360"/>
      </w:pPr>
      <w:rPr>
        <w:rFonts w:ascii="Courier New" w:hAnsi="Courier New" w:cs="Courier New" w:hint="default"/>
      </w:rPr>
    </w:lvl>
    <w:lvl w:ilvl="8" w:tplc="7AC67EDA" w:tentative="1">
      <w:start w:val="1"/>
      <w:numFmt w:val="bullet"/>
      <w:lvlText w:val=""/>
      <w:lvlJc w:val="left"/>
      <w:pPr>
        <w:ind w:left="6480" w:hanging="360"/>
      </w:pPr>
      <w:rPr>
        <w:rFonts w:ascii="Wingdings" w:hAnsi="Wingdings" w:hint="default"/>
      </w:rPr>
    </w:lvl>
  </w:abstractNum>
  <w:abstractNum w:abstractNumId="1" w15:restartNumberingAfterBreak="0">
    <w:nsid w:val="03E4747E"/>
    <w:multiLevelType w:val="hybridMultilevel"/>
    <w:tmpl w:val="0284BE7A"/>
    <w:lvl w:ilvl="0" w:tplc="8156501C">
      <w:numFmt w:val="bullet"/>
      <w:lvlText w:val=""/>
      <w:lvlJc w:val="left"/>
      <w:pPr>
        <w:ind w:left="1080" w:hanging="360"/>
      </w:pPr>
      <w:rPr>
        <w:rFonts w:ascii="Symbol" w:eastAsia="Times New Roman" w:hAnsi="Symbol" w:cs="Times New Roman" w:hint="default"/>
      </w:rPr>
    </w:lvl>
    <w:lvl w:ilvl="1" w:tplc="B70CD4E0" w:tentative="1">
      <w:start w:val="1"/>
      <w:numFmt w:val="bullet"/>
      <w:lvlText w:val="o"/>
      <w:lvlJc w:val="left"/>
      <w:pPr>
        <w:ind w:left="1800" w:hanging="360"/>
      </w:pPr>
      <w:rPr>
        <w:rFonts w:ascii="Courier New" w:hAnsi="Courier New" w:cs="Courier New" w:hint="default"/>
      </w:rPr>
    </w:lvl>
    <w:lvl w:ilvl="2" w:tplc="1A082C42" w:tentative="1">
      <w:start w:val="1"/>
      <w:numFmt w:val="bullet"/>
      <w:lvlText w:val=""/>
      <w:lvlJc w:val="left"/>
      <w:pPr>
        <w:ind w:left="2520" w:hanging="360"/>
      </w:pPr>
      <w:rPr>
        <w:rFonts w:ascii="Wingdings" w:hAnsi="Wingdings" w:hint="default"/>
      </w:rPr>
    </w:lvl>
    <w:lvl w:ilvl="3" w:tplc="34EEF9AE" w:tentative="1">
      <w:start w:val="1"/>
      <w:numFmt w:val="bullet"/>
      <w:lvlText w:val=""/>
      <w:lvlJc w:val="left"/>
      <w:pPr>
        <w:ind w:left="3240" w:hanging="360"/>
      </w:pPr>
      <w:rPr>
        <w:rFonts w:ascii="Symbol" w:hAnsi="Symbol" w:hint="default"/>
      </w:rPr>
    </w:lvl>
    <w:lvl w:ilvl="4" w:tplc="41AE0BF2" w:tentative="1">
      <w:start w:val="1"/>
      <w:numFmt w:val="bullet"/>
      <w:lvlText w:val="o"/>
      <w:lvlJc w:val="left"/>
      <w:pPr>
        <w:ind w:left="3960" w:hanging="360"/>
      </w:pPr>
      <w:rPr>
        <w:rFonts w:ascii="Courier New" w:hAnsi="Courier New" w:cs="Courier New" w:hint="default"/>
      </w:rPr>
    </w:lvl>
    <w:lvl w:ilvl="5" w:tplc="84EE0C36" w:tentative="1">
      <w:start w:val="1"/>
      <w:numFmt w:val="bullet"/>
      <w:lvlText w:val=""/>
      <w:lvlJc w:val="left"/>
      <w:pPr>
        <w:ind w:left="4680" w:hanging="360"/>
      </w:pPr>
      <w:rPr>
        <w:rFonts w:ascii="Wingdings" w:hAnsi="Wingdings" w:hint="default"/>
      </w:rPr>
    </w:lvl>
    <w:lvl w:ilvl="6" w:tplc="C40A36EA" w:tentative="1">
      <w:start w:val="1"/>
      <w:numFmt w:val="bullet"/>
      <w:lvlText w:val=""/>
      <w:lvlJc w:val="left"/>
      <w:pPr>
        <w:ind w:left="5400" w:hanging="360"/>
      </w:pPr>
      <w:rPr>
        <w:rFonts w:ascii="Symbol" w:hAnsi="Symbol" w:hint="default"/>
      </w:rPr>
    </w:lvl>
    <w:lvl w:ilvl="7" w:tplc="281C3CD4" w:tentative="1">
      <w:start w:val="1"/>
      <w:numFmt w:val="bullet"/>
      <w:lvlText w:val="o"/>
      <w:lvlJc w:val="left"/>
      <w:pPr>
        <w:ind w:left="6120" w:hanging="360"/>
      </w:pPr>
      <w:rPr>
        <w:rFonts w:ascii="Courier New" w:hAnsi="Courier New" w:cs="Courier New" w:hint="default"/>
      </w:rPr>
    </w:lvl>
    <w:lvl w:ilvl="8" w:tplc="E440222E" w:tentative="1">
      <w:start w:val="1"/>
      <w:numFmt w:val="bullet"/>
      <w:lvlText w:val=""/>
      <w:lvlJc w:val="left"/>
      <w:pPr>
        <w:ind w:left="6840" w:hanging="360"/>
      </w:pPr>
      <w:rPr>
        <w:rFonts w:ascii="Wingdings" w:hAnsi="Wingdings" w:hint="default"/>
      </w:rPr>
    </w:lvl>
  </w:abstractNum>
  <w:abstractNum w:abstractNumId="2" w15:restartNumberingAfterBreak="0">
    <w:nsid w:val="064239EB"/>
    <w:multiLevelType w:val="singleLevel"/>
    <w:tmpl w:val="4216CF88"/>
    <w:lvl w:ilvl="0">
      <w:start w:val="1"/>
      <w:numFmt w:val="bullet"/>
      <w:pStyle w:val="Listaconvietas"/>
      <w:lvlText w:val=""/>
      <w:lvlJc w:val="left"/>
      <w:pPr>
        <w:tabs>
          <w:tab w:val="num" w:pos="360"/>
        </w:tabs>
        <w:ind w:left="360" w:hanging="360"/>
      </w:pPr>
      <w:rPr>
        <w:rFonts w:ascii="Symbol" w:hAnsi="Symbol" w:hint="default"/>
      </w:rPr>
    </w:lvl>
  </w:abstractNum>
  <w:abstractNum w:abstractNumId="3" w15:restartNumberingAfterBreak="0">
    <w:nsid w:val="06772B6C"/>
    <w:multiLevelType w:val="hybridMultilevel"/>
    <w:tmpl w:val="C7744100"/>
    <w:lvl w:ilvl="0" w:tplc="13CA7A46">
      <w:start w:val="1"/>
      <w:numFmt w:val="decimal"/>
      <w:lvlText w:val="%1."/>
      <w:lvlJc w:val="left"/>
      <w:pPr>
        <w:ind w:left="720" w:hanging="360"/>
      </w:pPr>
      <w:rPr>
        <w:rFonts w:hint="default"/>
      </w:rPr>
    </w:lvl>
    <w:lvl w:ilvl="1" w:tplc="4232E54C" w:tentative="1">
      <w:start w:val="1"/>
      <w:numFmt w:val="lowerLetter"/>
      <w:lvlText w:val="%2."/>
      <w:lvlJc w:val="left"/>
      <w:pPr>
        <w:ind w:left="1440" w:hanging="360"/>
      </w:pPr>
    </w:lvl>
    <w:lvl w:ilvl="2" w:tplc="2C3C4D48" w:tentative="1">
      <w:start w:val="1"/>
      <w:numFmt w:val="lowerRoman"/>
      <w:lvlText w:val="%3."/>
      <w:lvlJc w:val="right"/>
      <w:pPr>
        <w:ind w:left="2160" w:hanging="180"/>
      </w:pPr>
    </w:lvl>
    <w:lvl w:ilvl="3" w:tplc="144E79EA" w:tentative="1">
      <w:start w:val="1"/>
      <w:numFmt w:val="decimal"/>
      <w:lvlText w:val="%4."/>
      <w:lvlJc w:val="left"/>
      <w:pPr>
        <w:ind w:left="2880" w:hanging="360"/>
      </w:pPr>
    </w:lvl>
    <w:lvl w:ilvl="4" w:tplc="669E598A" w:tentative="1">
      <w:start w:val="1"/>
      <w:numFmt w:val="lowerLetter"/>
      <w:lvlText w:val="%5."/>
      <w:lvlJc w:val="left"/>
      <w:pPr>
        <w:ind w:left="3600" w:hanging="360"/>
      </w:pPr>
    </w:lvl>
    <w:lvl w:ilvl="5" w:tplc="867A6974" w:tentative="1">
      <w:start w:val="1"/>
      <w:numFmt w:val="lowerRoman"/>
      <w:lvlText w:val="%6."/>
      <w:lvlJc w:val="right"/>
      <w:pPr>
        <w:ind w:left="4320" w:hanging="180"/>
      </w:pPr>
    </w:lvl>
    <w:lvl w:ilvl="6" w:tplc="0610DD08" w:tentative="1">
      <w:start w:val="1"/>
      <w:numFmt w:val="decimal"/>
      <w:lvlText w:val="%7."/>
      <w:lvlJc w:val="left"/>
      <w:pPr>
        <w:ind w:left="5040" w:hanging="360"/>
      </w:pPr>
    </w:lvl>
    <w:lvl w:ilvl="7" w:tplc="2954F80C" w:tentative="1">
      <w:start w:val="1"/>
      <w:numFmt w:val="lowerLetter"/>
      <w:lvlText w:val="%8."/>
      <w:lvlJc w:val="left"/>
      <w:pPr>
        <w:ind w:left="5760" w:hanging="360"/>
      </w:pPr>
    </w:lvl>
    <w:lvl w:ilvl="8" w:tplc="702A5E66" w:tentative="1">
      <w:start w:val="1"/>
      <w:numFmt w:val="lowerRoman"/>
      <w:lvlText w:val="%9."/>
      <w:lvlJc w:val="right"/>
      <w:pPr>
        <w:ind w:left="6480" w:hanging="180"/>
      </w:pPr>
    </w:lvl>
  </w:abstractNum>
  <w:abstractNum w:abstractNumId="4" w15:restartNumberingAfterBreak="0">
    <w:nsid w:val="0EA872F8"/>
    <w:multiLevelType w:val="hybridMultilevel"/>
    <w:tmpl w:val="5C326364"/>
    <w:lvl w:ilvl="0" w:tplc="9F12E062">
      <w:numFmt w:val="bullet"/>
      <w:lvlText w:val=""/>
      <w:lvlJc w:val="left"/>
      <w:pPr>
        <w:ind w:left="720" w:hanging="360"/>
      </w:pPr>
      <w:rPr>
        <w:rFonts w:ascii="Symbol" w:eastAsia="Times New Roman" w:hAnsi="Symbol" w:cs="Times New Roman" w:hint="default"/>
      </w:rPr>
    </w:lvl>
    <w:lvl w:ilvl="1" w:tplc="B804054C" w:tentative="1">
      <w:start w:val="1"/>
      <w:numFmt w:val="bullet"/>
      <w:lvlText w:val="o"/>
      <w:lvlJc w:val="left"/>
      <w:pPr>
        <w:ind w:left="1440" w:hanging="360"/>
      </w:pPr>
      <w:rPr>
        <w:rFonts w:ascii="Courier New" w:hAnsi="Courier New" w:cs="Courier New" w:hint="default"/>
      </w:rPr>
    </w:lvl>
    <w:lvl w:ilvl="2" w:tplc="7D301BAC" w:tentative="1">
      <w:start w:val="1"/>
      <w:numFmt w:val="bullet"/>
      <w:lvlText w:val=""/>
      <w:lvlJc w:val="left"/>
      <w:pPr>
        <w:ind w:left="2160" w:hanging="360"/>
      </w:pPr>
      <w:rPr>
        <w:rFonts w:ascii="Wingdings" w:hAnsi="Wingdings" w:hint="default"/>
      </w:rPr>
    </w:lvl>
    <w:lvl w:ilvl="3" w:tplc="F736817E" w:tentative="1">
      <w:start w:val="1"/>
      <w:numFmt w:val="bullet"/>
      <w:lvlText w:val=""/>
      <w:lvlJc w:val="left"/>
      <w:pPr>
        <w:ind w:left="2880" w:hanging="360"/>
      </w:pPr>
      <w:rPr>
        <w:rFonts w:ascii="Symbol" w:hAnsi="Symbol" w:hint="default"/>
      </w:rPr>
    </w:lvl>
    <w:lvl w:ilvl="4" w:tplc="3CD883B0" w:tentative="1">
      <w:start w:val="1"/>
      <w:numFmt w:val="bullet"/>
      <w:lvlText w:val="o"/>
      <w:lvlJc w:val="left"/>
      <w:pPr>
        <w:ind w:left="3600" w:hanging="360"/>
      </w:pPr>
      <w:rPr>
        <w:rFonts w:ascii="Courier New" w:hAnsi="Courier New" w:cs="Courier New" w:hint="default"/>
      </w:rPr>
    </w:lvl>
    <w:lvl w:ilvl="5" w:tplc="9C94535A" w:tentative="1">
      <w:start w:val="1"/>
      <w:numFmt w:val="bullet"/>
      <w:lvlText w:val=""/>
      <w:lvlJc w:val="left"/>
      <w:pPr>
        <w:ind w:left="4320" w:hanging="360"/>
      </w:pPr>
      <w:rPr>
        <w:rFonts w:ascii="Wingdings" w:hAnsi="Wingdings" w:hint="default"/>
      </w:rPr>
    </w:lvl>
    <w:lvl w:ilvl="6" w:tplc="3E42F2F4" w:tentative="1">
      <w:start w:val="1"/>
      <w:numFmt w:val="bullet"/>
      <w:lvlText w:val=""/>
      <w:lvlJc w:val="left"/>
      <w:pPr>
        <w:ind w:left="5040" w:hanging="360"/>
      </w:pPr>
      <w:rPr>
        <w:rFonts w:ascii="Symbol" w:hAnsi="Symbol" w:hint="default"/>
      </w:rPr>
    </w:lvl>
    <w:lvl w:ilvl="7" w:tplc="0ADC1168" w:tentative="1">
      <w:start w:val="1"/>
      <w:numFmt w:val="bullet"/>
      <w:lvlText w:val="o"/>
      <w:lvlJc w:val="left"/>
      <w:pPr>
        <w:ind w:left="5760" w:hanging="360"/>
      </w:pPr>
      <w:rPr>
        <w:rFonts w:ascii="Courier New" w:hAnsi="Courier New" w:cs="Courier New" w:hint="default"/>
      </w:rPr>
    </w:lvl>
    <w:lvl w:ilvl="8" w:tplc="2206C952" w:tentative="1">
      <w:start w:val="1"/>
      <w:numFmt w:val="bullet"/>
      <w:lvlText w:val=""/>
      <w:lvlJc w:val="left"/>
      <w:pPr>
        <w:ind w:left="6480" w:hanging="360"/>
      </w:pPr>
      <w:rPr>
        <w:rFonts w:ascii="Wingdings" w:hAnsi="Wingdings" w:hint="default"/>
      </w:rPr>
    </w:lvl>
  </w:abstractNum>
  <w:abstractNum w:abstractNumId="5" w15:restartNumberingAfterBreak="0">
    <w:nsid w:val="147161F1"/>
    <w:multiLevelType w:val="hybridMultilevel"/>
    <w:tmpl w:val="4E6C0258"/>
    <w:lvl w:ilvl="0" w:tplc="C7CEB102">
      <w:start w:val="1"/>
      <w:numFmt w:val="bullet"/>
      <w:lvlText w:val=""/>
      <w:lvlJc w:val="left"/>
      <w:pPr>
        <w:ind w:left="720" w:hanging="360"/>
      </w:pPr>
      <w:rPr>
        <w:rFonts w:ascii="Symbol" w:hAnsi="Symbol" w:hint="default"/>
      </w:rPr>
    </w:lvl>
    <w:lvl w:ilvl="1" w:tplc="4CD628AE" w:tentative="1">
      <w:start w:val="1"/>
      <w:numFmt w:val="bullet"/>
      <w:lvlText w:val="o"/>
      <w:lvlJc w:val="left"/>
      <w:pPr>
        <w:ind w:left="1440" w:hanging="360"/>
      </w:pPr>
      <w:rPr>
        <w:rFonts w:ascii="Courier New" w:hAnsi="Courier New" w:cs="Courier New" w:hint="default"/>
      </w:rPr>
    </w:lvl>
    <w:lvl w:ilvl="2" w:tplc="0DC83512" w:tentative="1">
      <w:start w:val="1"/>
      <w:numFmt w:val="bullet"/>
      <w:lvlText w:val=""/>
      <w:lvlJc w:val="left"/>
      <w:pPr>
        <w:ind w:left="2160" w:hanging="360"/>
      </w:pPr>
      <w:rPr>
        <w:rFonts w:ascii="Wingdings" w:hAnsi="Wingdings" w:hint="default"/>
      </w:rPr>
    </w:lvl>
    <w:lvl w:ilvl="3" w:tplc="669E4166" w:tentative="1">
      <w:start w:val="1"/>
      <w:numFmt w:val="bullet"/>
      <w:lvlText w:val=""/>
      <w:lvlJc w:val="left"/>
      <w:pPr>
        <w:ind w:left="2880" w:hanging="360"/>
      </w:pPr>
      <w:rPr>
        <w:rFonts w:ascii="Symbol" w:hAnsi="Symbol" w:hint="default"/>
      </w:rPr>
    </w:lvl>
    <w:lvl w:ilvl="4" w:tplc="32F2BE90" w:tentative="1">
      <w:start w:val="1"/>
      <w:numFmt w:val="bullet"/>
      <w:lvlText w:val="o"/>
      <w:lvlJc w:val="left"/>
      <w:pPr>
        <w:ind w:left="3600" w:hanging="360"/>
      </w:pPr>
      <w:rPr>
        <w:rFonts w:ascii="Courier New" w:hAnsi="Courier New" w:cs="Courier New" w:hint="default"/>
      </w:rPr>
    </w:lvl>
    <w:lvl w:ilvl="5" w:tplc="1666BEDA" w:tentative="1">
      <w:start w:val="1"/>
      <w:numFmt w:val="bullet"/>
      <w:lvlText w:val=""/>
      <w:lvlJc w:val="left"/>
      <w:pPr>
        <w:ind w:left="4320" w:hanging="360"/>
      </w:pPr>
      <w:rPr>
        <w:rFonts w:ascii="Wingdings" w:hAnsi="Wingdings" w:hint="default"/>
      </w:rPr>
    </w:lvl>
    <w:lvl w:ilvl="6" w:tplc="376200AA" w:tentative="1">
      <w:start w:val="1"/>
      <w:numFmt w:val="bullet"/>
      <w:lvlText w:val=""/>
      <w:lvlJc w:val="left"/>
      <w:pPr>
        <w:ind w:left="5040" w:hanging="360"/>
      </w:pPr>
      <w:rPr>
        <w:rFonts w:ascii="Symbol" w:hAnsi="Symbol" w:hint="default"/>
      </w:rPr>
    </w:lvl>
    <w:lvl w:ilvl="7" w:tplc="F05C983C" w:tentative="1">
      <w:start w:val="1"/>
      <w:numFmt w:val="bullet"/>
      <w:lvlText w:val="o"/>
      <w:lvlJc w:val="left"/>
      <w:pPr>
        <w:ind w:left="5760" w:hanging="360"/>
      </w:pPr>
      <w:rPr>
        <w:rFonts w:ascii="Courier New" w:hAnsi="Courier New" w:cs="Courier New" w:hint="default"/>
      </w:rPr>
    </w:lvl>
    <w:lvl w:ilvl="8" w:tplc="D0C6B5E8" w:tentative="1">
      <w:start w:val="1"/>
      <w:numFmt w:val="bullet"/>
      <w:lvlText w:val=""/>
      <w:lvlJc w:val="left"/>
      <w:pPr>
        <w:ind w:left="6480" w:hanging="360"/>
      </w:pPr>
      <w:rPr>
        <w:rFonts w:ascii="Wingdings" w:hAnsi="Wingdings" w:hint="default"/>
      </w:rPr>
    </w:lvl>
  </w:abstractNum>
  <w:abstractNum w:abstractNumId="6" w15:restartNumberingAfterBreak="0">
    <w:nsid w:val="16DA604A"/>
    <w:multiLevelType w:val="hybridMultilevel"/>
    <w:tmpl w:val="4B627370"/>
    <w:lvl w:ilvl="0" w:tplc="3BFE0D08">
      <w:start w:val="1"/>
      <w:numFmt w:val="bullet"/>
      <w:lvlText w:val="-"/>
      <w:lvlJc w:val="left"/>
      <w:pPr>
        <w:ind w:left="720" w:hanging="360"/>
      </w:pPr>
      <w:rPr>
        <w:rFonts w:ascii="Times New Roman" w:eastAsia="Times New Roman" w:hAnsi="Times New Roman" w:cs="Times New Roman" w:hint="default"/>
        <w:sz w:val="16"/>
      </w:rPr>
    </w:lvl>
    <w:lvl w:ilvl="1" w:tplc="3F6A4154" w:tentative="1">
      <w:start w:val="1"/>
      <w:numFmt w:val="bullet"/>
      <w:lvlText w:val="o"/>
      <w:lvlJc w:val="left"/>
      <w:pPr>
        <w:ind w:left="1440" w:hanging="360"/>
      </w:pPr>
      <w:rPr>
        <w:rFonts w:ascii="Courier New" w:hAnsi="Courier New" w:cs="Courier New" w:hint="default"/>
      </w:rPr>
    </w:lvl>
    <w:lvl w:ilvl="2" w:tplc="C1B010F8" w:tentative="1">
      <w:start w:val="1"/>
      <w:numFmt w:val="bullet"/>
      <w:lvlText w:val=""/>
      <w:lvlJc w:val="left"/>
      <w:pPr>
        <w:ind w:left="2160" w:hanging="360"/>
      </w:pPr>
      <w:rPr>
        <w:rFonts w:ascii="Wingdings" w:hAnsi="Wingdings" w:hint="default"/>
      </w:rPr>
    </w:lvl>
    <w:lvl w:ilvl="3" w:tplc="71C2853C" w:tentative="1">
      <w:start w:val="1"/>
      <w:numFmt w:val="bullet"/>
      <w:lvlText w:val=""/>
      <w:lvlJc w:val="left"/>
      <w:pPr>
        <w:ind w:left="2880" w:hanging="360"/>
      </w:pPr>
      <w:rPr>
        <w:rFonts w:ascii="Symbol" w:hAnsi="Symbol" w:hint="default"/>
      </w:rPr>
    </w:lvl>
    <w:lvl w:ilvl="4" w:tplc="E3DE7A4C" w:tentative="1">
      <w:start w:val="1"/>
      <w:numFmt w:val="bullet"/>
      <w:lvlText w:val="o"/>
      <w:lvlJc w:val="left"/>
      <w:pPr>
        <w:ind w:left="3600" w:hanging="360"/>
      </w:pPr>
      <w:rPr>
        <w:rFonts w:ascii="Courier New" w:hAnsi="Courier New" w:cs="Courier New" w:hint="default"/>
      </w:rPr>
    </w:lvl>
    <w:lvl w:ilvl="5" w:tplc="52AAC4C0" w:tentative="1">
      <w:start w:val="1"/>
      <w:numFmt w:val="bullet"/>
      <w:lvlText w:val=""/>
      <w:lvlJc w:val="left"/>
      <w:pPr>
        <w:ind w:left="4320" w:hanging="360"/>
      </w:pPr>
      <w:rPr>
        <w:rFonts w:ascii="Wingdings" w:hAnsi="Wingdings" w:hint="default"/>
      </w:rPr>
    </w:lvl>
    <w:lvl w:ilvl="6" w:tplc="90A6C01A" w:tentative="1">
      <w:start w:val="1"/>
      <w:numFmt w:val="bullet"/>
      <w:lvlText w:val=""/>
      <w:lvlJc w:val="left"/>
      <w:pPr>
        <w:ind w:left="5040" w:hanging="360"/>
      </w:pPr>
      <w:rPr>
        <w:rFonts w:ascii="Symbol" w:hAnsi="Symbol" w:hint="default"/>
      </w:rPr>
    </w:lvl>
    <w:lvl w:ilvl="7" w:tplc="1616CE3E" w:tentative="1">
      <w:start w:val="1"/>
      <w:numFmt w:val="bullet"/>
      <w:lvlText w:val="o"/>
      <w:lvlJc w:val="left"/>
      <w:pPr>
        <w:ind w:left="5760" w:hanging="360"/>
      </w:pPr>
      <w:rPr>
        <w:rFonts w:ascii="Courier New" w:hAnsi="Courier New" w:cs="Courier New" w:hint="default"/>
      </w:rPr>
    </w:lvl>
    <w:lvl w:ilvl="8" w:tplc="A12E057A" w:tentative="1">
      <w:start w:val="1"/>
      <w:numFmt w:val="bullet"/>
      <w:lvlText w:val=""/>
      <w:lvlJc w:val="left"/>
      <w:pPr>
        <w:ind w:left="6480" w:hanging="360"/>
      </w:pPr>
      <w:rPr>
        <w:rFonts w:ascii="Wingdings" w:hAnsi="Wingdings" w:hint="default"/>
      </w:rPr>
    </w:lvl>
  </w:abstractNum>
  <w:abstractNum w:abstractNumId="7" w15:restartNumberingAfterBreak="0">
    <w:nsid w:val="185E07D6"/>
    <w:multiLevelType w:val="hybridMultilevel"/>
    <w:tmpl w:val="8FBED49C"/>
    <w:lvl w:ilvl="0" w:tplc="DA2C773E">
      <w:start w:val="1"/>
      <w:numFmt w:val="decimal"/>
      <w:lvlText w:val="%1."/>
      <w:lvlJc w:val="left"/>
      <w:pPr>
        <w:ind w:left="720" w:hanging="360"/>
      </w:pPr>
    </w:lvl>
    <w:lvl w:ilvl="1" w:tplc="17905862" w:tentative="1">
      <w:start w:val="1"/>
      <w:numFmt w:val="lowerLetter"/>
      <w:lvlText w:val="%2."/>
      <w:lvlJc w:val="left"/>
      <w:pPr>
        <w:ind w:left="1440" w:hanging="360"/>
      </w:pPr>
    </w:lvl>
    <w:lvl w:ilvl="2" w:tplc="007CF640" w:tentative="1">
      <w:start w:val="1"/>
      <w:numFmt w:val="lowerRoman"/>
      <w:lvlText w:val="%3."/>
      <w:lvlJc w:val="right"/>
      <w:pPr>
        <w:ind w:left="2160" w:hanging="180"/>
      </w:pPr>
    </w:lvl>
    <w:lvl w:ilvl="3" w:tplc="B2864B8A" w:tentative="1">
      <w:start w:val="1"/>
      <w:numFmt w:val="decimal"/>
      <w:lvlText w:val="%4."/>
      <w:lvlJc w:val="left"/>
      <w:pPr>
        <w:ind w:left="2880" w:hanging="360"/>
      </w:pPr>
    </w:lvl>
    <w:lvl w:ilvl="4" w:tplc="4D2C1324" w:tentative="1">
      <w:start w:val="1"/>
      <w:numFmt w:val="lowerLetter"/>
      <w:lvlText w:val="%5."/>
      <w:lvlJc w:val="left"/>
      <w:pPr>
        <w:ind w:left="3600" w:hanging="360"/>
      </w:pPr>
    </w:lvl>
    <w:lvl w:ilvl="5" w:tplc="C5FE5F62" w:tentative="1">
      <w:start w:val="1"/>
      <w:numFmt w:val="lowerRoman"/>
      <w:lvlText w:val="%6."/>
      <w:lvlJc w:val="right"/>
      <w:pPr>
        <w:ind w:left="4320" w:hanging="180"/>
      </w:pPr>
    </w:lvl>
    <w:lvl w:ilvl="6" w:tplc="A538F6C4" w:tentative="1">
      <w:start w:val="1"/>
      <w:numFmt w:val="decimal"/>
      <w:lvlText w:val="%7."/>
      <w:lvlJc w:val="left"/>
      <w:pPr>
        <w:ind w:left="5040" w:hanging="360"/>
      </w:pPr>
    </w:lvl>
    <w:lvl w:ilvl="7" w:tplc="5442F8EA" w:tentative="1">
      <w:start w:val="1"/>
      <w:numFmt w:val="lowerLetter"/>
      <w:lvlText w:val="%8."/>
      <w:lvlJc w:val="left"/>
      <w:pPr>
        <w:ind w:left="5760" w:hanging="360"/>
      </w:pPr>
    </w:lvl>
    <w:lvl w:ilvl="8" w:tplc="C6183B4A" w:tentative="1">
      <w:start w:val="1"/>
      <w:numFmt w:val="lowerRoman"/>
      <w:lvlText w:val="%9."/>
      <w:lvlJc w:val="right"/>
      <w:pPr>
        <w:ind w:left="6480" w:hanging="180"/>
      </w:pPr>
    </w:lvl>
  </w:abstractNum>
  <w:abstractNum w:abstractNumId="8" w15:restartNumberingAfterBreak="0">
    <w:nsid w:val="1B3901E3"/>
    <w:multiLevelType w:val="hybridMultilevel"/>
    <w:tmpl w:val="1A6ADA82"/>
    <w:lvl w:ilvl="0" w:tplc="023AA750">
      <w:start w:val="1"/>
      <w:numFmt w:val="bullet"/>
      <w:lvlText w:val=""/>
      <w:lvlJc w:val="left"/>
      <w:pPr>
        <w:ind w:left="720" w:hanging="360"/>
      </w:pPr>
      <w:rPr>
        <w:rFonts w:ascii="Symbol" w:hAnsi="Symbol" w:hint="default"/>
      </w:rPr>
    </w:lvl>
    <w:lvl w:ilvl="1" w:tplc="521EDEAA" w:tentative="1">
      <w:start w:val="1"/>
      <w:numFmt w:val="bullet"/>
      <w:lvlText w:val="o"/>
      <w:lvlJc w:val="left"/>
      <w:pPr>
        <w:ind w:left="1440" w:hanging="360"/>
      </w:pPr>
      <w:rPr>
        <w:rFonts w:ascii="Courier New" w:hAnsi="Courier New" w:cs="Courier New" w:hint="default"/>
      </w:rPr>
    </w:lvl>
    <w:lvl w:ilvl="2" w:tplc="B84A784A" w:tentative="1">
      <w:start w:val="1"/>
      <w:numFmt w:val="bullet"/>
      <w:lvlText w:val=""/>
      <w:lvlJc w:val="left"/>
      <w:pPr>
        <w:ind w:left="2160" w:hanging="360"/>
      </w:pPr>
      <w:rPr>
        <w:rFonts w:ascii="Wingdings" w:hAnsi="Wingdings" w:hint="default"/>
      </w:rPr>
    </w:lvl>
    <w:lvl w:ilvl="3" w:tplc="357E8048" w:tentative="1">
      <w:start w:val="1"/>
      <w:numFmt w:val="bullet"/>
      <w:lvlText w:val=""/>
      <w:lvlJc w:val="left"/>
      <w:pPr>
        <w:ind w:left="2880" w:hanging="360"/>
      </w:pPr>
      <w:rPr>
        <w:rFonts w:ascii="Symbol" w:hAnsi="Symbol" w:hint="default"/>
      </w:rPr>
    </w:lvl>
    <w:lvl w:ilvl="4" w:tplc="CAA266B0" w:tentative="1">
      <w:start w:val="1"/>
      <w:numFmt w:val="bullet"/>
      <w:lvlText w:val="o"/>
      <w:lvlJc w:val="left"/>
      <w:pPr>
        <w:ind w:left="3600" w:hanging="360"/>
      </w:pPr>
      <w:rPr>
        <w:rFonts w:ascii="Courier New" w:hAnsi="Courier New" w:cs="Courier New" w:hint="default"/>
      </w:rPr>
    </w:lvl>
    <w:lvl w:ilvl="5" w:tplc="C7405BB6" w:tentative="1">
      <w:start w:val="1"/>
      <w:numFmt w:val="bullet"/>
      <w:lvlText w:val=""/>
      <w:lvlJc w:val="left"/>
      <w:pPr>
        <w:ind w:left="4320" w:hanging="360"/>
      </w:pPr>
      <w:rPr>
        <w:rFonts w:ascii="Wingdings" w:hAnsi="Wingdings" w:hint="default"/>
      </w:rPr>
    </w:lvl>
    <w:lvl w:ilvl="6" w:tplc="E4540664" w:tentative="1">
      <w:start w:val="1"/>
      <w:numFmt w:val="bullet"/>
      <w:lvlText w:val=""/>
      <w:lvlJc w:val="left"/>
      <w:pPr>
        <w:ind w:left="5040" w:hanging="360"/>
      </w:pPr>
      <w:rPr>
        <w:rFonts w:ascii="Symbol" w:hAnsi="Symbol" w:hint="default"/>
      </w:rPr>
    </w:lvl>
    <w:lvl w:ilvl="7" w:tplc="8676F04A" w:tentative="1">
      <w:start w:val="1"/>
      <w:numFmt w:val="bullet"/>
      <w:lvlText w:val="o"/>
      <w:lvlJc w:val="left"/>
      <w:pPr>
        <w:ind w:left="5760" w:hanging="360"/>
      </w:pPr>
      <w:rPr>
        <w:rFonts w:ascii="Courier New" w:hAnsi="Courier New" w:cs="Courier New" w:hint="default"/>
      </w:rPr>
    </w:lvl>
    <w:lvl w:ilvl="8" w:tplc="0C50BC60" w:tentative="1">
      <w:start w:val="1"/>
      <w:numFmt w:val="bullet"/>
      <w:lvlText w:val=""/>
      <w:lvlJc w:val="left"/>
      <w:pPr>
        <w:ind w:left="6480" w:hanging="360"/>
      </w:pPr>
      <w:rPr>
        <w:rFonts w:ascii="Wingdings" w:hAnsi="Wingdings" w:hint="default"/>
      </w:rPr>
    </w:lvl>
  </w:abstractNum>
  <w:abstractNum w:abstractNumId="9" w15:restartNumberingAfterBreak="0">
    <w:nsid w:val="1D5F7D1B"/>
    <w:multiLevelType w:val="singleLevel"/>
    <w:tmpl w:val="848C752C"/>
    <w:lvl w:ilvl="0">
      <w:start w:val="1"/>
      <w:numFmt w:val="decimal"/>
      <w:pStyle w:val="Listaconnmeros2"/>
      <w:lvlText w:val="%1."/>
      <w:lvlJc w:val="left"/>
      <w:pPr>
        <w:tabs>
          <w:tab w:val="num" w:pos="792"/>
        </w:tabs>
        <w:ind w:left="792" w:hanging="432"/>
      </w:pPr>
    </w:lvl>
  </w:abstractNum>
  <w:abstractNum w:abstractNumId="10" w15:restartNumberingAfterBreak="0">
    <w:nsid w:val="21283E18"/>
    <w:multiLevelType w:val="hybridMultilevel"/>
    <w:tmpl w:val="83246C3A"/>
    <w:lvl w:ilvl="0" w:tplc="B7B42C5A">
      <w:start w:val="1"/>
      <w:numFmt w:val="lowerLetter"/>
      <w:lvlText w:val="(%1)"/>
      <w:lvlJc w:val="left"/>
      <w:pPr>
        <w:ind w:left="3240" w:hanging="360"/>
      </w:pPr>
      <w:rPr>
        <w:rFonts w:hint="default"/>
      </w:rPr>
    </w:lvl>
    <w:lvl w:ilvl="1" w:tplc="C57CBAC2" w:tentative="1">
      <w:start w:val="1"/>
      <w:numFmt w:val="lowerLetter"/>
      <w:lvlText w:val="%2."/>
      <w:lvlJc w:val="left"/>
      <w:pPr>
        <w:ind w:left="3960" w:hanging="360"/>
      </w:pPr>
    </w:lvl>
    <w:lvl w:ilvl="2" w:tplc="2302646C" w:tentative="1">
      <w:start w:val="1"/>
      <w:numFmt w:val="lowerRoman"/>
      <w:lvlText w:val="%3."/>
      <w:lvlJc w:val="right"/>
      <w:pPr>
        <w:ind w:left="4680" w:hanging="180"/>
      </w:pPr>
    </w:lvl>
    <w:lvl w:ilvl="3" w:tplc="DC02FB50" w:tentative="1">
      <w:start w:val="1"/>
      <w:numFmt w:val="decimal"/>
      <w:lvlText w:val="%4."/>
      <w:lvlJc w:val="left"/>
      <w:pPr>
        <w:ind w:left="5400" w:hanging="360"/>
      </w:pPr>
    </w:lvl>
    <w:lvl w:ilvl="4" w:tplc="E748697E" w:tentative="1">
      <w:start w:val="1"/>
      <w:numFmt w:val="lowerLetter"/>
      <w:lvlText w:val="%5."/>
      <w:lvlJc w:val="left"/>
      <w:pPr>
        <w:ind w:left="6120" w:hanging="360"/>
      </w:pPr>
    </w:lvl>
    <w:lvl w:ilvl="5" w:tplc="663EB8D4" w:tentative="1">
      <w:start w:val="1"/>
      <w:numFmt w:val="lowerRoman"/>
      <w:lvlText w:val="%6."/>
      <w:lvlJc w:val="right"/>
      <w:pPr>
        <w:ind w:left="6840" w:hanging="180"/>
      </w:pPr>
    </w:lvl>
    <w:lvl w:ilvl="6" w:tplc="4796B848" w:tentative="1">
      <w:start w:val="1"/>
      <w:numFmt w:val="decimal"/>
      <w:lvlText w:val="%7."/>
      <w:lvlJc w:val="left"/>
      <w:pPr>
        <w:ind w:left="7560" w:hanging="360"/>
      </w:pPr>
    </w:lvl>
    <w:lvl w:ilvl="7" w:tplc="1A302430" w:tentative="1">
      <w:start w:val="1"/>
      <w:numFmt w:val="lowerLetter"/>
      <w:lvlText w:val="%8."/>
      <w:lvlJc w:val="left"/>
      <w:pPr>
        <w:ind w:left="8280" w:hanging="360"/>
      </w:pPr>
    </w:lvl>
    <w:lvl w:ilvl="8" w:tplc="B5C4CCA6" w:tentative="1">
      <w:start w:val="1"/>
      <w:numFmt w:val="lowerRoman"/>
      <w:lvlText w:val="%9."/>
      <w:lvlJc w:val="right"/>
      <w:pPr>
        <w:ind w:left="9000" w:hanging="180"/>
      </w:pPr>
    </w:lvl>
  </w:abstractNum>
  <w:abstractNum w:abstractNumId="11" w15:restartNumberingAfterBreak="0">
    <w:nsid w:val="2C1D148B"/>
    <w:multiLevelType w:val="hybridMultilevel"/>
    <w:tmpl w:val="1FBCB8C2"/>
    <w:lvl w:ilvl="0" w:tplc="1842F4CC">
      <w:start w:val="1"/>
      <w:numFmt w:val="bullet"/>
      <w:lvlText w:val=""/>
      <w:lvlJc w:val="left"/>
      <w:pPr>
        <w:ind w:left="720" w:hanging="360"/>
      </w:pPr>
      <w:rPr>
        <w:rFonts w:ascii="Symbol" w:hAnsi="Symbol" w:hint="default"/>
        <w:color w:val="auto"/>
      </w:rPr>
    </w:lvl>
    <w:lvl w:ilvl="1" w:tplc="F500B0E2" w:tentative="1">
      <w:start w:val="1"/>
      <w:numFmt w:val="bullet"/>
      <w:lvlText w:val="o"/>
      <w:lvlJc w:val="left"/>
      <w:pPr>
        <w:ind w:left="1440" w:hanging="360"/>
      </w:pPr>
      <w:rPr>
        <w:rFonts w:ascii="Courier New" w:hAnsi="Courier New" w:cs="Courier New" w:hint="default"/>
      </w:rPr>
    </w:lvl>
    <w:lvl w:ilvl="2" w:tplc="4AE6EC4E" w:tentative="1">
      <w:start w:val="1"/>
      <w:numFmt w:val="bullet"/>
      <w:lvlText w:val=""/>
      <w:lvlJc w:val="left"/>
      <w:pPr>
        <w:ind w:left="2160" w:hanging="360"/>
      </w:pPr>
      <w:rPr>
        <w:rFonts w:ascii="Wingdings" w:hAnsi="Wingdings" w:hint="default"/>
      </w:rPr>
    </w:lvl>
    <w:lvl w:ilvl="3" w:tplc="1548CD6E" w:tentative="1">
      <w:start w:val="1"/>
      <w:numFmt w:val="bullet"/>
      <w:lvlText w:val=""/>
      <w:lvlJc w:val="left"/>
      <w:pPr>
        <w:ind w:left="2880" w:hanging="360"/>
      </w:pPr>
      <w:rPr>
        <w:rFonts w:ascii="Symbol" w:hAnsi="Symbol" w:hint="default"/>
      </w:rPr>
    </w:lvl>
    <w:lvl w:ilvl="4" w:tplc="B0683586" w:tentative="1">
      <w:start w:val="1"/>
      <w:numFmt w:val="bullet"/>
      <w:lvlText w:val="o"/>
      <w:lvlJc w:val="left"/>
      <w:pPr>
        <w:ind w:left="3600" w:hanging="360"/>
      </w:pPr>
      <w:rPr>
        <w:rFonts w:ascii="Courier New" w:hAnsi="Courier New" w:cs="Courier New" w:hint="default"/>
      </w:rPr>
    </w:lvl>
    <w:lvl w:ilvl="5" w:tplc="D5AE2CFC" w:tentative="1">
      <w:start w:val="1"/>
      <w:numFmt w:val="bullet"/>
      <w:lvlText w:val=""/>
      <w:lvlJc w:val="left"/>
      <w:pPr>
        <w:ind w:left="4320" w:hanging="360"/>
      </w:pPr>
      <w:rPr>
        <w:rFonts w:ascii="Wingdings" w:hAnsi="Wingdings" w:hint="default"/>
      </w:rPr>
    </w:lvl>
    <w:lvl w:ilvl="6" w:tplc="24566BE0" w:tentative="1">
      <w:start w:val="1"/>
      <w:numFmt w:val="bullet"/>
      <w:lvlText w:val=""/>
      <w:lvlJc w:val="left"/>
      <w:pPr>
        <w:ind w:left="5040" w:hanging="360"/>
      </w:pPr>
      <w:rPr>
        <w:rFonts w:ascii="Symbol" w:hAnsi="Symbol" w:hint="default"/>
      </w:rPr>
    </w:lvl>
    <w:lvl w:ilvl="7" w:tplc="128023A2" w:tentative="1">
      <w:start w:val="1"/>
      <w:numFmt w:val="bullet"/>
      <w:lvlText w:val="o"/>
      <w:lvlJc w:val="left"/>
      <w:pPr>
        <w:ind w:left="5760" w:hanging="360"/>
      </w:pPr>
      <w:rPr>
        <w:rFonts w:ascii="Courier New" w:hAnsi="Courier New" w:cs="Courier New" w:hint="default"/>
      </w:rPr>
    </w:lvl>
    <w:lvl w:ilvl="8" w:tplc="60A62A48" w:tentative="1">
      <w:start w:val="1"/>
      <w:numFmt w:val="bullet"/>
      <w:lvlText w:val=""/>
      <w:lvlJc w:val="left"/>
      <w:pPr>
        <w:ind w:left="6480" w:hanging="360"/>
      </w:pPr>
      <w:rPr>
        <w:rFonts w:ascii="Wingdings" w:hAnsi="Wingdings" w:hint="default"/>
      </w:rPr>
    </w:lvl>
  </w:abstractNum>
  <w:abstractNum w:abstractNumId="12" w15:restartNumberingAfterBreak="0">
    <w:nsid w:val="2E400AE5"/>
    <w:multiLevelType w:val="hybridMultilevel"/>
    <w:tmpl w:val="B0949A12"/>
    <w:lvl w:ilvl="0" w:tplc="8BFEFA4C">
      <w:start w:val="1"/>
      <w:numFmt w:val="lowerLetter"/>
      <w:lvlText w:val="(%1)"/>
      <w:lvlJc w:val="left"/>
      <w:pPr>
        <w:ind w:left="720" w:hanging="360"/>
      </w:pPr>
      <w:rPr>
        <w:rFonts w:hint="default"/>
      </w:rPr>
    </w:lvl>
    <w:lvl w:ilvl="1" w:tplc="E0F249E4" w:tentative="1">
      <w:start w:val="1"/>
      <w:numFmt w:val="lowerLetter"/>
      <w:lvlText w:val="%2."/>
      <w:lvlJc w:val="left"/>
      <w:pPr>
        <w:ind w:left="1440" w:hanging="360"/>
      </w:pPr>
    </w:lvl>
    <w:lvl w:ilvl="2" w:tplc="FDC2BD82" w:tentative="1">
      <w:start w:val="1"/>
      <w:numFmt w:val="lowerRoman"/>
      <w:lvlText w:val="%3."/>
      <w:lvlJc w:val="right"/>
      <w:pPr>
        <w:ind w:left="2160" w:hanging="180"/>
      </w:pPr>
    </w:lvl>
    <w:lvl w:ilvl="3" w:tplc="DB26ECEC" w:tentative="1">
      <w:start w:val="1"/>
      <w:numFmt w:val="decimal"/>
      <w:lvlText w:val="%4."/>
      <w:lvlJc w:val="left"/>
      <w:pPr>
        <w:ind w:left="2880" w:hanging="360"/>
      </w:pPr>
    </w:lvl>
    <w:lvl w:ilvl="4" w:tplc="9E2CAE22" w:tentative="1">
      <w:start w:val="1"/>
      <w:numFmt w:val="lowerLetter"/>
      <w:lvlText w:val="%5."/>
      <w:lvlJc w:val="left"/>
      <w:pPr>
        <w:ind w:left="3600" w:hanging="360"/>
      </w:pPr>
    </w:lvl>
    <w:lvl w:ilvl="5" w:tplc="C2C82C16" w:tentative="1">
      <w:start w:val="1"/>
      <w:numFmt w:val="lowerRoman"/>
      <w:lvlText w:val="%6."/>
      <w:lvlJc w:val="right"/>
      <w:pPr>
        <w:ind w:left="4320" w:hanging="180"/>
      </w:pPr>
    </w:lvl>
    <w:lvl w:ilvl="6" w:tplc="9490D19E" w:tentative="1">
      <w:start w:val="1"/>
      <w:numFmt w:val="decimal"/>
      <w:lvlText w:val="%7."/>
      <w:lvlJc w:val="left"/>
      <w:pPr>
        <w:ind w:left="5040" w:hanging="360"/>
      </w:pPr>
    </w:lvl>
    <w:lvl w:ilvl="7" w:tplc="449C704C" w:tentative="1">
      <w:start w:val="1"/>
      <w:numFmt w:val="lowerLetter"/>
      <w:lvlText w:val="%8."/>
      <w:lvlJc w:val="left"/>
      <w:pPr>
        <w:ind w:left="5760" w:hanging="360"/>
      </w:pPr>
    </w:lvl>
    <w:lvl w:ilvl="8" w:tplc="A208899E" w:tentative="1">
      <w:start w:val="1"/>
      <w:numFmt w:val="lowerRoman"/>
      <w:lvlText w:val="%9."/>
      <w:lvlJc w:val="right"/>
      <w:pPr>
        <w:ind w:left="6480" w:hanging="180"/>
      </w:pPr>
    </w:lvl>
  </w:abstractNum>
  <w:abstractNum w:abstractNumId="13" w15:restartNumberingAfterBreak="0">
    <w:nsid w:val="30C479F5"/>
    <w:multiLevelType w:val="hybridMultilevel"/>
    <w:tmpl w:val="BCA6D216"/>
    <w:lvl w:ilvl="0" w:tplc="497A559E">
      <w:start w:val="1"/>
      <w:numFmt w:val="bullet"/>
      <w:lvlText w:val=""/>
      <w:lvlJc w:val="left"/>
      <w:pPr>
        <w:ind w:left="1080" w:hanging="360"/>
      </w:pPr>
      <w:rPr>
        <w:rFonts w:ascii="Symbol" w:hAnsi="Symbol" w:hint="default"/>
        <w:color w:val="FF0000"/>
      </w:rPr>
    </w:lvl>
    <w:lvl w:ilvl="1" w:tplc="16D44AC0" w:tentative="1">
      <w:start w:val="1"/>
      <w:numFmt w:val="bullet"/>
      <w:lvlText w:val="o"/>
      <w:lvlJc w:val="left"/>
      <w:pPr>
        <w:ind w:left="1800" w:hanging="360"/>
      </w:pPr>
      <w:rPr>
        <w:rFonts w:ascii="Courier New" w:hAnsi="Courier New" w:cs="Courier New" w:hint="default"/>
      </w:rPr>
    </w:lvl>
    <w:lvl w:ilvl="2" w:tplc="F9AE22F2" w:tentative="1">
      <w:start w:val="1"/>
      <w:numFmt w:val="bullet"/>
      <w:lvlText w:val=""/>
      <w:lvlJc w:val="left"/>
      <w:pPr>
        <w:ind w:left="2520" w:hanging="360"/>
      </w:pPr>
      <w:rPr>
        <w:rFonts w:ascii="Wingdings" w:hAnsi="Wingdings" w:hint="default"/>
      </w:rPr>
    </w:lvl>
    <w:lvl w:ilvl="3" w:tplc="E58E2F06" w:tentative="1">
      <w:start w:val="1"/>
      <w:numFmt w:val="bullet"/>
      <w:lvlText w:val=""/>
      <w:lvlJc w:val="left"/>
      <w:pPr>
        <w:ind w:left="3240" w:hanging="360"/>
      </w:pPr>
      <w:rPr>
        <w:rFonts w:ascii="Symbol" w:hAnsi="Symbol" w:hint="default"/>
      </w:rPr>
    </w:lvl>
    <w:lvl w:ilvl="4" w:tplc="4B627F50" w:tentative="1">
      <w:start w:val="1"/>
      <w:numFmt w:val="bullet"/>
      <w:lvlText w:val="o"/>
      <w:lvlJc w:val="left"/>
      <w:pPr>
        <w:ind w:left="3960" w:hanging="360"/>
      </w:pPr>
      <w:rPr>
        <w:rFonts w:ascii="Courier New" w:hAnsi="Courier New" w:cs="Courier New" w:hint="default"/>
      </w:rPr>
    </w:lvl>
    <w:lvl w:ilvl="5" w:tplc="AFDE6426" w:tentative="1">
      <w:start w:val="1"/>
      <w:numFmt w:val="bullet"/>
      <w:lvlText w:val=""/>
      <w:lvlJc w:val="left"/>
      <w:pPr>
        <w:ind w:left="4680" w:hanging="360"/>
      </w:pPr>
      <w:rPr>
        <w:rFonts w:ascii="Wingdings" w:hAnsi="Wingdings" w:hint="default"/>
      </w:rPr>
    </w:lvl>
    <w:lvl w:ilvl="6" w:tplc="6568DE76" w:tentative="1">
      <w:start w:val="1"/>
      <w:numFmt w:val="bullet"/>
      <w:lvlText w:val=""/>
      <w:lvlJc w:val="left"/>
      <w:pPr>
        <w:ind w:left="5400" w:hanging="360"/>
      </w:pPr>
      <w:rPr>
        <w:rFonts w:ascii="Symbol" w:hAnsi="Symbol" w:hint="default"/>
      </w:rPr>
    </w:lvl>
    <w:lvl w:ilvl="7" w:tplc="F8B60E04" w:tentative="1">
      <w:start w:val="1"/>
      <w:numFmt w:val="bullet"/>
      <w:lvlText w:val="o"/>
      <w:lvlJc w:val="left"/>
      <w:pPr>
        <w:ind w:left="6120" w:hanging="360"/>
      </w:pPr>
      <w:rPr>
        <w:rFonts w:ascii="Courier New" w:hAnsi="Courier New" w:cs="Courier New" w:hint="default"/>
      </w:rPr>
    </w:lvl>
    <w:lvl w:ilvl="8" w:tplc="EAB22FFC" w:tentative="1">
      <w:start w:val="1"/>
      <w:numFmt w:val="bullet"/>
      <w:lvlText w:val=""/>
      <w:lvlJc w:val="left"/>
      <w:pPr>
        <w:ind w:left="6840" w:hanging="360"/>
      </w:pPr>
      <w:rPr>
        <w:rFonts w:ascii="Wingdings" w:hAnsi="Wingdings" w:hint="default"/>
      </w:rPr>
    </w:lvl>
  </w:abstractNum>
  <w:abstractNum w:abstractNumId="14" w15:restartNumberingAfterBreak="0">
    <w:nsid w:val="36D3795C"/>
    <w:multiLevelType w:val="hybridMultilevel"/>
    <w:tmpl w:val="4340595C"/>
    <w:lvl w:ilvl="0" w:tplc="C41E676C">
      <w:start w:val="1"/>
      <w:numFmt w:val="decimal"/>
      <w:lvlText w:val="%1)"/>
      <w:lvlJc w:val="left"/>
      <w:pPr>
        <w:ind w:left="720" w:hanging="360"/>
      </w:pPr>
    </w:lvl>
    <w:lvl w:ilvl="1" w:tplc="EFE0F83A" w:tentative="1">
      <w:start w:val="1"/>
      <w:numFmt w:val="lowerLetter"/>
      <w:lvlText w:val="%2."/>
      <w:lvlJc w:val="left"/>
      <w:pPr>
        <w:ind w:left="1440" w:hanging="360"/>
      </w:pPr>
    </w:lvl>
    <w:lvl w:ilvl="2" w:tplc="5838CF28" w:tentative="1">
      <w:start w:val="1"/>
      <w:numFmt w:val="lowerRoman"/>
      <w:lvlText w:val="%3."/>
      <w:lvlJc w:val="right"/>
      <w:pPr>
        <w:ind w:left="2160" w:hanging="180"/>
      </w:pPr>
    </w:lvl>
    <w:lvl w:ilvl="3" w:tplc="CF6850E0" w:tentative="1">
      <w:start w:val="1"/>
      <w:numFmt w:val="decimal"/>
      <w:lvlText w:val="%4."/>
      <w:lvlJc w:val="left"/>
      <w:pPr>
        <w:ind w:left="2880" w:hanging="360"/>
      </w:pPr>
    </w:lvl>
    <w:lvl w:ilvl="4" w:tplc="FDA433D2" w:tentative="1">
      <w:start w:val="1"/>
      <w:numFmt w:val="lowerLetter"/>
      <w:lvlText w:val="%5."/>
      <w:lvlJc w:val="left"/>
      <w:pPr>
        <w:ind w:left="3600" w:hanging="360"/>
      </w:pPr>
    </w:lvl>
    <w:lvl w:ilvl="5" w:tplc="89701208" w:tentative="1">
      <w:start w:val="1"/>
      <w:numFmt w:val="lowerRoman"/>
      <w:lvlText w:val="%6."/>
      <w:lvlJc w:val="right"/>
      <w:pPr>
        <w:ind w:left="4320" w:hanging="180"/>
      </w:pPr>
    </w:lvl>
    <w:lvl w:ilvl="6" w:tplc="FA4CF07A" w:tentative="1">
      <w:start w:val="1"/>
      <w:numFmt w:val="decimal"/>
      <w:lvlText w:val="%7."/>
      <w:lvlJc w:val="left"/>
      <w:pPr>
        <w:ind w:left="5040" w:hanging="360"/>
      </w:pPr>
    </w:lvl>
    <w:lvl w:ilvl="7" w:tplc="233AB4DE" w:tentative="1">
      <w:start w:val="1"/>
      <w:numFmt w:val="lowerLetter"/>
      <w:lvlText w:val="%8."/>
      <w:lvlJc w:val="left"/>
      <w:pPr>
        <w:ind w:left="5760" w:hanging="360"/>
      </w:pPr>
    </w:lvl>
    <w:lvl w:ilvl="8" w:tplc="18061246" w:tentative="1">
      <w:start w:val="1"/>
      <w:numFmt w:val="lowerRoman"/>
      <w:lvlText w:val="%9."/>
      <w:lvlJc w:val="right"/>
      <w:pPr>
        <w:ind w:left="6480" w:hanging="180"/>
      </w:pPr>
    </w:lvl>
  </w:abstractNum>
  <w:abstractNum w:abstractNumId="15" w15:restartNumberingAfterBreak="0">
    <w:nsid w:val="3738194D"/>
    <w:multiLevelType w:val="hybridMultilevel"/>
    <w:tmpl w:val="05340024"/>
    <w:lvl w:ilvl="0" w:tplc="307EE002">
      <w:start w:val="1"/>
      <w:numFmt w:val="lowerLetter"/>
      <w:lvlText w:val="%1)"/>
      <w:lvlJc w:val="left"/>
      <w:pPr>
        <w:ind w:left="1080" w:hanging="360"/>
      </w:pPr>
      <w:rPr>
        <w:rFonts w:hint="default"/>
      </w:rPr>
    </w:lvl>
    <w:lvl w:ilvl="1" w:tplc="3F2CCA94" w:tentative="1">
      <w:start w:val="1"/>
      <w:numFmt w:val="lowerLetter"/>
      <w:lvlText w:val="%2."/>
      <w:lvlJc w:val="left"/>
      <w:pPr>
        <w:ind w:left="1800" w:hanging="360"/>
      </w:pPr>
    </w:lvl>
    <w:lvl w:ilvl="2" w:tplc="1E12DE70" w:tentative="1">
      <w:start w:val="1"/>
      <w:numFmt w:val="lowerRoman"/>
      <w:lvlText w:val="%3."/>
      <w:lvlJc w:val="right"/>
      <w:pPr>
        <w:ind w:left="2520" w:hanging="180"/>
      </w:pPr>
    </w:lvl>
    <w:lvl w:ilvl="3" w:tplc="E9783EAA" w:tentative="1">
      <w:start w:val="1"/>
      <w:numFmt w:val="decimal"/>
      <w:lvlText w:val="%4."/>
      <w:lvlJc w:val="left"/>
      <w:pPr>
        <w:ind w:left="3240" w:hanging="360"/>
      </w:pPr>
    </w:lvl>
    <w:lvl w:ilvl="4" w:tplc="7CC078D4" w:tentative="1">
      <w:start w:val="1"/>
      <w:numFmt w:val="lowerLetter"/>
      <w:lvlText w:val="%5."/>
      <w:lvlJc w:val="left"/>
      <w:pPr>
        <w:ind w:left="3960" w:hanging="360"/>
      </w:pPr>
    </w:lvl>
    <w:lvl w:ilvl="5" w:tplc="D7602D7E" w:tentative="1">
      <w:start w:val="1"/>
      <w:numFmt w:val="lowerRoman"/>
      <w:lvlText w:val="%6."/>
      <w:lvlJc w:val="right"/>
      <w:pPr>
        <w:ind w:left="4680" w:hanging="180"/>
      </w:pPr>
    </w:lvl>
    <w:lvl w:ilvl="6" w:tplc="C5E21402" w:tentative="1">
      <w:start w:val="1"/>
      <w:numFmt w:val="decimal"/>
      <w:lvlText w:val="%7."/>
      <w:lvlJc w:val="left"/>
      <w:pPr>
        <w:ind w:left="5400" w:hanging="360"/>
      </w:pPr>
    </w:lvl>
    <w:lvl w:ilvl="7" w:tplc="F22E75A8" w:tentative="1">
      <w:start w:val="1"/>
      <w:numFmt w:val="lowerLetter"/>
      <w:lvlText w:val="%8."/>
      <w:lvlJc w:val="left"/>
      <w:pPr>
        <w:ind w:left="6120" w:hanging="360"/>
      </w:pPr>
    </w:lvl>
    <w:lvl w:ilvl="8" w:tplc="460C977E" w:tentative="1">
      <w:start w:val="1"/>
      <w:numFmt w:val="lowerRoman"/>
      <w:lvlText w:val="%9."/>
      <w:lvlJc w:val="right"/>
      <w:pPr>
        <w:ind w:left="6840" w:hanging="180"/>
      </w:pPr>
    </w:lvl>
  </w:abstractNum>
  <w:abstractNum w:abstractNumId="16" w15:restartNumberingAfterBreak="0">
    <w:nsid w:val="38892506"/>
    <w:multiLevelType w:val="hybridMultilevel"/>
    <w:tmpl w:val="2C0AD4A0"/>
    <w:lvl w:ilvl="0" w:tplc="05D05BC4">
      <w:start w:val="1"/>
      <w:numFmt w:val="bullet"/>
      <w:lvlText w:val=""/>
      <w:lvlJc w:val="left"/>
      <w:pPr>
        <w:ind w:left="1080" w:hanging="360"/>
      </w:pPr>
      <w:rPr>
        <w:rFonts w:ascii="Symbol" w:hAnsi="Symbol" w:hint="default"/>
      </w:rPr>
    </w:lvl>
    <w:lvl w:ilvl="1" w:tplc="CCE27274" w:tentative="1">
      <w:start w:val="1"/>
      <w:numFmt w:val="bullet"/>
      <w:lvlText w:val="o"/>
      <w:lvlJc w:val="left"/>
      <w:pPr>
        <w:ind w:left="1800" w:hanging="360"/>
      </w:pPr>
      <w:rPr>
        <w:rFonts w:ascii="Courier New" w:hAnsi="Courier New" w:cs="Courier New" w:hint="default"/>
      </w:rPr>
    </w:lvl>
    <w:lvl w:ilvl="2" w:tplc="59E65EC4" w:tentative="1">
      <w:start w:val="1"/>
      <w:numFmt w:val="bullet"/>
      <w:lvlText w:val=""/>
      <w:lvlJc w:val="left"/>
      <w:pPr>
        <w:ind w:left="2520" w:hanging="360"/>
      </w:pPr>
      <w:rPr>
        <w:rFonts w:ascii="Wingdings" w:hAnsi="Wingdings" w:hint="default"/>
      </w:rPr>
    </w:lvl>
    <w:lvl w:ilvl="3" w:tplc="E188A29C" w:tentative="1">
      <w:start w:val="1"/>
      <w:numFmt w:val="bullet"/>
      <w:lvlText w:val=""/>
      <w:lvlJc w:val="left"/>
      <w:pPr>
        <w:ind w:left="3240" w:hanging="360"/>
      </w:pPr>
      <w:rPr>
        <w:rFonts w:ascii="Symbol" w:hAnsi="Symbol" w:hint="default"/>
      </w:rPr>
    </w:lvl>
    <w:lvl w:ilvl="4" w:tplc="B890D9E0" w:tentative="1">
      <w:start w:val="1"/>
      <w:numFmt w:val="bullet"/>
      <w:lvlText w:val="o"/>
      <w:lvlJc w:val="left"/>
      <w:pPr>
        <w:ind w:left="3960" w:hanging="360"/>
      </w:pPr>
      <w:rPr>
        <w:rFonts w:ascii="Courier New" w:hAnsi="Courier New" w:cs="Courier New" w:hint="default"/>
      </w:rPr>
    </w:lvl>
    <w:lvl w:ilvl="5" w:tplc="F816009C" w:tentative="1">
      <w:start w:val="1"/>
      <w:numFmt w:val="bullet"/>
      <w:lvlText w:val=""/>
      <w:lvlJc w:val="left"/>
      <w:pPr>
        <w:ind w:left="4680" w:hanging="360"/>
      </w:pPr>
      <w:rPr>
        <w:rFonts w:ascii="Wingdings" w:hAnsi="Wingdings" w:hint="default"/>
      </w:rPr>
    </w:lvl>
    <w:lvl w:ilvl="6" w:tplc="998642CC" w:tentative="1">
      <w:start w:val="1"/>
      <w:numFmt w:val="bullet"/>
      <w:lvlText w:val=""/>
      <w:lvlJc w:val="left"/>
      <w:pPr>
        <w:ind w:left="5400" w:hanging="360"/>
      </w:pPr>
      <w:rPr>
        <w:rFonts w:ascii="Symbol" w:hAnsi="Symbol" w:hint="default"/>
      </w:rPr>
    </w:lvl>
    <w:lvl w:ilvl="7" w:tplc="EF16DCDE" w:tentative="1">
      <w:start w:val="1"/>
      <w:numFmt w:val="bullet"/>
      <w:lvlText w:val="o"/>
      <w:lvlJc w:val="left"/>
      <w:pPr>
        <w:ind w:left="6120" w:hanging="360"/>
      </w:pPr>
      <w:rPr>
        <w:rFonts w:ascii="Courier New" w:hAnsi="Courier New" w:cs="Courier New" w:hint="default"/>
      </w:rPr>
    </w:lvl>
    <w:lvl w:ilvl="8" w:tplc="AEF8E610" w:tentative="1">
      <w:start w:val="1"/>
      <w:numFmt w:val="bullet"/>
      <w:lvlText w:val=""/>
      <w:lvlJc w:val="left"/>
      <w:pPr>
        <w:ind w:left="6840" w:hanging="360"/>
      </w:pPr>
      <w:rPr>
        <w:rFonts w:ascii="Wingdings" w:hAnsi="Wingdings" w:hint="default"/>
      </w:rPr>
    </w:lvl>
  </w:abstractNum>
  <w:abstractNum w:abstractNumId="17" w15:restartNumberingAfterBreak="0">
    <w:nsid w:val="3BD763A7"/>
    <w:multiLevelType w:val="hybridMultilevel"/>
    <w:tmpl w:val="82C8D216"/>
    <w:lvl w:ilvl="0" w:tplc="1B76D04C">
      <w:start w:val="1"/>
      <w:numFmt w:val="bullet"/>
      <w:lvlText w:val=""/>
      <w:lvlJc w:val="left"/>
      <w:pPr>
        <w:ind w:left="720" w:hanging="360"/>
      </w:pPr>
      <w:rPr>
        <w:rFonts w:ascii="Symbol" w:hAnsi="Symbol" w:hint="default"/>
      </w:rPr>
    </w:lvl>
    <w:lvl w:ilvl="1" w:tplc="AEEAC2B6" w:tentative="1">
      <w:start w:val="1"/>
      <w:numFmt w:val="bullet"/>
      <w:lvlText w:val="o"/>
      <w:lvlJc w:val="left"/>
      <w:pPr>
        <w:ind w:left="1440" w:hanging="360"/>
      </w:pPr>
      <w:rPr>
        <w:rFonts w:ascii="Courier New" w:hAnsi="Courier New" w:cs="Courier New" w:hint="default"/>
      </w:rPr>
    </w:lvl>
    <w:lvl w:ilvl="2" w:tplc="526C8748" w:tentative="1">
      <w:start w:val="1"/>
      <w:numFmt w:val="bullet"/>
      <w:lvlText w:val=""/>
      <w:lvlJc w:val="left"/>
      <w:pPr>
        <w:ind w:left="2160" w:hanging="360"/>
      </w:pPr>
      <w:rPr>
        <w:rFonts w:ascii="Wingdings" w:hAnsi="Wingdings" w:hint="default"/>
      </w:rPr>
    </w:lvl>
    <w:lvl w:ilvl="3" w:tplc="366E6BDC" w:tentative="1">
      <w:start w:val="1"/>
      <w:numFmt w:val="bullet"/>
      <w:lvlText w:val=""/>
      <w:lvlJc w:val="left"/>
      <w:pPr>
        <w:ind w:left="2880" w:hanging="360"/>
      </w:pPr>
      <w:rPr>
        <w:rFonts w:ascii="Symbol" w:hAnsi="Symbol" w:hint="default"/>
      </w:rPr>
    </w:lvl>
    <w:lvl w:ilvl="4" w:tplc="5AB08372" w:tentative="1">
      <w:start w:val="1"/>
      <w:numFmt w:val="bullet"/>
      <w:lvlText w:val="o"/>
      <w:lvlJc w:val="left"/>
      <w:pPr>
        <w:ind w:left="3600" w:hanging="360"/>
      </w:pPr>
      <w:rPr>
        <w:rFonts w:ascii="Courier New" w:hAnsi="Courier New" w:cs="Courier New" w:hint="default"/>
      </w:rPr>
    </w:lvl>
    <w:lvl w:ilvl="5" w:tplc="1E82C120" w:tentative="1">
      <w:start w:val="1"/>
      <w:numFmt w:val="bullet"/>
      <w:lvlText w:val=""/>
      <w:lvlJc w:val="left"/>
      <w:pPr>
        <w:ind w:left="4320" w:hanging="360"/>
      </w:pPr>
      <w:rPr>
        <w:rFonts w:ascii="Wingdings" w:hAnsi="Wingdings" w:hint="default"/>
      </w:rPr>
    </w:lvl>
    <w:lvl w:ilvl="6" w:tplc="75606D7E" w:tentative="1">
      <w:start w:val="1"/>
      <w:numFmt w:val="bullet"/>
      <w:lvlText w:val=""/>
      <w:lvlJc w:val="left"/>
      <w:pPr>
        <w:ind w:left="5040" w:hanging="360"/>
      </w:pPr>
      <w:rPr>
        <w:rFonts w:ascii="Symbol" w:hAnsi="Symbol" w:hint="default"/>
      </w:rPr>
    </w:lvl>
    <w:lvl w:ilvl="7" w:tplc="F1B2E3F6" w:tentative="1">
      <w:start w:val="1"/>
      <w:numFmt w:val="bullet"/>
      <w:lvlText w:val="o"/>
      <w:lvlJc w:val="left"/>
      <w:pPr>
        <w:ind w:left="5760" w:hanging="360"/>
      </w:pPr>
      <w:rPr>
        <w:rFonts w:ascii="Courier New" w:hAnsi="Courier New" w:cs="Courier New" w:hint="default"/>
      </w:rPr>
    </w:lvl>
    <w:lvl w:ilvl="8" w:tplc="ED7C634A" w:tentative="1">
      <w:start w:val="1"/>
      <w:numFmt w:val="bullet"/>
      <w:lvlText w:val=""/>
      <w:lvlJc w:val="left"/>
      <w:pPr>
        <w:ind w:left="6480" w:hanging="360"/>
      </w:pPr>
      <w:rPr>
        <w:rFonts w:ascii="Wingdings" w:hAnsi="Wingdings" w:hint="default"/>
      </w:rPr>
    </w:lvl>
  </w:abstractNum>
  <w:abstractNum w:abstractNumId="18" w15:restartNumberingAfterBreak="0">
    <w:nsid w:val="48897DCD"/>
    <w:multiLevelType w:val="hybridMultilevel"/>
    <w:tmpl w:val="CB502F54"/>
    <w:lvl w:ilvl="0" w:tplc="AF363A60">
      <w:start w:val="1"/>
      <w:numFmt w:val="bullet"/>
      <w:lvlText w:val=""/>
      <w:lvlJc w:val="left"/>
      <w:pPr>
        <w:ind w:left="1080" w:hanging="360"/>
      </w:pPr>
      <w:rPr>
        <w:rFonts w:ascii="Symbol" w:hAnsi="Symbol" w:hint="default"/>
      </w:rPr>
    </w:lvl>
    <w:lvl w:ilvl="1" w:tplc="D6503D2A" w:tentative="1">
      <w:start w:val="1"/>
      <w:numFmt w:val="bullet"/>
      <w:lvlText w:val="o"/>
      <w:lvlJc w:val="left"/>
      <w:pPr>
        <w:ind w:left="1800" w:hanging="360"/>
      </w:pPr>
      <w:rPr>
        <w:rFonts w:ascii="Courier New" w:hAnsi="Courier New" w:cs="Courier New" w:hint="default"/>
      </w:rPr>
    </w:lvl>
    <w:lvl w:ilvl="2" w:tplc="E846641A" w:tentative="1">
      <w:start w:val="1"/>
      <w:numFmt w:val="bullet"/>
      <w:lvlText w:val=""/>
      <w:lvlJc w:val="left"/>
      <w:pPr>
        <w:ind w:left="2520" w:hanging="360"/>
      </w:pPr>
      <w:rPr>
        <w:rFonts w:ascii="Wingdings" w:hAnsi="Wingdings" w:hint="default"/>
      </w:rPr>
    </w:lvl>
    <w:lvl w:ilvl="3" w:tplc="CF4057AA" w:tentative="1">
      <w:start w:val="1"/>
      <w:numFmt w:val="bullet"/>
      <w:lvlText w:val=""/>
      <w:lvlJc w:val="left"/>
      <w:pPr>
        <w:ind w:left="3240" w:hanging="360"/>
      </w:pPr>
      <w:rPr>
        <w:rFonts w:ascii="Symbol" w:hAnsi="Symbol" w:hint="default"/>
      </w:rPr>
    </w:lvl>
    <w:lvl w:ilvl="4" w:tplc="A760B1E6" w:tentative="1">
      <w:start w:val="1"/>
      <w:numFmt w:val="bullet"/>
      <w:lvlText w:val="o"/>
      <w:lvlJc w:val="left"/>
      <w:pPr>
        <w:ind w:left="3960" w:hanging="360"/>
      </w:pPr>
      <w:rPr>
        <w:rFonts w:ascii="Courier New" w:hAnsi="Courier New" w:cs="Courier New" w:hint="default"/>
      </w:rPr>
    </w:lvl>
    <w:lvl w:ilvl="5" w:tplc="7980C37C" w:tentative="1">
      <w:start w:val="1"/>
      <w:numFmt w:val="bullet"/>
      <w:lvlText w:val=""/>
      <w:lvlJc w:val="left"/>
      <w:pPr>
        <w:ind w:left="4680" w:hanging="360"/>
      </w:pPr>
      <w:rPr>
        <w:rFonts w:ascii="Wingdings" w:hAnsi="Wingdings" w:hint="default"/>
      </w:rPr>
    </w:lvl>
    <w:lvl w:ilvl="6" w:tplc="12FE0C96" w:tentative="1">
      <w:start w:val="1"/>
      <w:numFmt w:val="bullet"/>
      <w:lvlText w:val=""/>
      <w:lvlJc w:val="left"/>
      <w:pPr>
        <w:ind w:left="5400" w:hanging="360"/>
      </w:pPr>
      <w:rPr>
        <w:rFonts w:ascii="Symbol" w:hAnsi="Symbol" w:hint="default"/>
      </w:rPr>
    </w:lvl>
    <w:lvl w:ilvl="7" w:tplc="1E6458FC" w:tentative="1">
      <w:start w:val="1"/>
      <w:numFmt w:val="bullet"/>
      <w:lvlText w:val="o"/>
      <w:lvlJc w:val="left"/>
      <w:pPr>
        <w:ind w:left="6120" w:hanging="360"/>
      </w:pPr>
      <w:rPr>
        <w:rFonts w:ascii="Courier New" w:hAnsi="Courier New" w:cs="Courier New" w:hint="default"/>
      </w:rPr>
    </w:lvl>
    <w:lvl w:ilvl="8" w:tplc="58B2290C" w:tentative="1">
      <w:start w:val="1"/>
      <w:numFmt w:val="bullet"/>
      <w:lvlText w:val=""/>
      <w:lvlJc w:val="left"/>
      <w:pPr>
        <w:ind w:left="6840" w:hanging="360"/>
      </w:pPr>
      <w:rPr>
        <w:rFonts w:ascii="Wingdings" w:hAnsi="Wingdings" w:hint="default"/>
      </w:rPr>
    </w:lvl>
  </w:abstractNum>
  <w:abstractNum w:abstractNumId="19" w15:restartNumberingAfterBreak="0">
    <w:nsid w:val="4CE24253"/>
    <w:multiLevelType w:val="hybridMultilevel"/>
    <w:tmpl w:val="FF4C8938"/>
    <w:lvl w:ilvl="0" w:tplc="62FCD8DA">
      <w:start w:val="1"/>
      <w:numFmt w:val="lowerLetter"/>
      <w:lvlText w:val="%1)"/>
      <w:lvlJc w:val="left"/>
      <w:pPr>
        <w:ind w:left="720" w:hanging="360"/>
      </w:pPr>
      <w:rPr>
        <w:rFonts w:hint="default"/>
      </w:rPr>
    </w:lvl>
    <w:lvl w:ilvl="1" w:tplc="D89C9596" w:tentative="1">
      <w:start w:val="1"/>
      <w:numFmt w:val="lowerLetter"/>
      <w:lvlText w:val="%2."/>
      <w:lvlJc w:val="left"/>
      <w:pPr>
        <w:ind w:left="1440" w:hanging="360"/>
      </w:pPr>
    </w:lvl>
    <w:lvl w:ilvl="2" w:tplc="0BF41462" w:tentative="1">
      <w:start w:val="1"/>
      <w:numFmt w:val="lowerRoman"/>
      <w:lvlText w:val="%3."/>
      <w:lvlJc w:val="right"/>
      <w:pPr>
        <w:ind w:left="2160" w:hanging="180"/>
      </w:pPr>
    </w:lvl>
    <w:lvl w:ilvl="3" w:tplc="5C3CFE6C" w:tentative="1">
      <w:start w:val="1"/>
      <w:numFmt w:val="decimal"/>
      <w:lvlText w:val="%4."/>
      <w:lvlJc w:val="left"/>
      <w:pPr>
        <w:ind w:left="2880" w:hanging="360"/>
      </w:pPr>
    </w:lvl>
    <w:lvl w:ilvl="4" w:tplc="1E5045F8" w:tentative="1">
      <w:start w:val="1"/>
      <w:numFmt w:val="lowerLetter"/>
      <w:lvlText w:val="%5."/>
      <w:lvlJc w:val="left"/>
      <w:pPr>
        <w:ind w:left="3600" w:hanging="360"/>
      </w:pPr>
    </w:lvl>
    <w:lvl w:ilvl="5" w:tplc="A1B05B10" w:tentative="1">
      <w:start w:val="1"/>
      <w:numFmt w:val="lowerRoman"/>
      <w:lvlText w:val="%6."/>
      <w:lvlJc w:val="right"/>
      <w:pPr>
        <w:ind w:left="4320" w:hanging="180"/>
      </w:pPr>
    </w:lvl>
    <w:lvl w:ilvl="6" w:tplc="C6E48AF8" w:tentative="1">
      <w:start w:val="1"/>
      <w:numFmt w:val="decimal"/>
      <w:lvlText w:val="%7."/>
      <w:lvlJc w:val="left"/>
      <w:pPr>
        <w:ind w:left="5040" w:hanging="360"/>
      </w:pPr>
    </w:lvl>
    <w:lvl w:ilvl="7" w:tplc="C33EC124" w:tentative="1">
      <w:start w:val="1"/>
      <w:numFmt w:val="lowerLetter"/>
      <w:lvlText w:val="%8."/>
      <w:lvlJc w:val="left"/>
      <w:pPr>
        <w:ind w:left="5760" w:hanging="360"/>
      </w:pPr>
    </w:lvl>
    <w:lvl w:ilvl="8" w:tplc="3CAE4288" w:tentative="1">
      <w:start w:val="1"/>
      <w:numFmt w:val="lowerRoman"/>
      <w:lvlText w:val="%9."/>
      <w:lvlJc w:val="right"/>
      <w:pPr>
        <w:ind w:left="6480" w:hanging="180"/>
      </w:pPr>
    </w:lvl>
  </w:abstractNum>
  <w:abstractNum w:abstractNumId="20" w15:restartNumberingAfterBreak="0">
    <w:nsid w:val="5321507C"/>
    <w:multiLevelType w:val="hybridMultilevel"/>
    <w:tmpl w:val="B0D433AE"/>
    <w:lvl w:ilvl="0" w:tplc="753E2F34">
      <w:start w:val="1"/>
      <w:numFmt w:val="bullet"/>
      <w:lvlText w:val=""/>
      <w:lvlJc w:val="left"/>
      <w:pPr>
        <w:ind w:left="1080" w:hanging="360"/>
      </w:pPr>
      <w:rPr>
        <w:rFonts w:ascii="Symbol" w:hAnsi="Symbol" w:hint="default"/>
      </w:rPr>
    </w:lvl>
    <w:lvl w:ilvl="1" w:tplc="433E0522" w:tentative="1">
      <w:start w:val="1"/>
      <w:numFmt w:val="bullet"/>
      <w:lvlText w:val="o"/>
      <w:lvlJc w:val="left"/>
      <w:pPr>
        <w:ind w:left="1800" w:hanging="360"/>
      </w:pPr>
      <w:rPr>
        <w:rFonts w:ascii="Courier New" w:hAnsi="Courier New" w:cs="Courier New" w:hint="default"/>
      </w:rPr>
    </w:lvl>
    <w:lvl w:ilvl="2" w:tplc="64125B10" w:tentative="1">
      <w:start w:val="1"/>
      <w:numFmt w:val="bullet"/>
      <w:lvlText w:val=""/>
      <w:lvlJc w:val="left"/>
      <w:pPr>
        <w:ind w:left="2520" w:hanging="360"/>
      </w:pPr>
      <w:rPr>
        <w:rFonts w:ascii="Wingdings" w:hAnsi="Wingdings" w:hint="default"/>
      </w:rPr>
    </w:lvl>
    <w:lvl w:ilvl="3" w:tplc="C8920C9C" w:tentative="1">
      <w:start w:val="1"/>
      <w:numFmt w:val="bullet"/>
      <w:lvlText w:val=""/>
      <w:lvlJc w:val="left"/>
      <w:pPr>
        <w:ind w:left="3240" w:hanging="360"/>
      </w:pPr>
      <w:rPr>
        <w:rFonts w:ascii="Symbol" w:hAnsi="Symbol" w:hint="default"/>
      </w:rPr>
    </w:lvl>
    <w:lvl w:ilvl="4" w:tplc="0556F210" w:tentative="1">
      <w:start w:val="1"/>
      <w:numFmt w:val="bullet"/>
      <w:lvlText w:val="o"/>
      <w:lvlJc w:val="left"/>
      <w:pPr>
        <w:ind w:left="3960" w:hanging="360"/>
      </w:pPr>
      <w:rPr>
        <w:rFonts w:ascii="Courier New" w:hAnsi="Courier New" w:cs="Courier New" w:hint="default"/>
      </w:rPr>
    </w:lvl>
    <w:lvl w:ilvl="5" w:tplc="F702AA04" w:tentative="1">
      <w:start w:val="1"/>
      <w:numFmt w:val="bullet"/>
      <w:lvlText w:val=""/>
      <w:lvlJc w:val="left"/>
      <w:pPr>
        <w:ind w:left="4680" w:hanging="360"/>
      </w:pPr>
      <w:rPr>
        <w:rFonts w:ascii="Wingdings" w:hAnsi="Wingdings" w:hint="default"/>
      </w:rPr>
    </w:lvl>
    <w:lvl w:ilvl="6" w:tplc="057489AC" w:tentative="1">
      <w:start w:val="1"/>
      <w:numFmt w:val="bullet"/>
      <w:lvlText w:val=""/>
      <w:lvlJc w:val="left"/>
      <w:pPr>
        <w:ind w:left="5400" w:hanging="360"/>
      </w:pPr>
      <w:rPr>
        <w:rFonts w:ascii="Symbol" w:hAnsi="Symbol" w:hint="default"/>
      </w:rPr>
    </w:lvl>
    <w:lvl w:ilvl="7" w:tplc="20EC7F86" w:tentative="1">
      <w:start w:val="1"/>
      <w:numFmt w:val="bullet"/>
      <w:lvlText w:val="o"/>
      <w:lvlJc w:val="left"/>
      <w:pPr>
        <w:ind w:left="6120" w:hanging="360"/>
      </w:pPr>
      <w:rPr>
        <w:rFonts w:ascii="Courier New" w:hAnsi="Courier New" w:cs="Courier New" w:hint="default"/>
      </w:rPr>
    </w:lvl>
    <w:lvl w:ilvl="8" w:tplc="B510AEBE" w:tentative="1">
      <w:start w:val="1"/>
      <w:numFmt w:val="bullet"/>
      <w:lvlText w:val=""/>
      <w:lvlJc w:val="left"/>
      <w:pPr>
        <w:ind w:left="6840" w:hanging="360"/>
      </w:pPr>
      <w:rPr>
        <w:rFonts w:ascii="Wingdings" w:hAnsi="Wingdings" w:hint="default"/>
      </w:rPr>
    </w:lvl>
  </w:abstractNum>
  <w:abstractNum w:abstractNumId="21" w15:restartNumberingAfterBreak="0">
    <w:nsid w:val="56693388"/>
    <w:multiLevelType w:val="hybridMultilevel"/>
    <w:tmpl w:val="3208E492"/>
    <w:lvl w:ilvl="0" w:tplc="BAFAA45A">
      <w:start w:val="1"/>
      <w:numFmt w:val="bullet"/>
      <w:lvlText w:val=""/>
      <w:lvlJc w:val="left"/>
      <w:pPr>
        <w:ind w:left="1080" w:hanging="360"/>
      </w:pPr>
      <w:rPr>
        <w:rFonts w:ascii="Symbol" w:hAnsi="Symbol" w:hint="default"/>
      </w:rPr>
    </w:lvl>
    <w:lvl w:ilvl="1" w:tplc="9754F0CC" w:tentative="1">
      <w:start w:val="1"/>
      <w:numFmt w:val="bullet"/>
      <w:lvlText w:val="o"/>
      <w:lvlJc w:val="left"/>
      <w:pPr>
        <w:ind w:left="1800" w:hanging="360"/>
      </w:pPr>
      <w:rPr>
        <w:rFonts w:ascii="Courier New" w:hAnsi="Courier New" w:cs="Courier New" w:hint="default"/>
      </w:rPr>
    </w:lvl>
    <w:lvl w:ilvl="2" w:tplc="80E8AB74" w:tentative="1">
      <w:start w:val="1"/>
      <w:numFmt w:val="bullet"/>
      <w:lvlText w:val=""/>
      <w:lvlJc w:val="left"/>
      <w:pPr>
        <w:ind w:left="2520" w:hanging="360"/>
      </w:pPr>
      <w:rPr>
        <w:rFonts w:ascii="Wingdings" w:hAnsi="Wingdings" w:hint="default"/>
      </w:rPr>
    </w:lvl>
    <w:lvl w:ilvl="3" w:tplc="FBDCB0D8" w:tentative="1">
      <w:start w:val="1"/>
      <w:numFmt w:val="bullet"/>
      <w:lvlText w:val=""/>
      <w:lvlJc w:val="left"/>
      <w:pPr>
        <w:ind w:left="3240" w:hanging="360"/>
      </w:pPr>
      <w:rPr>
        <w:rFonts w:ascii="Symbol" w:hAnsi="Symbol" w:hint="default"/>
      </w:rPr>
    </w:lvl>
    <w:lvl w:ilvl="4" w:tplc="CC521270" w:tentative="1">
      <w:start w:val="1"/>
      <w:numFmt w:val="bullet"/>
      <w:lvlText w:val="o"/>
      <w:lvlJc w:val="left"/>
      <w:pPr>
        <w:ind w:left="3960" w:hanging="360"/>
      </w:pPr>
      <w:rPr>
        <w:rFonts w:ascii="Courier New" w:hAnsi="Courier New" w:cs="Courier New" w:hint="default"/>
      </w:rPr>
    </w:lvl>
    <w:lvl w:ilvl="5" w:tplc="BB0AF976" w:tentative="1">
      <w:start w:val="1"/>
      <w:numFmt w:val="bullet"/>
      <w:lvlText w:val=""/>
      <w:lvlJc w:val="left"/>
      <w:pPr>
        <w:ind w:left="4680" w:hanging="360"/>
      </w:pPr>
      <w:rPr>
        <w:rFonts w:ascii="Wingdings" w:hAnsi="Wingdings" w:hint="default"/>
      </w:rPr>
    </w:lvl>
    <w:lvl w:ilvl="6" w:tplc="AEBCDE56" w:tentative="1">
      <w:start w:val="1"/>
      <w:numFmt w:val="bullet"/>
      <w:lvlText w:val=""/>
      <w:lvlJc w:val="left"/>
      <w:pPr>
        <w:ind w:left="5400" w:hanging="360"/>
      </w:pPr>
      <w:rPr>
        <w:rFonts w:ascii="Symbol" w:hAnsi="Symbol" w:hint="default"/>
      </w:rPr>
    </w:lvl>
    <w:lvl w:ilvl="7" w:tplc="44E0B4EC" w:tentative="1">
      <w:start w:val="1"/>
      <w:numFmt w:val="bullet"/>
      <w:lvlText w:val="o"/>
      <w:lvlJc w:val="left"/>
      <w:pPr>
        <w:ind w:left="6120" w:hanging="360"/>
      </w:pPr>
      <w:rPr>
        <w:rFonts w:ascii="Courier New" w:hAnsi="Courier New" w:cs="Courier New" w:hint="default"/>
      </w:rPr>
    </w:lvl>
    <w:lvl w:ilvl="8" w:tplc="69A67978" w:tentative="1">
      <w:start w:val="1"/>
      <w:numFmt w:val="bullet"/>
      <w:lvlText w:val=""/>
      <w:lvlJc w:val="left"/>
      <w:pPr>
        <w:ind w:left="6840" w:hanging="360"/>
      </w:pPr>
      <w:rPr>
        <w:rFonts w:ascii="Wingdings" w:hAnsi="Wingdings" w:hint="default"/>
      </w:rPr>
    </w:lvl>
  </w:abstractNum>
  <w:abstractNum w:abstractNumId="22" w15:restartNumberingAfterBreak="0">
    <w:nsid w:val="5C365908"/>
    <w:multiLevelType w:val="hybridMultilevel"/>
    <w:tmpl w:val="C7744100"/>
    <w:lvl w:ilvl="0" w:tplc="E6B072CC">
      <w:start w:val="1"/>
      <w:numFmt w:val="decimal"/>
      <w:lvlText w:val="%1."/>
      <w:lvlJc w:val="left"/>
      <w:pPr>
        <w:ind w:left="720" w:hanging="360"/>
      </w:pPr>
      <w:rPr>
        <w:rFonts w:hint="default"/>
      </w:rPr>
    </w:lvl>
    <w:lvl w:ilvl="1" w:tplc="718C7218" w:tentative="1">
      <w:start w:val="1"/>
      <w:numFmt w:val="lowerLetter"/>
      <w:lvlText w:val="%2."/>
      <w:lvlJc w:val="left"/>
      <w:pPr>
        <w:ind w:left="1440" w:hanging="360"/>
      </w:pPr>
    </w:lvl>
    <w:lvl w:ilvl="2" w:tplc="62B63AF2" w:tentative="1">
      <w:start w:val="1"/>
      <w:numFmt w:val="lowerRoman"/>
      <w:lvlText w:val="%3."/>
      <w:lvlJc w:val="right"/>
      <w:pPr>
        <w:ind w:left="2160" w:hanging="180"/>
      </w:pPr>
    </w:lvl>
    <w:lvl w:ilvl="3" w:tplc="B25AA752" w:tentative="1">
      <w:start w:val="1"/>
      <w:numFmt w:val="decimal"/>
      <w:lvlText w:val="%4."/>
      <w:lvlJc w:val="left"/>
      <w:pPr>
        <w:ind w:left="2880" w:hanging="360"/>
      </w:pPr>
    </w:lvl>
    <w:lvl w:ilvl="4" w:tplc="62B079F0" w:tentative="1">
      <w:start w:val="1"/>
      <w:numFmt w:val="lowerLetter"/>
      <w:lvlText w:val="%5."/>
      <w:lvlJc w:val="left"/>
      <w:pPr>
        <w:ind w:left="3600" w:hanging="360"/>
      </w:pPr>
    </w:lvl>
    <w:lvl w:ilvl="5" w:tplc="66B6B142" w:tentative="1">
      <w:start w:val="1"/>
      <w:numFmt w:val="lowerRoman"/>
      <w:lvlText w:val="%6."/>
      <w:lvlJc w:val="right"/>
      <w:pPr>
        <w:ind w:left="4320" w:hanging="180"/>
      </w:pPr>
    </w:lvl>
    <w:lvl w:ilvl="6" w:tplc="C47C529C" w:tentative="1">
      <w:start w:val="1"/>
      <w:numFmt w:val="decimal"/>
      <w:lvlText w:val="%7."/>
      <w:lvlJc w:val="left"/>
      <w:pPr>
        <w:ind w:left="5040" w:hanging="360"/>
      </w:pPr>
    </w:lvl>
    <w:lvl w:ilvl="7" w:tplc="BF8A8474" w:tentative="1">
      <w:start w:val="1"/>
      <w:numFmt w:val="lowerLetter"/>
      <w:lvlText w:val="%8."/>
      <w:lvlJc w:val="left"/>
      <w:pPr>
        <w:ind w:left="5760" w:hanging="360"/>
      </w:pPr>
    </w:lvl>
    <w:lvl w:ilvl="8" w:tplc="E56AC302" w:tentative="1">
      <w:start w:val="1"/>
      <w:numFmt w:val="lowerRoman"/>
      <w:lvlText w:val="%9."/>
      <w:lvlJc w:val="right"/>
      <w:pPr>
        <w:ind w:left="6480" w:hanging="180"/>
      </w:pPr>
    </w:lvl>
  </w:abstractNum>
  <w:abstractNum w:abstractNumId="23" w15:restartNumberingAfterBreak="0">
    <w:nsid w:val="65C33573"/>
    <w:multiLevelType w:val="hybridMultilevel"/>
    <w:tmpl w:val="943AFDA2"/>
    <w:lvl w:ilvl="0" w:tplc="D0E68DAE">
      <w:start w:val="1"/>
      <w:numFmt w:val="lowerLetter"/>
      <w:lvlText w:val="(%1)"/>
      <w:lvlJc w:val="left"/>
      <w:pPr>
        <w:ind w:left="720" w:hanging="360"/>
      </w:pPr>
      <w:rPr>
        <w:rFonts w:hint="default"/>
      </w:rPr>
    </w:lvl>
    <w:lvl w:ilvl="1" w:tplc="DE12DF78" w:tentative="1">
      <w:start w:val="1"/>
      <w:numFmt w:val="lowerLetter"/>
      <w:lvlText w:val="%2."/>
      <w:lvlJc w:val="left"/>
      <w:pPr>
        <w:ind w:left="1440" w:hanging="360"/>
      </w:pPr>
    </w:lvl>
    <w:lvl w:ilvl="2" w:tplc="7FD6D648" w:tentative="1">
      <w:start w:val="1"/>
      <w:numFmt w:val="lowerRoman"/>
      <w:lvlText w:val="%3."/>
      <w:lvlJc w:val="right"/>
      <w:pPr>
        <w:ind w:left="2160" w:hanging="180"/>
      </w:pPr>
    </w:lvl>
    <w:lvl w:ilvl="3" w:tplc="1098104C" w:tentative="1">
      <w:start w:val="1"/>
      <w:numFmt w:val="decimal"/>
      <w:lvlText w:val="%4."/>
      <w:lvlJc w:val="left"/>
      <w:pPr>
        <w:ind w:left="2880" w:hanging="360"/>
      </w:pPr>
    </w:lvl>
    <w:lvl w:ilvl="4" w:tplc="8D8A84B8" w:tentative="1">
      <w:start w:val="1"/>
      <w:numFmt w:val="lowerLetter"/>
      <w:lvlText w:val="%5."/>
      <w:lvlJc w:val="left"/>
      <w:pPr>
        <w:ind w:left="3600" w:hanging="360"/>
      </w:pPr>
    </w:lvl>
    <w:lvl w:ilvl="5" w:tplc="094E5A52" w:tentative="1">
      <w:start w:val="1"/>
      <w:numFmt w:val="lowerRoman"/>
      <w:lvlText w:val="%6."/>
      <w:lvlJc w:val="right"/>
      <w:pPr>
        <w:ind w:left="4320" w:hanging="180"/>
      </w:pPr>
    </w:lvl>
    <w:lvl w:ilvl="6" w:tplc="5C769A68" w:tentative="1">
      <w:start w:val="1"/>
      <w:numFmt w:val="decimal"/>
      <w:lvlText w:val="%7."/>
      <w:lvlJc w:val="left"/>
      <w:pPr>
        <w:ind w:left="5040" w:hanging="360"/>
      </w:pPr>
    </w:lvl>
    <w:lvl w:ilvl="7" w:tplc="EEC49D9C" w:tentative="1">
      <w:start w:val="1"/>
      <w:numFmt w:val="lowerLetter"/>
      <w:lvlText w:val="%8."/>
      <w:lvlJc w:val="left"/>
      <w:pPr>
        <w:ind w:left="5760" w:hanging="360"/>
      </w:pPr>
    </w:lvl>
    <w:lvl w:ilvl="8" w:tplc="F7867316" w:tentative="1">
      <w:start w:val="1"/>
      <w:numFmt w:val="lowerRoman"/>
      <w:lvlText w:val="%9."/>
      <w:lvlJc w:val="right"/>
      <w:pPr>
        <w:ind w:left="6480" w:hanging="180"/>
      </w:pPr>
    </w:lvl>
  </w:abstractNum>
  <w:abstractNum w:abstractNumId="24" w15:restartNumberingAfterBreak="0">
    <w:nsid w:val="6B5C7C84"/>
    <w:multiLevelType w:val="hybridMultilevel"/>
    <w:tmpl w:val="49629DE8"/>
    <w:lvl w:ilvl="0" w:tplc="8272C4B6">
      <w:start w:val="1"/>
      <w:numFmt w:val="bullet"/>
      <w:lvlText w:val=""/>
      <w:lvlJc w:val="left"/>
      <w:pPr>
        <w:ind w:left="720" w:hanging="360"/>
      </w:pPr>
      <w:rPr>
        <w:rFonts w:ascii="Symbol" w:hAnsi="Symbol" w:hint="default"/>
      </w:rPr>
    </w:lvl>
    <w:lvl w:ilvl="1" w:tplc="1908A880" w:tentative="1">
      <w:start w:val="1"/>
      <w:numFmt w:val="bullet"/>
      <w:lvlText w:val="o"/>
      <w:lvlJc w:val="left"/>
      <w:pPr>
        <w:ind w:left="1440" w:hanging="360"/>
      </w:pPr>
      <w:rPr>
        <w:rFonts w:ascii="Courier New" w:hAnsi="Courier New" w:cs="Courier New" w:hint="default"/>
      </w:rPr>
    </w:lvl>
    <w:lvl w:ilvl="2" w:tplc="A296F0FE" w:tentative="1">
      <w:start w:val="1"/>
      <w:numFmt w:val="bullet"/>
      <w:lvlText w:val=""/>
      <w:lvlJc w:val="left"/>
      <w:pPr>
        <w:ind w:left="2160" w:hanging="360"/>
      </w:pPr>
      <w:rPr>
        <w:rFonts w:ascii="Wingdings" w:hAnsi="Wingdings" w:hint="default"/>
      </w:rPr>
    </w:lvl>
    <w:lvl w:ilvl="3" w:tplc="E43419C6" w:tentative="1">
      <w:start w:val="1"/>
      <w:numFmt w:val="bullet"/>
      <w:lvlText w:val=""/>
      <w:lvlJc w:val="left"/>
      <w:pPr>
        <w:ind w:left="2880" w:hanging="360"/>
      </w:pPr>
      <w:rPr>
        <w:rFonts w:ascii="Symbol" w:hAnsi="Symbol" w:hint="default"/>
      </w:rPr>
    </w:lvl>
    <w:lvl w:ilvl="4" w:tplc="1F349448" w:tentative="1">
      <w:start w:val="1"/>
      <w:numFmt w:val="bullet"/>
      <w:lvlText w:val="o"/>
      <w:lvlJc w:val="left"/>
      <w:pPr>
        <w:ind w:left="3600" w:hanging="360"/>
      </w:pPr>
      <w:rPr>
        <w:rFonts w:ascii="Courier New" w:hAnsi="Courier New" w:cs="Courier New" w:hint="default"/>
      </w:rPr>
    </w:lvl>
    <w:lvl w:ilvl="5" w:tplc="234A2DE2" w:tentative="1">
      <w:start w:val="1"/>
      <w:numFmt w:val="bullet"/>
      <w:lvlText w:val=""/>
      <w:lvlJc w:val="left"/>
      <w:pPr>
        <w:ind w:left="4320" w:hanging="360"/>
      </w:pPr>
      <w:rPr>
        <w:rFonts w:ascii="Wingdings" w:hAnsi="Wingdings" w:hint="default"/>
      </w:rPr>
    </w:lvl>
    <w:lvl w:ilvl="6" w:tplc="B3428C66" w:tentative="1">
      <w:start w:val="1"/>
      <w:numFmt w:val="bullet"/>
      <w:lvlText w:val=""/>
      <w:lvlJc w:val="left"/>
      <w:pPr>
        <w:ind w:left="5040" w:hanging="360"/>
      </w:pPr>
      <w:rPr>
        <w:rFonts w:ascii="Symbol" w:hAnsi="Symbol" w:hint="default"/>
      </w:rPr>
    </w:lvl>
    <w:lvl w:ilvl="7" w:tplc="B71AF070" w:tentative="1">
      <w:start w:val="1"/>
      <w:numFmt w:val="bullet"/>
      <w:lvlText w:val="o"/>
      <w:lvlJc w:val="left"/>
      <w:pPr>
        <w:ind w:left="5760" w:hanging="360"/>
      </w:pPr>
      <w:rPr>
        <w:rFonts w:ascii="Courier New" w:hAnsi="Courier New" w:cs="Courier New" w:hint="default"/>
      </w:rPr>
    </w:lvl>
    <w:lvl w:ilvl="8" w:tplc="83500656" w:tentative="1">
      <w:start w:val="1"/>
      <w:numFmt w:val="bullet"/>
      <w:lvlText w:val=""/>
      <w:lvlJc w:val="left"/>
      <w:pPr>
        <w:ind w:left="6480" w:hanging="360"/>
      </w:pPr>
      <w:rPr>
        <w:rFonts w:ascii="Wingdings" w:hAnsi="Wingdings" w:hint="default"/>
      </w:rPr>
    </w:lvl>
  </w:abstractNum>
  <w:abstractNum w:abstractNumId="25" w15:restartNumberingAfterBreak="0">
    <w:nsid w:val="6F817B94"/>
    <w:multiLevelType w:val="hybridMultilevel"/>
    <w:tmpl w:val="577EE1F8"/>
    <w:lvl w:ilvl="0" w:tplc="7A9AF9F8">
      <w:start w:val="1"/>
      <w:numFmt w:val="bullet"/>
      <w:lvlText w:val=""/>
      <w:lvlJc w:val="left"/>
      <w:pPr>
        <w:ind w:left="720" w:hanging="360"/>
      </w:pPr>
      <w:rPr>
        <w:rFonts w:ascii="Symbol" w:hAnsi="Symbol" w:hint="default"/>
      </w:rPr>
    </w:lvl>
    <w:lvl w:ilvl="1" w:tplc="28D4A4EE" w:tentative="1">
      <w:start w:val="1"/>
      <w:numFmt w:val="bullet"/>
      <w:lvlText w:val="o"/>
      <w:lvlJc w:val="left"/>
      <w:pPr>
        <w:ind w:left="1440" w:hanging="360"/>
      </w:pPr>
      <w:rPr>
        <w:rFonts w:ascii="Courier New" w:hAnsi="Courier New" w:cs="Courier New" w:hint="default"/>
      </w:rPr>
    </w:lvl>
    <w:lvl w:ilvl="2" w:tplc="B3AA1D52" w:tentative="1">
      <w:start w:val="1"/>
      <w:numFmt w:val="bullet"/>
      <w:lvlText w:val=""/>
      <w:lvlJc w:val="left"/>
      <w:pPr>
        <w:ind w:left="2160" w:hanging="360"/>
      </w:pPr>
      <w:rPr>
        <w:rFonts w:ascii="Wingdings" w:hAnsi="Wingdings" w:hint="default"/>
      </w:rPr>
    </w:lvl>
    <w:lvl w:ilvl="3" w:tplc="215893B8" w:tentative="1">
      <w:start w:val="1"/>
      <w:numFmt w:val="bullet"/>
      <w:lvlText w:val=""/>
      <w:lvlJc w:val="left"/>
      <w:pPr>
        <w:ind w:left="2880" w:hanging="360"/>
      </w:pPr>
      <w:rPr>
        <w:rFonts w:ascii="Symbol" w:hAnsi="Symbol" w:hint="default"/>
      </w:rPr>
    </w:lvl>
    <w:lvl w:ilvl="4" w:tplc="6BA2BBA2" w:tentative="1">
      <w:start w:val="1"/>
      <w:numFmt w:val="bullet"/>
      <w:lvlText w:val="o"/>
      <w:lvlJc w:val="left"/>
      <w:pPr>
        <w:ind w:left="3600" w:hanging="360"/>
      </w:pPr>
      <w:rPr>
        <w:rFonts w:ascii="Courier New" w:hAnsi="Courier New" w:cs="Courier New" w:hint="default"/>
      </w:rPr>
    </w:lvl>
    <w:lvl w:ilvl="5" w:tplc="CA666560" w:tentative="1">
      <w:start w:val="1"/>
      <w:numFmt w:val="bullet"/>
      <w:lvlText w:val=""/>
      <w:lvlJc w:val="left"/>
      <w:pPr>
        <w:ind w:left="4320" w:hanging="360"/>
      </w:pPr>
      <w:rPr>
        <w:rFonts w:ascii="Wingdings" w:hAnsi="Wingdings" w:hint="default"/>
      </w:rPr>
    </w:lvl>
    <w:lvl w:ilvl="6" w:tplc="A6800222" w:tentative="1">
      <w:start w:val="1"/>
      <w:numFmt w:val="bullet"/>
      <w:lvlText w:val=""/>
      <w:lvlJc w:val="left"/>
      <w:pPr>
        <w:ind w:left="5040" w:hanging="360"/>
      </w:pPr>
      <w:rPr>
        <w:rFonts w:ascii="Symbol" w:hAnsi="Symbol" w:hint="default"/>
      </w:rPr>
    </w:lvl>
    <w:lvl w:ilvl="7" w:tplc="40EE5708" w:tentative="1">
      <w:start w:val="1"/>
      <w:numFmt w:val="bullet"/>
      <w:lvlText w:val="o"/>
      <w:lvlJc w:val="left"/>
      <w:pPr>
        <w:ind w:left="5760" w:hanging="360"/>
      </w:pPr>
      <w:rPr>
        <w:rFonts w:ascii="Courier New" w:hAnsi="Courier New" w:cs="Courier New" w:hint="default"/>
      </w:rPr>
    </w:lvl>
    <w:lvl w:ilvl="8" w:tplc="40CC26F8" w:tentative="1">
      <w:start w:val="1"/>
      <w:numFmt w:val="bullet"/>
      <w:lvlText w:val=""/>
      <w:lvlJc w:val="left"/>
      <w:pPr>
        <w:ind w:left="6480" w:hanging="360"/>
      </w:pPr>
      <w:rPr>
        <w:rFonts w:ascii="Wingdings" w:hAnsi="Wingdings" w:hint="default"/>
      </w:rPr>
    </w:lvl>
  </w:abstractNum>
  <w:abstractNum w:abstractNumId="26" w15:restartNumberingAfterBreak="0">
    <w:nsid w:val="73B53CCF"/>
    <w:multiLevelType w:val="multilevel"/>
    <w:tmpl w:val="2EACE3B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7717CC1"/>
    <w:multiLevelType w:val="hybridMultilevel"/>
    <w:tmpl w:val="C2C21D1A"/>
    <w:lvl w:ilvl="0" w:tplc="A3BAB13A">
      <w:start w:val="1"/>
      <w:numFmt w:val="decimal"/>
      <w:lvlText w:val="%1)"/>
      <w:lvlJc w:val="left"/>
      <w:pPr>
        <w:ind w:left="720" w:hanging="360"/>
      </w:pPr>
      <w:rPr>
        <w:rFonts w:hint="default"/>
      </w:rPr>
    </w:lvl>
    <w:lvl w:ilvl="1" w:tplc="6EBE0F56" w:tentative="1">
      <w:start w:val="1"/>
      <w:numFmt w:val="lowerLetter"/>
      <w:lvlText w:val="%2."/>
      <w:lvlJc w:val="left"/>
      <w:pPr>
        <w:ind w:left="1440" w:hanging="360"/>
      </w:pPr>
    </w:lvl>
    <w:lvl w:ilvl="2" w:tplc="D432157C" w:tentative="1">
      <w:start w:val="1"/>
      <w:numFmt w:val="lowerRoman"/>
      <w:lvlText w:val="%3."/>
      <w:lvlJc w:val="right"/>
      <w:pPr>
        <w:ind w:left="2160" w:hanging="180"/>
      </w:pPr>
    </w:lvl>
    <w:lvl w:ilvl="3" w:tplc="A8823088" w:tentative="1">
      <w:start w:val="1"/>
      <w:numFmt w:val="decimal"/>
      <w:lvlText w:val="%4."/>
      <w:lvlJc w:val="left"/>
      <w:pPr>
        <w:ind w:left="2880" w:hanging="360"/>
      </w:pPr>
    </w:lvl>
    <w:lvl w:ilvl="4" w:tplc="4BE6102A" w:tentative="1">
      <w:start w:val="1"/>
      <w:numFmt w:val="lowerLetter"/>
      <w:lvlText w:val="%5."/>
      <w:lvlJc w:val="left"/>
      <w:pPr>
        <w:ind w:left="3600" w:hanging="360"/>
      </w:pPr>
    </w:lvl>
    <w:lvl w:ilvl="5" w:tplc="60C85ADE" w:tentative="1">
      <w:start w:val="1"/>
      <w:numFmt w:val="lowerRoman"/>
      <w:lvlText w:val="%6."/>
      <w:lvlJc w:val="right"/>
      <w:pPr>
        <w:ind w:left="4320" w:hanging="180"/>
      </w:pPr>
    </w:lvl>
    <w:lvl w:ilvl="6" w:tplc="8F66B512" w:tentative="1">
      <w:start w:val="1"/>
      <w:numFmt w:val="decimal"/>
      <w:lvlText w:val="%7."/>
      <w:lvlJc w:val="left"/>
      <w:pPr>
        <w:ind w:left="5040" w:hanging="360"/>
      </w:pPr>
    </w:lvl>
    <w:lvl w:ilvl="7" w:tplc="06D43BA8" w:tentative="1">
      <w:start w:val="1"/>
      <w:numFmt w:val="lowerLetter"/>
      <w:lvlText w:val="%8."/>
      <w:lvlJc w:val="left"/>
      <w:pPr>
        <w:ind w:left="5760" w:hanging="360"/>
      </w:pPr>
    </w:lvl>
    <w:lvl w:ilvl="8" w:tplc="FA4CE26A" w:tentative="1">
      <w:start w:val="1"/>
      <w:numFmt w:val="lowerRoman"/>
      <w:lvlText w:val="%9."/>
      <w:lvlJc w:val="right"/>
      <w:pPr>
        <w:ind w:left="6480" w:hanging="180"/>
      </w:pPr>
    </w:lvl>
  </w:abstractNum>
  <w:abstractNum w:abstractNumId="28" w15:restartNumberingAfterBreak="0">
    <w:nsid w:val="77F5429B"/>
    <w:multiLevelType w:val="hybridMultilevel"/>
    <w:tmpl w:val="AF2836DA"/>
    <w:lvl w:ilvl="0" w:tplc="B1CC6512">
      <w:start w:val="3"/>
      <w:numFmt w:val="bullet"/>
      <w:lvlText w:val=""/>
      <w:lvlJc w:val="left"/>
      <w:pPr>
        <w:ind w:left="720" w:hanging="360"/>
      </w:pPr>
      <w:rPr>
        <w:rFonts w:ascii="Symbol" w:eastAsia="Times New Roman" w:hAnsi="Symbol" w:cs="Times New Roman" w:hint="default"/>
      </w:rPr>
    </w:lvl>
    <w:lvl w:ilvl="1" w:tplc="D2AC8FE8" w:tentative="1">
      <w:start w:val="1"/>
      <w:numFmt w:val="bullet"/>
      <w:lvlText w:val="o"/>
      <w:lvlJc w:val="left"/>
      <w:pPr>
        <w:ind w:left="1440" w:hanging="360"/>
      </w:pPr>
      <w:rPr>
        <w:rFonts w:ascii="Courier New" w:hAnsi="Courier New" w:cs="Courier New" w:hint="default"/>
      </w:rPr>
    </w:lvl>
    <w:lvl w:ilvl="2" w:tplc="19507AAE" w:tentative="1">
      <w:start w:val="1"/>
      <w:numFmt w:val="bullet"/>
      <w:lvlText w:val=""/>
      <w:lvlJc w:val="left"/>
      <w:pPr>
        <w:ind w:left="2160" w:hanging="360"/>
      </w:pPr>
      <w:rPr>
        <w:rFonts w:ascii="Wingdings" w:hAnsi="Wingdings" w:hint="default"/>
      </w:rPr>
    </w:lvl>
    <w:lvl w:ilvl="3" w:tplc="01543F44" w:tentative="1">
      <w:start w:val="1"/>
      <w:numFmt w:val="bullet"/>
      <w:lvlText w:val=""/>
      <w:lvlJc w:val="left"/>
      <w:pPr>
        <w:ind w:left="2880" w:hanging="360"/>
      </w:pPr>
      <w:rPr>
        <w:rFonts w:ascii="Symbol" w:hAnsi="Symbol" w:hint="default"/>
      </w:rPr>
    </w:lvl>
    <w:lvl w:ilvl="4" w:tplc="92FC6248" w:tentative="1">
      <w:start w:val="1"/>
      <w:numFmt w:val="bullet"/>
      <w:lvlText w:val="o"/>
      <w:lvlJc w:val="left"/>
      <w:pPr>
        <w:ind w:left="3600" w:hanging="360"/>
      </w:pPr>
      <w:rPr>
        <w:rFonts w:ascii="Courier New" w:hAnsi="Courier New" w:cs="Courier New" w:hint="default"/>
      </w:rPr>
    </w:lvl>
    <w:lvl w:ilvl="5" w:tplc="D43CA286" w:tentative="1">
      <w:start w:val="1"/>
      <w:numFmt w:val="bullet"/>
      <w:lvlText w:val=""/>
      <w:lvlJc w:val="left"/>
      <w:pPr>
        <w:ind w:left="4320" w:hanging="360"/>
      </w:pPr>
      <w:rPr>
        <w:rFonts w:ascii="Wingdings" w:hAnsi="Wingdings" w:hint="default"/>
      </w:rPr>
    </w:lvl>
    <w:lvl w:ilvl="6" w:tplc="962A3362" w:tentative="1">
      <w:start w:val="1"/>
      <w:numFmt w:val="bullet"/>
      <w:lvlText w:val=""/>
      <w:lvlJc w:val="left"/>
      <w:pPr>
        <w:ind w:left="5040" w:hanging="360"/>
      </w:pPr>
      <w:rPr>
        <w:rFonts w:ascii="Symbol" w:hAnsi="Symbol" w:hint="default"/>
      </w:rPr>
    </w:lvl>
    <w:lvl w:ilvl="7" w:tplc="A23661BC" w:tentative="1">
      <w:start w:val="1"/>
      <w:numFmt w:val="bullet"/>
      <w:lvlText w:val="o"/>
      <w:lvlJc w:val="left"/>
      <w:pPr>
        <w:ind w:left="5760" w:hanging="360"/>
      </w:pPr>
      <w:rPr>
        <w:rFonts w:ascii="Courier New" w:hAnsi="Courier New" w:cs="Courier New" w:hint="default"/>
      </w:rPr>
    </w:lvl>
    <w:lvl w:ilvl="8" w:tplc="064272DC" w:tentative="1">
      <w:start w:val="1"/>
      <w:numFmt w:val="bullet"/>
      <w:lvlText w:val=""/>
      <w:lvlJc w:val="left"/>
      <w:pPr>
        <w:ind w:left="6480" w:hanging="360"/>
      </w:pPr>
      <w:rPr>
        <w:rFonts w:ascii="Wingdings" w:hAnsi="Wingdings" w:hint="default"/>
      </w:rPr>
    </w:lvl>
  </w:abstractNum>
  <w:abstractNum w:abstractNumId="29" w15:restartNumberingAfterBreak="0">
    <w:nsid w:val="7C9067AB"/>
    <w:multiLevelType w:val="hybridMultilevel"/>
    <w:tmpl w:val="A774A8DC"/>
    <w:lvl w:ilvl="0" w:tplc="808E2BDE">
      <w:start w:val="1"/>
      <w:numFmt w:val="decimal"/>
      <w:lvlText w:val="%1."/>
      <w:lvlJc w:val="left"/>
      <w:pPr>
        <w:ind w:left="720" w:hanging="360"/>
      </w:pPr>
      <w:rPr>
        <w:rFonts w:hint="default"/>
      </w:rPr>
    </w:lvl>
    <w:lvl w:ilvl="1" w:tplc="532AFBD0" w:tentative="1">
      <w:start w:val="1"/>
      <w:numFmt w:val="lowerLetter"/>
      <w:lvlText w:val="%2."/>
      <w:lvlJc w:val="left"/>
      <w:pPr>
        <w:ind w:left="1440" w:hanging="360"/>
      </w:pPr>
    </w:lvl>
    <w:lvl w:ilvl="2" w:tplc="0EEE21F0" w:tentative="1">
      <w:start w:val="1"/>
      <w:numFmt w:val="lowerRoman"/>
      <w:lvlText w:val="%3."/>
      <w:lvlJc w:val="right"/>
      <w:pPr>
        <w:ind w:left="2160" w:hanging="180"/>
      </w:pPr>
    </w:lvl>
    <w:lvl w:ilvl="3" w:tplc="7EC033EA" w:tentative="1">
      <w:start w:val="1"/>
      <w:numFmt w:val="decimal"/>
      <w:lvlText w:val="%4."/>
      <w:lvlJc w:val="left"/>
      <w:pPr>
        <w:ind w:left="2880" w:hanging="360"/>
      </w:pPr>
    </w:lvl>
    <w:lvl w:ilvl="4" w:tplc="EF98495E" w:tentative="1">
      <w:start w:val="1"/>
      <w:numFmt w:val="lowerLetter"/>
      <w:lvlText w:val="%5."/>
      <w:lvlJc w:val="left"/>
      <w:pPr>
        <w:ind w:left="3600" w:hanging="360"/>
      </w:pPr>
    </w:lvl>
    <w:lvl w:ilvl="5" w:tplc="29621BF4" w:tentative="1">
      <w:start w:val="1"/>
      <w:numFmt w:val="lowerRoman"/>
      <w:lvlText w:val="%6."/>
      <w:lvlJc w:val="right"/>
      <w:pPr>
        <w:ind w:left="4320" w:hanging="180"/>
      </w:pPr>
    </w:lvl>
    <w:lvl w:ilvl="6" w:tplc="AF34D26A" w:tentative="1">
      <w:start w:val="1"/>
      <w:numFmt w:val="decimal"/>
      <w:lvlText w:val="%7."/>
      <w:lvlJc w:val="left"/>
      <w:pPr>
        <w:ind w:left="5040" w:hanging="360"/>
      </w:pPr>
    </w:lvl>
    <w:lvl w:ilvl="7" w:tplc="D110ECAE" w:tentative="1">
      <w:start w:val="1"/>
      <w:numFmt w:val="lowerLetter"/>
      <w:lvlText w:val="%8."/>
      <w:lvlJc w:val="left"/>
      <w:pPr>
        <w:ind w:left="5760" w:hanging="360"/>
      </w:pPr>
    </w:lvl>
    <w:lvl w:ilvl="8" w:tplc="64F47122" w:tentative="1">
      <w:start w:val="1"/>
      <w:numFmt w:val="lowerRoman"/>
      <w:lvlText w:val="%9."/>
      <w:lvlJc w:val="right"/>
      <w:pPr>
        <w:ind w:left="6480" w:hanging="180"/>
      </w:pPr>
    </w:lvl>
  </w:abstractNum>
  <w:num w:numId="1">
    <w:abstractNumId w:val="2"/>
  </w:num>
  <w:num w:numId="2">
    <w:abstractNumId w:val="9"/>
  </w:num>
  <w:num w:numId="3">
    <w:abstractNumId w:val="26"/>
  </w:num>
  <w:num w:numId="4">
    <w:abstractNumId w:val="24"/>
  </w:num>
  <w:num w:numId="5">
    <w:abstractNumId w:val="7"/>
  </w:num>
  <w:num w:numId="6">
    <w:abstractNumId w:val="14"/>
  </w:num>
  <w:num w:numId="7">
    <w:abstractNumId w:val="28"/>
  </w:num>
  <w:num w:numId="8">
    <w:abstractNumId w:val="4"/>
  </w:num>
  <w:num w:numId="9">
    <w:abstractNumId w:val="1"/>
  </w:num>
  <w:num w:numId="10">
    <w:abstractNumId w:val="13"/>
  </w:num>
  <w:num w:numId="11">
    <w:abstractNumId w:val="23"/>
  </w:num>
  <w:num w:numId="12">
    <w:abstractNumId w:val="27"/>
  </w:num>
  <w:num w:numId="13">
    <w:abstractNumId w:val="11"/>
  </w:num>
  <w:num w:numId="14">
    <w:abstractNumId w:val="6"/>
  </w:num>
  <w:num w:numId="15">
    <w:abstractNumId w:val="3"/>
  </w:num>
  <w:num w:numId="16">
    <w:abstractNumId w:val="0"/>
  </w:num>
  <w:num w:numId="17">
    <w:abstractNumId w:val="20"/>
  </w:num>
  <w:num w:numId="18">
    <w:abstractNumId w:val="5"/>
  </w:num>
  <w:num w:numId="19">
    <w:abstractNumId w:val="21"/>
  </w:num>
  <w:num w:numId="20">
    <w:abstractNumId w:val="15"/>
  </w:num>
  <w:num w:numId="21">
    <w:abstractNumId w:val="19"/>
  </w:num>
  <w:num w:numId="22">
    <w:abstractNumId w:val="10"/>
  </w:num>
  <w:num w:numId="23">
    <w:abstractNumId w:val="12"/>
  </w:num>
  <w:num w:numId="24">
    <w:abstractNumId w:val="17"/>
  </w:num>
  <w:num w:numId="25">
    <w:abstractNumId w:val="18"/>
  </w:num>
  <w:num w:numId="26">
    <w:abstractNumId w:val="8"/>
  </w:num>
  <w:num w:numId="27">
    <w:abstractNumId w:val="25"/>
  </w:num>
  <w:num w:numId="28">
    <w:abstractNumId w:val="16"/>
  </w:num>
  <w:num w:numId="29">
    <w:abstractNumId w:val="22"/>
  </w:num>
  <w:num w:numId="30">
    <w:abstractNumId w:val="2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CL" w:vendorID="64" w:dllVersion="131078" w:nlCheck="1" w:checkStyle="0"/>
  <w:activeWritingStyle w:appName="MSWord" w:lang="en-US" w:vendorID="64" w:dllVersion="131078" w:nlCheck="1" w:checkStyle="0"/>
  <w:activeWritingStyle w:appName="MSWord" w:lang="es-MX"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MachineID" w:val="207|207|197|185|203|197|199|187|197|190|190|197|187|186|197|185|200|"/>
    <w:docVar w:name="Username" w:val="Editor"/>
  </w:docVars>
  <w:rsids>
    <w:rsidRoot w:val="0017667E"/>
    <w:rsid w:val="0000024E"/>
    <w:rsid w:val="000016AD"/>
    <w:rsid w:val="00001F71"/>
    <w:rsid w:val="0000273C"/>
    <w:rsid w:val="00002782"/>
    <w:rsid w:val="0000305B"/>
    <w:rsid w:val="000042CC"/>
    <w:rsid w:val="000058A0"/>
    <w:rsid w:val="00006839"/>
    <w:rsid w:val="000068EE"/>
    <w:rsid w:val="000069CC"/>
    <w:rsid w:val="00006CD4"/>
    <w:rsid w:val="0000775D"/>
    <w:rsid w:val="00007F32"/>
    <w:rsid w:val="000103C3"/>
    <w:rsid w:val="00011451"/>
    <w:rsid w:val="00012A66"/>
    <w:rsid w:val="000148E8"/>
    <w:rsid w:val="0001530E"/>
    <w:rsid w:val="00015CBE"/>
    <w:rsid w:val="00016509"/>
    <w:rsid w:val="00016BE7"/>
    <w:rsid w:val="0001749F"/>
    <w:rsid w:val="000178D5"/>
    <w:rsid w:val="00021E9A"/>
    <w:rsid w:val="00022017"/>
    <w:rsid w:val="00022F59"/>
    <w:rsid w:val="00023214"/>
    <w:rsid w:val="0002376F"/>
    <w:rsid w:val="000241DB"/>
    <w:rsid w:val="00024271"/>
    <w:rsid w:val="00024F81"/>
    <w:rsid w:val="000253F9"/>
    <w:rsid w:val="00025BC5"/>
    <w:rsid w:val="00033184"/>
    <w:rsid w:val="000340B5"/>
    <w:rsid w:val="000343AA"/>
    <w:rsid w:val="00034CDA"/>
    <w:rsid w:val="000353A6"/>
    <w:rsid w:val="00035639"/>
    <w:rsid w:val="00035BA2"/>
    <w:rsid w:val="00036220"/>
    <w:rsid w:val="000364FB"/>
    <w:rsid w:val="00036A00"/>
    <w:rsid w:val="0004032A"/>
    <w:rsid w:val="00040751"/>
    <w:rsid w:val="000408D6"/>
    <w:rsid w:val="000415A8"/>
    <w:rsid w:val="000419F4"/>
    <w:rsid w:val="0004517C"/>
    <w:rsid w:val="0004538C"/>
    <w:rsid w:val="00045843"/>
    <w:rsid w:val="00050612"/>
    <w:rsid w:val="0005095B"/>
    <w:rsid w:val="00050AAC"/>
    <w:rsid w:val="00051414"/>
    <w:rsid w:val="00051B26"/>
    <w:rsid w:val="000529BB"/>
    <w:rsid w:val="000566DA"/>
    <w:rsid w:val="00056B9F"/>
    <w:rsid w:val="000578AE"/>
    <w:rsid w:val="00057A26"/>
    <w:rsid w:val="00057C65"/>
    <w:rsid w:val="00057F76"/>
    <w:rsid w:val="00061099"/>
    <w:rsid w:val="00062BFB"/>
    <w:rsid w:val="00063A47"/>
    <w:rsid w:val="00063F88"/>
    <w:rsid w:val="00064CF0"/>
    <w:rsid w:val="00065215"/>
    <w:rsid w:val="00065B89"/>
    <w:rsid w:val="00065C18"/>
    <w:rsid w:val="00066482"/>
    <w:rsid w:val="00066789"/>
    <w:rsid w:val="00066C5C"/>
    <w:rsid w:val="00067032"/>
    <w:rsid w:val="000671CB"/>
    <w:rsid w:val="0006721C"/>
    <w:rsid w:val="000675BC"/>
    <w:rsid w:val="00070573"/>
    <w:rsid w:val="00071742"/>
    <w:rsid w:val="00071928"/>
    <w:rsid w:val="00071CD3"/>
    <w:rsid w:val="00075064"/>
    <w:rsid w:val="0007575B"/>
    <w:rsid w:val="00076C22"/>
    <w:rsid w:val="0007790D"/>
    <w:rsid w:val="00080B38"/>
    <w:rsid w:val="00081817"/>
    <w:rsid w:val="00081EAE"/>
    <w:rsid w:val="00081FC4"/>
    <w:rsid w:val="0008239D"/>
    <w:rsid w:val="000825B2"/>
    <w:rsid w:val="00082988"/>
    <w:rsid w:val="00085591"/>
    <w:rsid w:val="00085653"/>
    <w:rsid w:val="0008670B"/>
    <w:rsid w:val="00086A1F"/>
    <w:rsid w:val="00086F99"/>
    <w:rsid w:val="00087482"/>
    <w:rsid w:val="00090249"/>
    <w:rsid w:val="000911AD"/>
    <w:rsid w:val="000911B6"/>
    <w:rsid w:val="000917A8"/>
    <w:rsid w:val="00092121"/>
    <w:rsid w:val="000921CB"/>
    <w:rsid w:val="00093944"/>
    <w:rsid w:val="0009412A"/>
    <w:rsid w:val="0009455A"/>
    <w:rsid w:val="00096936"/>
    <w:rsid w:val="0009722E"/>
    <w:rsid w:val="000A0004"/>
    <w:rsid w:val="000A0710"/>
    <w:rsid w:val="000A26DC"/>
    <w:rsid w:val="000A2AC9"/>
    <w:rsid w:val="000A3420"/>
    <w:rsid w:val="000A4945"/>
    <w:rsid w:val="000A4B03"/>
    <w:rsid w:val="000A5193"/>
    <w:rsid w:val="000A66EF"/>
    <w:rsid w:val="000A68B8"/>
    <w:rsid w:val="000A715D"/>
    <w:rsid w:val="000A7220"/>
    <w:rsid w:val="000A7228"/>
    <w:rsid w:val="000A7BCF"/>
    <w:rsid w:val="000B0831"/>
    <w:rsid w:val="000B0B59"/>
    <w:rsid w:val="000B294C"/>
    <w:rsid w:val="000B41CD"/>
    <w:rsid w:val="000B43C0"/>
    <w:rsid w:val="000B4D0D"/>
    <w:rsid w:val="000B5668"/>
    <w:rsid w:val="000B581F"/>
    <w:rsid w:val="000B58BD"/>
    <w:rsid w:val="000B6000"/>
    <w:rsid w:val="000B61FC"/>
    <w:rsid w:val="000B72B2"/>
    <w:rsid w:val="000B78F6"/>
    <w:rsid w:val="000C0081"/>
    <w:rsid w:val="000C0116"/>
    <w:rsid w:val="000C02A9"/>
    <w:rsid w:val="000C06C2"/>
    <w:rsid w:val="000C0F5A"/>
    <w:rsid w:val="000C10C7"/>
    <w:rsid w:val="000C1D15"/>
    <w:rsid w:val="000C1D52"/>
    <w:rsid w:val="000C1DED"/>
    <w:rsid w:val="000C1F09"/>
    <w:rsid w:val="000C3D66"/>
    <w:rsid w:val="000C6975"/>
    <w:rsid w:val="000C7CA1"/>
    <w:rsid w:val="000D0519"/>
    <w:rsid w:val="000D0729"/>
    <w:rsid w:val="000D1866"/>
    <w:rsid w:val="000D1FA8"/>
    <w:rsid w:val="000D2279"/>
    <w:rsid w:val="000D2683"/>
    <w:rsid w:val="000D38F6"/>
    <w:rsid w:val="000D39D6"/>
    <w:rsid w:val="000D42C4"/>
    <w:rsid w:val="000D5E41"/>
    <w:rsid w:val="000D6208"/>
    <w:rsid w:val="000D7C51"/>
    <w:rsid w:val="000E1737"/>
    <w:rsid w:val="000E1D0B"/>
    <w:rsid w:val="000E20B0"/>
    <w:rsid w:val="000E2234"/>
    <w:rsid w:val="000E34FB"/>
    <w:rsid w:val="000E7686"/>
    <w:rsid w:val="000E7938"/>
    <w:rsid w:val="000E7D0D"/>
    <w:rsid w:val="000F0120"/>
    <w:rsid w:val="000F021E"/>
    <w:rsid w:val="000F2178"/>
    <w:rsid w:val="000F2A88"/>
    <w:rsid w:val="000F306B"/>
    <w:rsid w:val="000F3512"/>
    <w:rsid w:val="000F4113"/>
    <w:rsid w:val="000F5312"/>
    <w:rsid w:val="000F586A"/>
    <w:rsid w:val="000F5C1B"/>
    <w:rsid w:val="000F649D"/>
    <w:rsid w:val="000F6581"/>
    <w:rsid w:val="00100947"/>
    <w:rsid w:val="00100D23"/>
    <w:rsid w:val="00100E62"/>
    <w:rsid w:val="001011DD"/>
    <w:rsid w:val="00101A48"/>
    <w:rsid w:val="001025A5"/>
    <w:rsid w:val="0010294D"/>
    <w:rsid w:val="00102B0A"/>
    <w:rsid w:val="00103268"/>
    <w:rsid w:val="001046C7"/>
    <w:rsid w:val="00104A24"/>
    <w:rsid w:val="00107B39"/>
    <w:rsid w:val="0011090B"/>
    <w:rsid w:val="00110B57"/>
    <w:rsid w:val="00110F80"/>
    <w:rsid w:val="00111155"/>
    <w:rsid w:val="001115FA"/>
    <w:rsid w:val="0011407D"/>
    <w:rsid w:val="001141C0"/>
    <w:rsid w:val="00114377"/>
    <w:rsid w:val="00115C18"/>
    <w:rsid w:val="001163F9"/>
    <w:rsid w:val="001167FD"/>
    <w:rsid w:val="001169B4"/>
    <w:rsid w:val="00117150"/>
    <w:rsid w:val="00117358"/>
    <w:rsid w:val="0012013F"/>
    <w:rsid w:val="001203FF"/>
    <w:rsid w:val="00121EF9"/>
    <w:rsid w:val="00122257"/>
    <w:rsid w:val="001233FC"/>
    <w:rsid w:val="00123ECD"/>
    <w:rsid w:val="00124173"/>
    <w:rsid w:val="0012600F"/>
    <w:rsid w:val="00127984"/>
    <w:rsid w:val="00130640"/>
    <w:rsid w:val="00130AA4"/>
    <w:rsid w:val="001326E4"/>
    <w:rsid w:val="00132F0D"/>
    <w:rsid w:val="0013424F"/>
    <w:rsid w:val="00134786"/>
    <w:rsid w:val="00134FE4"/>
    <w:rsid w:val="0013506B"/>
    <w:rsid w:val="001357D5"/>
    <w:rsid w:val="001365E4"/>
    <w:rsid w:val="00140689"/>
    <w:rsid w:val="001412A6"/>
    <w:rsid w:val="001420B5"/>
    <w:rsid w:val="0014297C"/>
    <w:rsid w:val="00143279"/>
    <w:rsid w:val="00143681"/>
    <w:rsid w:val="001444F1"/>
    <w:rsid w:val="001455E8"/>
    <w:rsid w:val="001457A9"/>
    <w:rsid w:val="00147805"/>
    <w:rsid w:val="001514C3"/>
    <w:rsid w:val="001519B0"/>
    <w:rsid w:val="00154849"/>
    <w:rsid w:val="00156462"/>
    <w:rsid w:val="00157833"/>
    <w:rsid w:val="00157F1A"/>
    <w:rsid w:val="0016006B"/>
    <w:rsid w:val="001609FB"/>
    <w:rsid w:val="00160CAF"/>
    <w:rsid w:val="0016243B"/>
    <w:rsid w:val="00162C9E"/>
    <w:rsid w:val="001634C1"/>
    <w:rsid w:val="00163C38"/>
    <w:rsid w:val="00164088"/>
    <w:rsid w:val="00164D89"/>
    <w:rsid w:val="00165225"/>
    <w:rsid w:val="001664B4"/>
    <w:rsid w:val="00166CED"/>
    <w:rsid w:val="00170D24"/>
    <w:rsid w:val="0017193C"/>
    <w:rsid w:val="00171D3A"/>
    <w:rsid w:val="00172F9A"/>
    <w:rsid w:val="00173E7D"/>
    <w:rsid w:val="00174072"/>
    <w:rsid w:val="00174590"/>
    <w:rsid w:val="0017547C"/>
    <w:rsid w:val="0017667E"/>
    <w:rsid w:val="00176B01"/>
    <w:rsid w:val="00176DB9"/>
    <w:rsid w:val="00177369"/>
    <w:rsid w:val="0017757C"/>
    <w:rsid w:val="001817D1"/>
    <w:rsid w:val="0018189E"/>
    <w:rsid w:val="00182A7D"/>
    <w:rsid w:val="00182ADA"/>
    <w:rsid w:val="00184524"/>
    <w:rsid w:val="00186435"/>
    <w:rsid w:val="001879CC"/>
    <w:rsid w:val="00187BBA"/>
    <w:rsid w:val="00187E60"/>
    <w:rsid w:val="00190681"/>
    <w:rsid w:val="00191C89"/>
    <w:rsid w:val="001929EF"/>
    <w:rsid w:val="00192DA3"/>
    <w:rsid w:val="001933CB"/>
    <w:rsid w:val="0019350B"/>
    <w:rsid w:val="00197AE4"/>
    <w:rsid w:val="001A015F"/>
    <w:rsid w:val="001A313D"/>
    <w:rsid w:val="001A3171"/>
    <w:rsid w:val="001A3C9C"/>
    <w:rsid w:val="001A40FD"/>
    <w:rsid w:val="001A4113"/>
    <w:rsid w:val="001A4C24"/>
    <w:rsid w:val="001A70C7"/>
    <w:rsid w:val="001B12A0"/>
    <w:rsid w:val="001B1F04"/>
    <w:rsid w:val="001B3780"/>
    <w:rsid w:val="001B4565"/>
    <w:rsid w:val="001B49C1"/>
    <w:rsid w:val="001B4BAF"/>
    <w:rsid w:val="001B5153"/>
    <w:rsid w:val="001B516F"/>
    <w:rsid w:val="001B5EB3"/>
    <w:rsid w:val="001B64F4"/>
    <w:rsid w:val="001B6FC6"/>
    <w:rsid w:val="001C0582"/>
    <w:rsid w:val="001C059C"/>
    <w:rsid w:val="001C0A63"/>
    <w:rsid w:val="001C1A48"/>
    <w:rsid w:val="001C220A"/>
    <w:rsid w:val="001C23C5"/>
    <w:rsid w:val="001C2528"/>
    <w:rsid w:val="001C4046"/>
    <w:rsid w:val="001C456B"/>
    <w:rsid w:val="001C5821"/>
    <w:rsid w:val="001C5943"/>
    <w:rsid w:val="001C5B17"/>
    <w:rsid w:val="001C731F"/>
    <w:rsid w:val="001D0DFB"/>
    <w:rsid w:val="001D15FB"/>
    <w:rsid w:val="001D2555"/>
    <w:rsid w:val="001D27CE"/>
    <w:rsid w:val="001D3720"/>
    <w:rsid w:val="001D3B3D"/>
    <w:rsid w:val="001D435C"/>
    <w:rsid w:val="001D4437"/>
    <w:rsid w:val="001D4C3F"/>
    <w:rsid w:val="001D4C4E"/>
    <w:rsid w:val="001D56AD"/>
    <w:rsid w:val="001D6762"/>
    <w:rsid w:val="001D6AD6"/>
    <w:rsid w:val="001D71E6"/>
    <w:rsid w:val="001E22BC"/>
    <w:rsid w:val="001E378A"/>
    <w:rsid w:val="001E3B17"/>
    <w:rsid w:val="001E5C7B"/>
    <w:rsid w:val="001E63EF"/>
    <w:rsid w:val="001E6EC2"/>
    <w:rsid w:val="001E7C1D"/>
    <w:rsid w:val="001F12A5"/>
    <w:rsid w:val="001F1468"/>
    <w:rsid w:val="001F1BA7"/>
    <w:rsid w:val="001F1BD1"/>
    <w:rsid w:val="001F2BEB"/>
    <w:rsid w:val="001F5272"/>
    <w:rsid w:val="001F5E38"/>
    <w:rsid w:val="001F5FA7"/>
    <w:rsid w:val="001F7867"/>
    <w:rsid w:val="001F7883"/>
    <w:rsid w:val="001F7A89"/>
    <w:rsid w:val="002001BA"/>
    <w:rsid w:val="00200429"/>
    <w:rsid w:val="00200C7F"/>
    <w:rsid w:val="00200D70"/>
    <w:rsid w:val="00200ECF"/>
    <w:rsid w:val="002024F3"/>
    <w:rsid w:val="00202C9C"/>
    <w:rsid w:val="00203462"/>
    <w:rsid w:val="002036BC"/>
    <w:rsid w:val="00203766"/>
    <w:rsid w:val="00204018"/>
    <w:rsid w:val="002052CE"/>
    <w:rsid w:val="0020545E"/>
    <w:rsid w:val="0020613C"/>
    <w:rsid w:val="0020763C"/>
    <w:rsid w:val="00210BD1"/>
    <w:rsid w:val="002110E9"/>
    <w:rsid w:val="00211A89"/>
    <w:rsid w:val="00211E8F"/>
    <w:rsid w:val="00212076"/>
    <w:rsid w:val="00212703"/>
    <w:rsid w:val="0021282C"/>
    <w:rsid w:val="00212A0E"/>
    <w:rsid w:val="00212B9F"/>
    <w:rsid w:val="00213B58"/>
    <w:rsid w:val="00214CD9"/>
    <w:rsid w:val="00214DBB"/>
    <w:rsid w:val="002151EF"/>
    <w:rsid w:val="00217F08"/>
    <w:rsid w:val="002202CD"/>
    <w:rsid w:val="00220DA7"/>
    <w:rsid w:val="002238A4"/>
    <w:rsid w:val="00223C45"/>
    <w:rsid w:val="00224472"/>
    <w:rsid w:val="002244E5"/>
    <w:rsid w:val="00225BAB"/>
    <w:rsid w:val="00225DDC"/>
    <w:rsid w:val="00226FDD"/>
    <w:rsid w:val="002275AC"/>
    <w:rsid w:val="00230B8D"/>
    <w:rsid w:val="00230E02"/>
    <w:rsid w:val="00231C4A"/>
    <w:rsid w:val="00232472"/>
    <w:rsid w:val="00233121"/>
    <w:rsid w:val="00235D7F"/>
    <w:rsid w:val="00236191"/>
    <w:rsid w:val="002361C1"/>
    <w:rsid w:val="00236849"/>
    <w:rsid w:val="0023691C"/>
    <w:rsid w:val="00236E2C"/>
    <w:rsid w:val="00236F38"/>
    <w:rsid w:val="00240618"/>
    <w:rsid w:val="0024090B"/>
    <w:rsid w:val="00240B7F"/>
    <w:rsid w:val="00240C89"/>
    <w:rsid w:val="002419A5"/>
    <w:rsid w:val="00242EEA"/>
    <w:rsid w:val="0024370C"/>
    <w:rsid w:val="00243AD7"/>
    <w:rsid w:val="00244212"/>
    <w:rsid w:val="002462D2"/>
    <w:rsid w:val="0024646C"/>
    <w:rsid w:val="00246C45"/>
    <w:rsid w:val="0025030C"/>
    <w:rsid w:val="00251708"/>
    <w:rsid w:val="00251B09"/>
    <w:rsid w:val="00251E02"/>
    <w:rsid w:val="00251FAE"/>
    <w:rsid w:val="002522C2"/>
    <w:rsid w:val="002535CB"/>
    <w:rsid w:val="002540EF"/>
    <w:rsid w:val="00254D15"/>
    <w:rsid w:val="002550D1"/>
    <w:rsid w:val="002552DC"/>
    <w:rsid w:val="0025598F"/>
    <w:rsid w:val="00255CFE"/>
    <w:rsid w:val="00257E29"/>
    <w:rsid w:val="00260072"/>
    <w:rsid w:val="00260B36"/>
    <w:rsid w:val="0026141D"/>
    <w:rsid w:val="00261BD1"/>
    <w:rsid w:val="00261E9E"/>
    <w:rsid w:val="00262C2A"/>
    <w:rsid w:val="00263BCC"/>
    <w:rsid w:val="00264F35"/>
    <w:rsid w:val="00265645"/>
    <w:rsid w:val="00266A3E"/>
    <w:rsid w:val="002672DA"/>
    <w:rsid w:val="00272CC2"/>
    <w:rsid w:val="00274BC7"/>
    <w:rsid w:val="0027624D"/>
    <w:rsid w:val="00276E41"/>
    <w:rsid w:val="00276F74"/>
    <w:rsid w:val="002775F3"/>
    <w:rsid w:val="00280132"/>
    <w:rsid w:val="002803A7"/>
    <w:rsid w:val="00281165"/>
    <w:rsid w:val="0028131A"/>
    <w:rsid w:val="002816CF"/>
    <w:rsid w:val="00282C6E"/>
    <w:rsid w:val="00283987"/>
    <w:rsid w:val="00283C92"/>
    <w:rsid w:val="002849F9"/>
    <w:rsid w:val="002854D4"/>
    <w:rsid w:val="00286C00"/>
    <w:rsid w:val="00286CE9"/>
    <w:rsid w:val="002873DD"/>
    <w:rsid w:val="00290778"/>
    <w:rsid w:val="0029199D"/>
    <w:rsid w:val="00291F8B"/>
    <w:rsid w:val="0029268D"/>
    <w:rsid w:val="00292D5B"/>
    <w:rsid w:val="00293654"/>
    <w:rsid w:val="0029368F"/>
    <w:rsid w:val="00294CF5"/>
    <w:rsid w:val="00294E76"/>
    <w:rsid w:val="00294E8B"/>
    <w:rsid w:val="00294F69"/>
    <w:rsid w:val="002959DE"/>
    <w:rsid w:val="00295D39"/>
    <w:rsid w:val="00295FD7"/>
    <w:rsid w:val="00297038"/>
    <w:rsid w:val="00297CCB"/>
    <w:rsid w:val="002A0421"/>
    <w:rsid w:val="002A4272"/>
    <w:rsid w:val="002A53E4"/>
    <w:rsid w:val="002A5983"/>
    <w:rsid w:val="002A5EB1"/>
    <w:rsid w:val="002A6836"/>
    <w:rsid w:val="002A6A4E"/>
    <w:rsid w:val="002A7B59"/>
    <w:rsid w:val="002A7C35"/>
    <w:rsid w:val="002B2E19"/>
    <w:rsid w:val="002B2F06"/>
    <w:rsid w:val="002B3679"/>
    <w:rsid w:val="002B479C"/>
    <w:rsid w:val="002B5284"/>
    <w:rsid w:val="002B5713"/>
    <w:rsid w:val="002B5CB8"/>
    <w:rsid w:val="002B6745"/>
    <w:rsid w:val="002B6F61"/>
    <w:rsid w:val="002B6FB8"/>
    <w:rsid w:val="002C188A"/>
    <w:rsid w:val="002C275C"/>
    <w:rsid w:val="002C2F5B"/>
    <w:rsid w:val="002C421D"/>
    <w:rsid w:val="002C5822"/>
    <w:rsid w:val="002C58B9"/>
    <w:rsid w:val="002C65BD"/>
    <w:rsid w:val="002D1117"/>
    <w:rsid w:val="002D2C74"/>
    <w:rsid w:val="002D2FD9"/>
    <w:rsid w:val="002D374D"/>
    <w:rsid w:val="002D39B8"/>
    <w:rsid w:val="002D50DA"/>
    <w:rsid w:val="002D599E"/>
    <w:rsid w:val="002D5FB8"/>
    <w:rsid w:val="002D74E9"/>
    <w:rsid w:val="002E033A"/>
    <w:rsid w:val="002E0886"/>
    <w:rsid w:val="002E0A2A"/>
    <w:rsid w:val="002E30D0"/>
    <w:rsid w:val="002E35F5"/>
    <w:rsid w:val="002E4C40"/>
    <w:rsid w:val="002E56B0"/>
    <w:rsid w:val="002E5E8F"/>
    <w:rsid w:val="002F0C2C"/>
    <w:rsid w:val="002F1A75"/>
    <w:rsid w:val="002F1CEA"/>
    <w:rsid w:val="002F281D"/>
    <w:rsid w:val="002F4131"/>
    <w:rsid w:val="002F4D23"/>
    <w:rsid w:val="002F5171"/>
    <w:rsid w:val="002F68FC"/>
    <w:rsid w:val="003005C1"/>
    <w:rsid w:val="00300CE9"/>
    <w:rsid w:val="00300D79"/>
    <w:rsid w:val="0030145B"/>
    <w:rsid w:val="00302626"/>
    <w:rsid w:val="00302947"/>
    <w:rsid w:val="00303B02"/>
    <w:rsid w:val="003040AD"/>
    <w:rsid w:val="00305074"/>
    <w:rsid w:val="00305363"/>
    <w:rsid w:val="00306472"/>
    <w:rsid w:val="00310E06"/>
    <w:rsid w:val="00312C91"/>
    <w:rsid w:val="003131F5"/>
    <w:rsid w:val="00314795"/>
    <w:rsid w:val="00316A68"/>
    <w:rsid w:val="0032045D"/>
    <w:rsid w:val="003204B5"/>
    <w:rsid w:val="00320884"/>
    <w:rsid w:val="00321AE6"/>
    <w:rsid w:val="00321DA8"/>
    <w:rsid w:val="003221CE"/>
    <w:rsid w:val="00322350"/>
    <w:rsid w:val="00324146"/>
    <w:rsid w:val="00324613"/>
    <w:rsid w:val="003263C6"/>
    <w:rsid w:val="00326C69"/>
    <w:rsid w:val="00326E9C"/>
    <w:rsid w:val="003272E7"/>
    <w:rsid w:val="0033002D"/>
    <w:rsid w:val="003313B5"/>
    <w:rsid w:val="00331FD6"/>
    <w:rsid w:val="0033237D"/>
    <w:rsid w:val="0033311D"/>
    <w:rsid w:val="003332A4"/>
    <w:rsid w:val="00333314"/>
    <w:rsid w:val="00333B77"/>
    <w:rsid w:val="00334DE8"/>
    <w:rsid w:val="003377A2"/>
    <w:rsid w:val="00337DDC"/>
    <w:rsid w:val="00340FE1"/>
    <w:rsid w:val="00341329"/>
    <w:rsid w:val="003416D0"/>
    <w:rsid w:val="00341C81"/>
    <w:rsid w:val="00341EDA"/>
    <w:rsid w:val="00342ACC"/>
    <w:rsid w:val="00342F96"/>
    <w:rsid w:val="00343787"/>
    <w:rsid w:val="00343838"/>
    <w:rsid w:val="003463CE"/>
    <w:rsid w:val="0034672C"/>
    <w:rsid w:val="003502BE"/>
    <w:rsid w:val="00350585"/>
    <w:rsid w:val="00350744"/>
    <w:rsid w:val="0035103F"/>
    <w:rsid w:val="00352962"/>
    <w:rsid w:val="00354060"/>
    <w:rsid w:val="00356536"/>
    <w:rsid w:val="00356901"/>
    <w:rsid w:val="003574FE"/>
    <w:rsid w:val="00360472"/>
    <w:rsid w:val="00361357"/>
    <w:rsid w:val="00361817"/>
    <w:rsid w:val="0036197F"/>
    <w:rsid w:val="00362055"/>
    <w:rsid w:val="003626D3"/>
    <w:rsid w:val="00362D84"/>
    <w:rsid w:val="003632E5"/>
    <w:rsid w:val="00364FEE"/>
    <w:rsid w:val="0036519C"/>
    <w:rsid w:val="003654C3"/>
    <w:rsid w:val="00365F03"/>
    <w:rsid w:val="003663FC"/>
    <w:rsid w:val="003674A0"/>
    <w:rsid w:val="00367EF7"/>
    <w:rsid w:val="0037195C"/>
    <w:rsid w:val="00371BFC"/>
    <w:rsid w:val="003726F4"/>
    <w:rsid w:val="00372C44"/>
    <w:rsid w:val="00373650"/>
    <w:rsid w:val="00376A4C"/>
    <w:rsid w:val="00376BCE"/>
    <w:rsid w:val="00380007"/>
    <w:rsid w:val="00380496"/>
    <w:rsid w:val="00380559"/>
    <w:rsid w:val="00381770"/>
    <w:rsid w:val="00381CC6"/>
    <w:rsid w:val="00381CD7"/>
    <w:rsid w:val="003829C7"/>
    <w:rsid w:val="003829DF"/>
    <w:rsid w:val="00382C34"/>
    <w:rsid w:val="003832AA"/>
    <w:rsid w:val="00384358"/>
    <w:rsid w:val="00384B4D"/>
    <w:rsid w:val="00386F49"/>
    <w:rsid w:val="00387929"/>
    <w:rsid w:val="00387B6C"/>
    <w:rsid w:val="0039019E"/>
    <w:rsid w:val="00390DB0"/>
    <w:rsid w:val="00390FCB"/>
    <w:rsid w:val="00391F58"/>
    <w:rsid w:val="003943FF"/>
    <w:rsid w:val="00394AFC"/>
    <w:rsid w:val="0039515D"/>
    <w:rsid w:val="00395311"/>
    <w:rsid w:val="0039567C"/>
    <w:rsid w:val="003957C3"/>
    <w:rsid w:val="00395BD1"/>
    <w:rsid w:val="00395EE2"/>
    <w:rsid w:val="003A0380"/>
    <w:rsid w:val="003A198D"/>
    <w:rsid w:val="003A2153"/>
    <w:rsid w:val="003A2777"/>
    <w:rsid w:val="003A46B1"/>
    <w:rsid w:val="003A46B2"/>
    <w:rsid w:val="003A48F2"/>
    <w:rsid w:val="003A5C3B"/>
    <w:rsid w:val="003A63E1"/>
    <w:rsid w:val="003B10C6"/>
    <w:rsid w:val="003B1606"/>
    <w:rsid w:val="003B2026"/>
    <w:rsid w:val="003B2340"/>
    <w:rsid w:val="003B2BAD"/>
    <w:rsid w:val="003B2D71"/>
    <w:rsid w:val="003B345C"/>
    <w:rsid w:val="003B36C1"/>
    <w:rsid w:val="003B44D0"/>
    <w:rsid w:val="003B5124"/>
    <w:rsid w:val="003B5E87"/>
    <w:rsid w:val="003B5F2A"/>
    <w:rsid w:val="003B6BAF"/>
    <w:rsid w:val="003B6FE2"/>
    <w:rsid w:val="003B7765"/>
    <w:rsid w:val="003B77E1"/>
    <w:rsid w:val="003C0D9C"/>
    <w:rsid w:val="003C3220"/>
    <w:rsid w:val="003C3D1E"/>
    <w:rsid w:val="003C7A64"/>
    <w:rsid w:val="003D065B"/>
    <w:rsid w:val="003D167F"/>
    <w:rsid w:val="003D2858"/>
    <w:rsid w:val="003D32B5"/>
    <w:rsid w:val="003D3789"/>
    <w:rsid w:val="003D392D"/>
    <w:rsid w:val="003D3F4A"/>
    <w:rsid w:val="003D487F"/>
    <w:rsid w:val="003D6285"/>
    <w:rsid w:val="003D6AC9"/>
    <w:rsid w:val="003D71AD"/>
    <w:rsid w:val="003E1384"/>
    <w:rsid w:val="003E1496"/>
    <w:rsid w:val="003E222A"/>
    <w:rsid w:val="003E2630"/>
    <w:rsid w:val="003E2784"/>
    <w:rsid w:val="003E27BA"/>
    <w:rsid w:val="003E3C1D"/>
    <w:rsid w:val="003E6035"/>
    <w:rsid w:val="003E6064"/>
    <w:rsid w:val="003E636B"/>
    <w:rsid w:val="003E6E3C"/>
    <w:rsid w:val="003F0E73"/>
    <w:rsid w:val="003F1350"/>
    <w:rsid w:val="003F1DCF"/>
    <w:rsid w:val="003F2599"/>
    <w:rsid w:val="003F502E"/>
    <w:rsid w:val="003F51FC"/>
    <w:rsid w:val="003F611E"/>
    <w:rsid w:val="003F6385"/>
    <w:rsid w:val="003F783B"/>
    <w:rsid w:val="004001A7"/>
    <w:rsid w:val="00400E1D"/>
    <w:rsid w:val="00400EDD"/>
    <w:rsid w:val="004015FC"/>
    <w:rsid w:val="00401E09"/>
    <w:rsid w:val="00401FE7"/>
    <w:rsid w:val="0040219F"/>
    <w:rsid w:val="00402AFC"/>
    <w:rsid w:val="004038A9"/>
    <w:rsid w:val="00404EAE"/>
    <w:rsid w:val="0040504A"/>
    <w:rsid w:val="00405323"/>
    <w:rsid w:val="00405360"/>
    <w:rsid w:val="00407191"/>
    <w:rsid w:val="00407A60"/>
    <w:rsid w:val="00416EFB"/>
    <w:rsid w:val="004175AD"/>
    <w:rsid w:val="004175EE"/>
    <w:rsid w:val="00417833"/>
    <w:rsid w:val="00420C6D"/>
    <w:rsid w:val="00420EE4"/>
    <w:rsid w:val="00424C2D"/>
    <w:rsid w:val="00425B0A"/>
    <w:rsid w:val="00426940"/>
    <w:rsid w:val="004276FB"/>
    <w:rsid w:val="00427AD2"/>
    <w:rsid w:val="00427B22"/>
    <w:rsid w:val="0043003F"/>
    <w:rsid w:val="00430B1C"/>
    <w:rsid w:val="00431A45"/>
    <w:rsid w:val="00431DAD"/>
    <w:rsid w:val="00432AD9"/>
    <w:rsid w:val="00432EA6"/>
    <w:rsid w:val="004336C0"/>
    <w:rsid w:val="00433A30"/>
    <w:rsid w:val="0043498B"/>
    <w:rsid w:val="00434EF7"/>
    <w:rsid w:val="004356EF"/>
    <w:rsid w:val="00435E79"/>
    <w:rsid w:val="004362E4"/>
    <w:rsid w:val="00436356"/>
    <w:rsid w:val="00437737"/>
    <w:rsid w:val="00437C17"/>
    <w:rsid w:val="00437EBC"/>
    <w:rsid w:val="0044161D"/>
    <w:rsid w:val="00442467"/>
    <w:rsid w:val="004437AB"/>
    <w:rsid w:val="00444276"/>
    <w:rsid w:val="004442B8"/>
    <w:rsid w:val="004448D1"/>
    <w:rsid w:val="004451CE"/>
    <w:rsid w:val="0044549C"/>
    <w:rsid w:val="004462D1"/>
    <w:rsid w:val="004505E6"/>
    <w:rsid w:val="00450749"/>
    <w:rsid w:val="00450908"/>
    <w:rsid w:val="004520DF"/>
    <w:rsid w:val="00452F3B"/>
    <w:rsid w:val="00453661"/>
    <w:rsid w:val="00453764"/>
    <w:rsid w:val="004553EF"/>
    <w:rsid w:val="00456950"/>
    <w:rsid w:val="00457A71"/>
    <w:rsid w:val="004605DD"/>
    <w:rsid w:val="004607B7"/>
    <w:rsid w:val="00460839"/>
    <w:rsid w:val="004612C9"/>
    <w:rsid w:val="00461403"/>
    <w:rsid w:val="004618AB"/>
    <w:rsid w:val="00462834"/>
    <w:rsid w:val="00463305"/>
    <w:rsid w:val="004639E1"/>
    <w:rsid w:val="00463CAE"/>
    <w:rsid w:val="00463EC1"/>
    <w:rsid w:val="004651B8"/>
    <w:rsid w:val="00465652"/>
    <w:rsid w:val="00470806"/>
    <w:rsid w:val="004712B1"/>
    <w:rsid w:val="00471807"/>
    <w:rsid w:val="00472129"/>
    <w:rsid w:val="00473840"/>
    <w:rsid w:val="00473D11"/>
    <w:rsid w:val="0047405C"/>
    <w:rsid w:val="00474328"/>
    <w:rsid w:val="004755B9"/>
    <w:rsid w:val="0047659E"/>
    <w:rsid w:val="004769C6"/>
    <w:rsid w:val="00477057"/>
    <w:rsid w:val="0048076C"/>
    <w:rsid w:val="004807FA"/>
    <w:rsid w:val="00480DC6"/>
    <w:rsid w:val="0048198E"/>
    <w:rsid w:val="00482947"/>
    <w:rsid w:val="00482BC6"/>
    <w:rsid w:val="00483F29"/>
    <w:rsid w:val="00484FB0"/>
    <w:rsid w:val="0048522D"/>
    <w:rsid w:val="00485CC6"/>
    <w:rsid w:val="004864D0"/>
    <w:rsid w:val="00486BA1"/>
    <w:rsid w:val="004871CC"/>
    <w:rsid w:val="004875FD"/>
    <w:rsid w:val="004879CC"/>
    <w:rsid w:val="00487A89"/>
    <w:rsid w:val="004903DB"/>
    <w:rsid w:val="00490481"/>
    <w:rsid w:val="00490563"/>
    <w:rsid w:val="004906D6"/>
    <w:rsid w:val="004909D6"/>
    <w:rsid w:val="00491D44"/>
    <w:rsid w:val="00494B9F"/>
    <w:rsid w:val="00496DBA"/>
    <w:rsid w:val="004977FB"/>
    <w:rsid w:val="004978D6"/>
    <w:rsid w:val="00497DF6"/>
    <w:rsid w:val="00497E98"/>
    <w:rsid w:val="004A0FCD"/>
    <w:rsid w:val="004A1AA8"/>
    <w:rsid w:val="004A258D"/>
    <w:rsid w:val="004A2683"/>
    <w:rsid w:val="004A3062"/>
    <w:rsid w:val="004A3EA4"/>
    <w:rsid w:val="004A4048"/>
    <w:rsid w:val="004A53C3"/>
    <w:rsid w:val="004A5639"/>
    <w:rsid w:val="004A6DD6"/>
    <w:rsid w:val="004A6EA5"/>
    <w:rsid w:val="004A7F43"/>
    <w:rsid w:val="004B0724"/>
    <w:rsid w:val="004B0AF6"/>
    <w:rsid w:val="004B2209"/>
    <w:rsid w:val="004B29BB"/>
    <w:rsid w:val="004B49C5"/>
    <w:rsid w:val="004B53DC"/>
    <w:rsid w:val="004B63E5"/>
    <w:rsid w:val="004B70B6"/>
    <w:rsid w:val="004B7126"/>
    <w:rsid w:val="004B759D"/>
    <w:rsid w:val="004C0D46"/>
    <w:rsid w:val="004C0F2D"/>
    <w:rsid w:val="004C0F31"/>
    <w:rsid w:val="004C108D"/>
    <w:rsid w:val="004C1D93"/>
    <w:rsid w:val="004C2E53"/>
    <w:rsid w:val="004C2F5B"/>
    <w:rsid w:val="004C3FB0"/>
    <w:rsid w:val="004C51D9"/>
    <w:rsid w:val="004C6577"/>
    <w:rsid w:val="004C6EED"/>
    <w:rsid w:val="004C716B"/>
    <w:rsid w:val="004C79E2"/>
    <w:rsid w:val="004D10D5"/>
    <w:rsid w:val="004D19A9"/>
    <w:rsid w:val="004D30D9"/>
    <w:rsid w:val="004D3184"/>
    <w:rsid w:val="004D36C8"/>
    <w:rsid w:val="004D42C4"/>
    <w:rsid w:val="004D5051"/>
    <w:rsid w:val="004D5532"/>
    <w:rsid w:val="004D5807"/>
    <w:rsid w:val="004D5929"/>
    <w:rsid w:val="004D6FD1"/>
    <w:rsid w:val="004D789F"/>
    <w:rsid w:val="004E0982"/>
    <w:rsid w:val="004E0E49"/>
    <w:rsid w:val="004E207D"/>
    <w:rsid w:val="004E4513"/>
    <w:rsid w:val="004E58B9"/>
    <w:rsid w:val="004E5959"/>
    <w:rsid w:val="004E69B4"/>
    <w:rsid w:val="004F126D"/>
    <w:rsid w:val="004F144B"/>
    <w:rsid w:val="004F2B82"/>
    <w:rsid w:val="004F327B"/>
    <w:rsid w:val="004F3FD0"/>
    <w:rsid w:val="004F460E"/>
    <w:rsid w:val="004F4DF5"/>
    <w:rsid w:val="004F5775"/>
    <w:rsid w:val="004F589C"/>
    <w:rsid w:val="004F5A8C"/>
    <w:rsid w:val="004F6A9B"/>
    <w:rsid w:val="004F71EF"/>
    <w:rsid w:val="004F780D"/>
    <w:rsid w:val="00500AA2"/>
    <w:rsid w:val="00501027"/>
    <w:rsid w:val="00501BBF"/>
    <w:rsid w:val="00502C3E"/>
    <w:rsid w:val="00503A87"/>
    <w:rsid w:val="00505488"/>
    <w:rsid w:val="005059BF"/>
    <w:rsid w:val="00506238"/>
    <w:rsid w:val="00506E5E"/>
    <w:rsid w:val="00507081"/>
    <w:rsid w:val="00507159"/>
    <w:rsid w:val="0050756F"/>
    <w:rsid w:val="00507923"/>
    <w:rsid w:val="00510127"/>
    <w:rsid w:val="00510753"/>
    <w:rsid w:val="005107EB"/>
    <w:rsid w:val="00510892"/>
    <w:rsid w:val="005114FB"/>
    <w:rsid w:val="00511B59"/>
    <w:rsid w:val="00512187"/>
    <w:rsid w:val="00512F02"/>
    <w:rsid w:val="00513FC5"/>
    <w:rsid w:val="0051480C"/>
    <w:rsid w:val="00514D21"/>
    <w:rsid w:val="00516443"/>
    <w:rsid w:val="00516EB7"/>
    <w:rsid w:val="005205BF"/>
    <w:rsid w:val="00520A41"/>
    <w:rsid w:val="00520D2E"/>
    <w:rsid w:val="00521B08"/>
    <w:rsid w:val="0052221C"/>
    <w:rsid w:val="00523996"/>
    <w:rsid w:val="005244C9"/>
    <w:rsid w:val="005246D9"/>
    <w:rsid w:val="00524E51"/>
    <w:rsid w:val="00525109"/>
    <w:rsid w:val="005252EB"/>
    <w:rsid w:val="005259A2"/>
    <w:rsid w:val="00525BF7"/>
    <w:rsid w:val="005264DC"/>
    <w:rsid w:val="00526583"/>
    <w:rsid w:val="00527870"/>
    <w:rsid w:val="005302C2"/>
    <w:rsid w:val="00530AC8"/>
    <w:rsid w:val="00531151"/>
    <w:rsid w:val="005327D6"/>
    <w:rsid w:val="0053353A"/>
    <w:rsid w:val="005340E7"/>
    <w:rsid w:val="00534B7B"/>
    <w:rsid w:val="005351DE"/>
    <w:rsid w:val="0053711B"/>
    <w:rsid w:val="00537889"/>
    <w:rsid w:val="005401B4"/>
    <w:rsid w:val="00540AA6"/>
    <w:rsid w:val="00542639"/>
    <w:rsid w:val="005437C3"/>
    <w:rsid w:val="00543831"/>
    <w:rsid w:val="00543C3F"/>
    <w:rsid w:val="00544123"/>
    <w:rsid w:val="00544445"/>
    <w:rsid w:val="005448DE"/>
    <w:rsid w:val="00545187"/>
    <w:rsid w:val="005509F2"/>
    <w:rsid w:val="00551326"/>
    <w:rsid w:val="00551B2B"/>
    <w:rsid w:val="00552004"/>
    <w:rsid w:val="00554DED"/>
    <w:rsid w:val="005569B5"/>
    <w:rsid w:val="005571FB"/>
    <w:rsid w:val="0056013A"/>
    <w:rsid w:val="0056026E"/>
    <w:rsid w:val="00560E4D"/>
    <w:rsid w:val="005638DF"/>
    <w:rsid w:val="00563FAC"/>
    <w:rsid w:val="00566E5C"/>
    <w:rsid w:val="0056727C"/>
    <w:rsid w:val="00567B55"/>
    <w:rsid w:val="00571A43"/>
    <w:rsid w:val="00573A72"/>
    <w:rsid w:val="00574FB9"/>
    <w:rsid w:val="00575D3F"/>
    <w:rsid w:val="005777C5"/>
    <w:rsid w:val="00581483"/>
    <w:rsid w:val="00581560"/>
    <w:rsid w:val="00583117"/>
    <w:rsid w:val="00583719"/>
    <w:rsid w:val="005840DB"/>
    <w:rsid w:val="00585372"/>
    <w:rsid w:val="00585FB4"/>
    <w:rsid w:val="00590F06"/>
    <w:rsid w:val="005912E0"/>
    <w:rsid w:val="00591C8D"/>
    <w:rsid w:val="005935C3"/>
    <w:rsid w:val="005939C9"/>
    <w:rsid w:val="0059484B"/>
    <w:rsid w:val="0059491B"/>
    <w:rsid w:val="0059541C"/>
    <w:rsid w:val="00596558"/>
    <w:rsid w:val="005969FE"/>
    <w:rsid w:val="00596B72"/>
    <w:rsid w:val="00597ED7"/>
    <w:rsid w:val="005A0036"/>
    <w:rsid w:val="005A1C1C"/>
    <w:rsid w:val="005A2273"/>
    <w:rsid w:val="005A2938"/>
    <w:rsid w:val="005A3279"/>
    <w:rsid w:val="005A537A"/>
    <w:rsid w:val="005A53EE"/>
    <w:rsid w:val="005A5A5F"/>
    <w:rsid w:val="005B01F3"/>
    <w:rsid w:val="005B0379"/>
    <w:rsid w:val="005B1392"/>
    <w:rsid w:val="005B1685"/>
    <w:rsid w:val="005B2192"/>
    <w:rsid w:val="005B226F"/>
    <w:rsid w:val="005B2CE9"/>
    <w:rsid w:val="005B33C3"/>
    <w:rsid w:val="005B378E"/>
    <w:rsid w:val="005B3E4F"/>
    <w:rsid w:val="005B3F74"/>
    <w:rsid w:val="005B7696"/>
    <w:rsid w:val="005B76C9"/>
    <w:rsid w:val="005B7C95"/>
    <w:rsid w:val="005B7F37"/>
    <w:rsid w:val="005C141B"/>
    <w:rsid w:val="005C1DB2"/>
    <w:rsid w:val="005C23B0"/>
    <w:rsid w:val="005C246E"/>
    <w:rsid w:val="005C2FE9"/>
    <w:rsid w:val="005C48B6"/>
    <w:rsid w:val="005C4AC3"/>
    <w:rsid w:val="005C60D2"/>
    <w:rsid w:val="005C63E5"/>
    <w:rsid w:val="005D1CB1"/>
    <w:rsid w:val="005D2D63"/>
    <w:rsid w:val="005D378D"/>
    <w:rsid w:val="005D47D8"/>
    <w:rsid w:val="005D49EE"/>
    <w:rsid w:val="005D5C1F"/>
    <w:rsid w:val="005D762A"/>
    <w:rsid w:val="005E0BE7"/>
    <w:rsid w:val="005E0FF5"/>
    <w:rsid w:val="005E1536"/>
    <w:rsid w:val="005E2018"/>
    <w:rsid w:val="005E2864"/>
    <w:rsid w:val="005E2D8A"/>
    <w:rsid w:val="005E4567"/>
    <w:rsid w:val="005E6396"/>
    <w:rsid w:val="005E6472"/>
    <w:rsid w:val="005E6692"/>
    <w:rsid w:val="005E67FD"/>
    <w:rsid w:val="005E6F8C"/>
    <w:rsid w:val="005F0C45"/>
    <w:rsid w:val="005F0DA5"/>
    <w:rsid w:val="005F166E"/>
    <w:rsid w:val="005F396D"/>
    <w:rsid w:val="005F4260"/>
    <w:rsid w:val="005F55DC"/>
    <w:rsid w:val="005F5904"/>
    <w:rsid w:val="005F595C"/>
    <w:rsid w:val="005F5BE4"/>
    <w:rsid w:val="005F60C9"/>
    <w:rsid w:val="005F62EB"/>
    <w:rsid w:val="005F67D3"/>
    <w:rsid w:val="005F6F73"/>
    <w:rsid w:val="005F7BEA"/>
    <w:rsid w:val="00600725"/>
    <w:rsid w:val="0060092F"/>
    <w:rsid w:val="006010DB"/>
    <w:rsid w:val="00601913"/>
    <w:rsid w:val="006030F6"/>
    <w:rsid w:val="00603530"/>
    <w:rsid w:val="00605F15"/>
    <w:rsid w:val="006069DE"/>
    <w:rsid w:val="00606B4D"/>
    <w:rsid w:val="006072EB"/>
    <w:rsid w:val="0060732E"/>
    <w:rsid w:val="00607724"/>
    <w:rsid w:val="00610BB4"/>
    <w:rsid w:val="006113E8"/>
    <w:rsid w:val="006116D7"/>
    <w:rsid w:val="00612634"/>
    <w:rsid w:val="00612B3F"/>
    <w:rsid w:val="00612E49"/>
    <w:rsid w:val="0061436D"/>
    <w:rsid w:val="00615E3C"/>
    <w:rsid w:val="006163B9"/>
    <w:rsid w:val="00616436"/>
    <w:rsid w:val="00616C54"/>
    <w:rsid w:val="00617761"/>
    <w:rsid w:val="00617AC7"/>
    <w:rsid w:val="00621918"/>
    <w:rsid w:val="00622092"/>
    <w:rsid w:val="00622192"/>
    <w:rsid w:val="00622804"/>
    <w:rsid w:val="006229D5"/>
    <w:rsid w:val="00622DFD"/>
    <w:rsid w:val="006231C6"/>
    <w:rsid w:val="0062480D"/>
    <w:rsid w:val="0062492D"/>
    <w:rsid w:val="00625F2D"/>
    <w:rsid w:val="006260B1"/>
    <w:rsid w:val="00626FD5"/>
    <w:rsid w:val="006301FD"/>
    <w:rsid w:val="006308CE"/>
    <w:rsid w:val="00630ED9"/>
    <w:rsid w:val="00631EC8"/>
    <w:rsid w:val="00632910"/>
    <w:rsid w:val="0063386E"/>
    <w:rsid w:val="006364F8"/>
    <w:rsid w:val="006367FE"/>
    <w:rsid w:val="00636F97"/>
    <w:rsid w:val="00640E3A"/>
    <w:rsid w:val="0064135C"/>
    <w:rsid w:val="00641815"/>
    <w:rsid w:val="0064281D"/>
    <w:rsid w:val="00643674"/>
    <w:rsid w:val="00643BC4"/>
    <w:rsid w:val="0064554F"/>
    <w:rsid w:val="006468EB"/>
    <w:rsid w:val="00647221"/>
    <w:rsid w:val="00647AD7"/>
    <w:rsid w:val="00647E58"/>
    <w:rsid w:val="00647FC4"/>
    <w:rsid w:val="0065044E"/>
    <w:rsid w:val="00651EB1"/>
    <w:rsid w:val="006523C5"/>
    <w:rsid w:val="00652588"/>
    <w:rsid w:val="00652C56"/>
    <w:rsid w:val="00653225"/>
    <w:rsid w:val="006544BF"/>
    <w:rsid w:val="00654537"/>
    <w:rsid w:val="006548EA"/>
    <w:rsid w:val="00655491"/>
    <w:rsid w:val="00655D0B"/>
    <w:rsid w:val="00656AA3"/>
    <w:rsid w:val="00656D36"/>
    <w:rsid w:val="00657654"/>
    <w:rsid w:val="006576B2"/>
    <w:rsid w:val="00657BFF"/>
    <w:rsid w:val="00661530"/>
    <w:rsid w:val="00661776"/>
    <w:rsid w:val="0066178F"/>
    <w:rsid w:val="00661DC5"/>
    <w:rsid w:val="00662B3F"/>
    <w:rsid w:val="006634E6"/>
    <w:rsid w:val="00663E0C"/>
    <w:rsid w:val="00664431"/>
    <w:rsid w:val="006655C3"/>
    <w:rsid w:val="0066671D"/>
    <w:rsid w:val="00667696"/>
    <w:rsid w:val="0067123D"/>
    <w:rsid w:val="00671AE7"/>
    <w:rsid w:val="00671AF6"/>
    <w:rsid w:val="00671D4C"/>
    <w:rsid w:val="006723B6"/>
    <w:rsid w:val="00673AEB"/>
    <w:rsid w:val="0067491B"/>
    <w:rsid w:val="00675C44"/>
    <w:rsid w:val="00675C87"/>
    <w:rsid w:val="006765CD"/>
    <w:rsid w:val="00677830"/>
    <w:rsid w:val="00677985"/>
    <w:rsid w:val="00677F6F"/>
    <w:rsid w:val="006805A7"/>
    <w:rsid w:val="00681C60"/>
    <w:rsid w:val="00681F37"/>
    <w:rsid w:val="00683A66"/>
    <w:rsid w:val="00684851"/>
    <w:rsid w:val="00684F89"/>
    <w:rsid w:val="00685511"/>
    <w:rsid w:val="00685C4D"/>
    <w:rsid w:val="006862C0"/>
    <w:rsid w:val="0068648A"/>
    <w:rsid w:val="006867B5"/>
    <w:rsid w:val="0069005C"/>
    <w:rsid w:val="006905D0"/>
    <w:rsid w:val="00692BA6"/>
    <w:rsid w:val="00692C9C"/>
    <w:rsid w:val="00693B8F"/>
    <w:rsid w:val="00693F7E"/>
    <w:rsid w:val="0069480C"/>
    <w:rsid w:val="0069617A"/>
    <w:rsid w:val="00696D85"/>
    <w:rsid w:val="00696F15"/>
    <w:rsid w:val="00696F63"/>
    <w:rsid w:val="006A2FB2"/>
    <w:rsid w:val="006A3280"/>
    <w:rsid w:val="006A4975"/>
    <w:rsid w:val="006A5242"/>
    <w:rsid w:val="006A5ACF"/>
    <w:rsid w:val="006A74AC"/>
    <w:rsid w:val="006A7C49"/>
    <w:rsid w:val="006B0D4E"/>
    <w:rsid w:val="006B16F0"/>
    <w:rsid w:val="006B1C26"/>
    <w:rsid w:val="006B21B0"/>
    <w:rsid w:val="006B416D"/>
    <w:rsid w:val="006B47D1"/>
    <w:rsid w:val="006B4B8E"/>
    <w:rsid w:val="006B5AF0"/>
    <w:rsid w:val="006B6D8F"/>
    <w:rsid w:val="006C0886"/>
    <w:rsid w:val="006C0E25"/>
    <w:rsid w:val="006C112D"/>
    <w:rsid w:val="006C22D4"/>
    <w:rsid w:val="006C3CCD"/>
    <w:rsid w:val="006C4672"/>
    <w:rsid w:val="006C5749"/>
    <w:rsid w:val="006C6DCF"/>
    <w:rsid w:val="006D1F67"/>
    <w:rsid w:val="006D2BCC"/>
    <w:rsid w:val="006D544F"/>
    <w:rsid w:val="006D6CC7"/>
    <w:rsid w:val="006D756F"/>
    <w:rsid w:val="006E1295"/>
    <w:rsid w:val="006E18F7"/>
    <w:rsid w:val="006E262E"/>
    <w:rsid w:val="006E2919"/>
    <w:rsid w:val="006E382B"/>
    <w:rsid w:val="006E3CB7"/>
    <w:rsid w:val="006E426C"/>
    <w:rsid w:val="006E71D3"/>
    <w:rsid w:val="006E763E"/>
    <w:rsid w:val="006E764A"/>
    <w:rsid w:val="006E7CA2"/>
    <w:rsid w:val="006F0272"/>
    <w:rsid w:val="006F1409"/>
    <w:rsid w:val="006F1BEC"/>
    <w:rsid w:val="006F2E4E"/>
    <w:rsid w:val="006F3155"/>
    <w:rsid w:val="006F3208"/>
    <w:rsid w:val="006F3CE5"/>
    <w:rsid w:val="006F3DF2"/>
    <w:rsid w:val="006F4D07"/>
    <w:rsid w:val="006F6804"/>
    <w:rsid w:val="006F74CC"/>
    <w:rsid w:val="007009EF"/>
    <w:rsid w:val="00700DD1"/>
    <w:rsid w:val="00701D0C"/>
    <w:rsid w:val="00702722"/>
    <w:rsid w:val="00702747"/>
    <w:rsid w:val="00702A9E"/>
    <w:rsid w:val="007030F2"/>
    <w:rsid w:val="007041CD"/>
    <w:rsid w:val="00704370"/>
    <w:rsid w:val="00704452"/>
    <w:rsid w:val="00704DB0"/>
    <w:rsid w:val="00706607"/>
    <w:rsid w:val="00707A73"/>
    <w:rsid w:val="00707D3B"/>
    <w:rsid w:val="007124E0"/>
    <w:rsid w:val="007128ED"/>
    <w:rsid w:val="0071299E"/>
    <w:rsid w:val="0071402E"/>
    <w:rsid w:val="00714232"/>
    <w:rsid w:val="00715258"/>
    <w:rsid w:val="007160D7"/>
    <w:rsid w:val="00720441"/>
    <w:rsid w:val="00720CA5"/>
    <w:rsid w:val="00720D5F"/>
    <w:rsid w:val="00720E11"/>
    <w:rsid w:val="007211B1"/>
    <w:rsid w:val="00721368"/>
    <w:rsid w:val="007214CD"/>
    <w:rsid w:val="007227A6"/>
    <w:rsid w:val="00722B95"/>
    <w:rsid w:val="0072471D"/>
    <w:rsid w:val="00724949"/>
    <w:rsid w:val="00724B01"/>
    <w:rsid w:val="00724D93"/>
    <w:rsid w:val="00724E76"/>
    <w:rsid w:val="007253B1"/>
    <w:rsid w:val="00725D3A"/>
    <w:rsid w:val="00726D70"/>
    <w:rsid w:val="00726FD5"/>
    <w:rsid w:val="007270E9"/>
    <w:rsid w:val="00727680"/>
    <w:rsid w:val="0072774F"/>
    <w:rsid w:val="0073043F"/>
    <w:rsid w:val="007310DB"/>
    <w:rsid w:val="00731941"/>
    <w:rsid w:val="00732DB3"/>
    <w:rsid w:val="00736202"/>
    <w:rsid w:val="00736349"/>
    <w:rsid w:val="00736509"/>
    <w:rsid w:val="00736EC4"/>
    <w:rsid w:val="0073735D"/>
    <w:rsid w:val="0074076C"/>
    <w:rsid w:val="007410C0"/>
    <w:rsid w:val="00741961"/>
    <w:rsid w:val="00741DAB"/>
    <w:rsid w:val="00742B49"/>
    <w:rsid w:val="00742B9E"/>
    <w:rsid w:val="00743551"/>
    <w:rsid w:val="0074406C"/>
    <w:rsid w:val="00744C13"/>
    <w:rsid w:val="00744F94"/>
    <w:rsid w:val="007452A5"/>
    <w:rsid w:val="007452D8"/>
    <w:rsid w:val="007456C5"/>
    <w:rsid w:val="00746D45"/>
    <w:rsid w:val="00750565"/>
    <w:rsid w:val="0075166F"/>
    <w:rsid w:val="00751E68"/>
    <w:rsid w:val="0075230B"/>
    <w:rsid w:val="0075270B"/>
    <w:rsid w:val="00752EC3"/>
    <w:rsid w:val="00754031"/>
    <w:rsid w:val="00757269"/>
    <w:rsid w:val="00757568"/>
    <w:rsid w:val="00757954"/>
    <w:rsid w:val="007600AD"/>
    <w:rsid w:val="00760868"/>
    <w:rsid w:val="007616CB"/>
    <w:rsid w:val="00761768"/>
    <w:rsid w:val="00763FD7"/>
    <w:rsid w:val="007644F3"/>
    <w:rsid w:val="0076462E"/>
    <w:rsid w:val="00766C22"/>
    <w:rsid w:val="00766F5F"/>
    <w:rsid w:val="007719C0"/>
    <w:rsid w:val="0077250A"/>
    <w:rsid w:val="00773B56"/>
    <w:rsid w:val="00773C00"/>
    <w:rsid w:val="00775FFB"/>
    <w:rsid w:val="00777ED6"/>
    <w:rsid w:val="007804B7"/>
    <w:rsid w:val="007804E5"/>
    <w:rsid w:val="007805C5"/>
    <w:rsid w:val="00781B6A"/>
    <w:rsid w:val="00782978"/>
    <w:rsid w:val="00783593"/>
    <w:rsid w:val="00785584"/>
    <w:rsid w:val="00787F2C"/>
    <w:rsid w:val="007919CD"/>
    <w:rsid w:val="007925A0"/>
    <w:rsid w:val="00792A7E"/>
    <w:rsid w:val="0079412D"/>
    <w:rsid w:val="007942EF"/>
    <w:rsid w:val="007948E9"/>
    <w:rsid w:val="007956FC"/>
    <w:rsid w:val="007971A1"/>
    <w:rsid w:val="007976D6"/>
    <w:rsid w:val="007A0A43"/>
    <w:rsid w:val="007A13D4"/>
    <w:rsid w:val="007A1A52"/>
    <w:rsid w:val="007A1B9F"/>
    <w:rsid w:val="007A1D6D"/>
    <w:rsid w:val="007A226E"/>
    <w:rsid w:val="007A227E"/>
    <w:rsid w:val="007A2CA6"/>
    <w:rsid w:val="007A2E7F"/>
    <w:rsid w:val="007A4888"/>
    <w:rsid w:val="007A52D4"/>
    <w:rsid w:val="007A5C94"/>
    <w:rsid w:val="007A62A7"/>
    <w:rsid w:val="007B0094"/>
    <w:rsid w:val="007B0B4D"/>
    <w:rsid w:val="007B19ED"/>
    <w:rsid w:val="007B1E31"/>
    <w:rsid w:val="007B218E"/>
    <w:rsid w:val="007B2981"/>
    <w:rsid w:val="007B42C7"/>
    <w:rsid w:val="007B4896"/>
    <w:rsid w:val="007B5ADB"/>
    <w:rsid w:val="007B6205"/>
    <w:rsid w:val="007B6BF3"/>
    <w:rsid w:val="007B7029"/>
    <w:rsid w:val="007B768C"/>
    <w:rsid w:val="007B7A42"/>
    <w:rsid w:val="007C195D"/>
    <w:rsid w:val="007C1D89"/>
    <w:rsid w:val="007C1E0A"/>
    <w:rsid w:val="007C27CE"/>
    <w:rsid w:val="007C2C11"/>
    <w:rsid w:val="007C3722"/>
    <w:rsid w:val="007C4120"/>
    <w:rsid w:val="007C4BDD"/>
    <w:rsid w:val="007C5483"/>
    <w:rsid w:val="007C5D2E"/>
    <w:rsid w:val="007C73DA"/>
    <w:rsid w:val="007C7E97"/>
    <w:rsid w:val="007D0142"/>
    <w:rsid w:val="007D1338"/>
    <w:rsid w:val="007D387C"/>
    <w:rsid w:val="007D3D4D"/>
    <w:rsid w:val="007D3D80"/>
    <w:rsid w:val="007D42D2"/>
    <w:rsid w:val="007D4A3B"/>
    <w:rsid w:val="007D53CA"/>
    <w:rsid w:val="007D71D1"/>
    <w:rsid w:val="007D76A6"/>
    <w:rsid w:val="007E0B61"/>
    <w:rsid w:val="007E1586"/>
    <w:rsid w:val="007E2C39"/>
    <w:rsid w:val="007E3B70"/>
    <w:rsid w:val="007E3BEC"/>
    <w:rsid w:val="007E3FF9"/>
    <w:rsid w:val="007E41C7"/>
    <w:rsid w:val="007E4309"/>
    <w:rsid w:val="007E4F4C"/>
    <w:rsid w:val="007E6F14"/>
    <w:rsid w:val="007E7EA8"/>
    <w:rsid w:val="007F011E"/>
    <w:rsid w:val="007F0582"/>
    <w:rsid w:val="007F1CBE"/>
    <w:rsid w:val="007F2C3D"/>
    <w:rsid w:val="007F3582"/>
    <w:rsid w:val="007F46A0"/>
    <w:rsid w:val="007F4EA0"/>
    <w:rsid w:val="007F4F45"/>
    <w:rsid w:val="007F5166"/>
    <w:rsid w:val="007F5639"/>
    <w:rsid w:val="007F65B7"/>
    <w:rsid w:val="007F65E4"/>
    <w:rsid w:val="007F6DD1"/>
    <w:rsid w:val="008003E8"/>
    <w:rsid w:val="00803120"/>
    <w:rsid w:val="008040B8"/>
    <w:rsid w:val="00804216"/>
    <w:rsid w:val="00804C29"/>
    <w:rsid w:val="00805D23"/>
    <w:rsid w:val="00807291"/>
    <w:rsid w:val="00807588"/>
    <w:rsid w:val="00807BAA"/>
    <w:rsid w:val="00807D8C"/>
    <w:rsid w:val="00810ED4"/>
    <w:rsid w:val="00811DF5"/>
    <w:rsid w:val="008128FB"/>
    <w:rsid w:val="00813903"/>
    <w:rsid w:val="00813C2A"/>
    <w:rsid w:val="0081563E"/>
    <w:rsid w:val="00816B0E"/>
    <w:rsid w:val="00816C82"/>
    <w:rsid w:val="008205A2"/>
    <w:rsid w:val="008212E6"/>
    <w:rsid w:val="00822D24"/>
    <w:rsid w:val="00822F17"/>
    <w:rsid w:val="008232F7"/>
    <w:rsid w:val="00823412"/>
    <w:rsid w:val="008239C7"/>
    <w:rsid w:val="00824B23"/>
    <w:rsid w:val="00824C79"/>
    <w:rsid w:val="008263EB"/>
    <w:rsid w:val="00826FAE"/>
    <w:rsid w:val="00827F4B"/>
    <w:rsid w:val="00830927"/>
    <w:rsid w:val="00831544"/>
    <w:rsid w:val="008315A1"/>
    <w:rsid w:val="00831B99"/>
    <w:rsid w:val="00831D30"/>
    <w:rsid w:val="00832908"/>
    <w:rsid w:val="00832A9A"/>
    <w:rsid w:val="00832ACF"/>
    <w:rsid w:val="0083335E"/>
    <w:rsid w:val="00833630"/>
    <w:rsid w:val="00834077"/>
    <w:rsid w:val="00834862"/>
    <w:rsid w:val="008355EC"/>
    <w:rsid w:val="00835BC0"/>
    <w:rsid w:val="00835C61"/>
    <w:rsid w:val="00836200"/>
    <w:rsid w:val="008370BA"/>
    <w:rsid w:val="008407EC"/>
    <w:rsid w:val="00841EC7"/>
    <w:rsid w:val="0084202B"/>
    <w:rsid w:val="008424DA"/>
    <w:rsid w:val="00842BB7"/>
    <w:rsid w:val="00842DCA"/>
    <w:rsid w:val="0084507F"/>
    <w:rsid w:val="00845BBA"/>
    <w:rsid w:val="00846708"/>
    <w:rsid w:val="00846F07"/>
    <w:rsid w:val="00847F1D"/>
    <w:rsid w:val="00852F37"/>
    <w:rsid w:val="00854046"/>
    <w:rsid w:val="008557FF"/>
    <w:rsid w:val="008559B9"/>
    <w:rsid w:val="008559D2"/>
    <w:rsid w:val="008577C5"/>
    <w:rsid w:val="008600D5"/>
    <w:rsid w:val="00860315"/>
    <w:rsid w:val="008607E8"/>
    <w:rsid w:val="0086256C"/>
    <w:rsid w:val="00863746"/>
    <w:rsid w:val="00863A8A"/>
    <w:rsid w:val="00864A7E"/>
    <w:rsid w:val="00865683"/>
    <w:rsid w:val="0086634D"/>
    <w:rsid w:val="00866DD6"/>
    <w:rsid w:val="00867254"/>
    <w:rsid w:val="00867F0F"/>
    <w:rsid w:val="00872C3F"/>
    <w:rsid w:val="00872E03"/>
    <w:rsid w:val="00873609"/>
    <w:rsid w:val="00873CBA"/>
    <w:rsid w:val="008742D7"/>
    <w:rsid w:val="008752BA"/>
    <w:rsid w:val="0087665C"/>
    <w:rsid w:val="008767E7"/>
    <w:rsid w:val="00876D39"/>
    <w:rsid w:val="00877165"/>
    <w:rsid w:val="0087783E"/>
    <w:rsid w:val="0088066D"/>
    <w:rsid w:val="00881361"/>
    <w:rsid w:val="008814B4"/>
    <w:rsid w:val="00881D94"/>
    <w:rsid w:val="008821E4"/>
    <w:rsid w:val="00882EB1"/>
    <w:rsid w:val="00883332"/>
    <w:rsid w:val="00884FBD"/>
    <w:rsid w:val="0088585A"/>
    <w:rsid w:val="00885873"/>
    <w:rsid w:val="00885B55"/>
    <w:rsid w:val="00885DF2"/>
    <w:rsid w:val="00886B7D"/>
    <w:rsid w:val="008873AF"/>
    <w:rsid w:val="00887F79"/>
    <w:rsid w:val="00890081"/>
    <w:rsid w:val="00890981"/>
    <w:rsid w:val="008910B3"/>
    <w:rsid w:val="008915AB"/>
    <w:rsid w:val="00892139"/>
    <w:rsid w:val="0089298D"/>
    <w:rsid w:val="00892E90"/>
    <w:rsid w:val="008933F4"/>
    <w:rsid w:val="008959B2"/>
    <w:rsid w:val="008A1453"/>
    <w:rsid w:val="008A1576"/>
    <w:rsid w:val="008A1A2D"/>
    <w:rsid w:val="008A3521"/>
    <w:rsid w:val="008A36C1"/>
    <w:rsid w:val="008A3B95"/>
    <w:rsid w:val="008A45A4"/>
    <w:rsid w:val="008A45E5"/>
    <w:rsid w:val="008A4CCF"/>
    <w:rsid w:val="008A4E71"/>
    <w:rsid w:val="008A51B7"/>
    <w:rsid w:val="008A5373"/>
    <w:rsid w:val="008A5492"/>
    <w:rsid w:val="008A5882"/>
    <w:rsid w:val="008A7E5A"/>
    <w:rsid w:val="008B0B7F"/>
    <w:rsid w:val="008B1CB7"/>
    <w:rsid w:val="008B2308"/>
    <w:rsid w:val="008B2A64"/>
    <w:rsid w:val="008B321B"/>
    <w:rsid w:val="008B3E06"/>
    <w:rsid w:val="008B507E"/>
    <w:rsid w:val="008B5C9B"/>
    <w:rsid w:val="008B5E45"/>
    <w:rsid w:val="008B6229"/>
    <w:rsid w:val="008B6719"/>
    <w:rsid w:val="008B672F"/>
    <w:rsid w:val="008B6AEB"/>
    <w:rsid w:val="008B77E0"/>
    <w:rsid w:val="008C10FD"/>
    <w:rsid w:val="008C15EB"/>
    <w:rsid w:val="008C2C43"/>
    <w:rsid w:val="008C2CD8"/>
    <w:rsid w:val="008C2E04"/>
    <w:rsid w:val="008C3769"/>
    <w:rsid w:val="008C4020"/>
    <w:rsid w:val="008C4939"/>
    <w:rsid w:val="008C69BC"/>
    <w:rsid w:val="008C74E7"/>
    <w:rsid w:val="008C76CB"/>
    <w:rsid w:val="008C7C34"/>
    <w:rsid w:val="008D0240"/>
    <w:rsid w:val="008D0299"/>
    <w:rsid w:val="008D0DFD"/>
    <w:rsid w:val="008D145C"/>
    <w:rsid w:val="008D43DA"/>
    <w:rsid w:val="008D4DD6"/>
    <w:rsid w:val="008D5CEA"/>
    <w:rsid w:val="008D5FEB"/>
    <w:rsid w:val="008D6B1E"/>
    <w:rsid w:val="008D73D2"/>
    <w:rsid w:val="008D7AC4"/>
    <w:rsid w:val="008E0362"/>
    <w:rsid w:val="008E203F"/>
    <w:rsid w:val="008E23C7"/>
    <w:rsid w:val="008E4ED5"/>
    <w:rsid w:val="008E4FCF"/>
    <w:rsid w:val="008E53C1"/>
    <w:rsid w:val="008E55FC"/>
    <w:rsid w:val="008E5E93"/>
    <w:rsid w:val="008E5F73"/>
    <w:rsid w:val="008E6BF9"/>
    <w:rsid w:val="008E7BA2"/>
    <w:rsid w:val="008F018E"/>
    <w:rsid w:val="008F0CED"/>
    <w:rsid w:val="008F1408"/>
    <w:rsid w:val="008F1428"/>
    <w:rsid w:val="008F16FC"/>
    <w:rsid w:val="008F22B9"/>
    <w:rsid w:val="008F409D"/>
    <w:rsid w:val="008F48EE"/>
    <w:rsid w:val="008F6577"/>
    <w:rsid w:val="008F738C"/>
    <w:rsid w:val="0090045F"/>
    <w:rsid w:val="00900799"/>
    <w:rsid w:val="00900D4A"/>
    <w:rsid w:val="00901BC4"/>
    <w:rsid w:val="009028DE"/>
    <w:rsid w:val="00903573"/>
    <w:rsid w:val="00903B7A"/>
    <w:rsid w:val="00903EB6"/>
    <w:rsid w:val="00903F09"/>
    <w:rsid w:val="00906DDD"/>
    <w:rsid w:val="00906EE8"/>
    <w:rsid w:val="00911FE9"/>
    <w:rsid w:val="00912B26"/>
    <w:rsid w:val="00913DDB"/>
    <w:rsid w:val="00914389"/>
    <w:rsid w:val="00915064"/>
    <w:rsid w:val="009154A4"/>
    <w:rsid w:val="00915A81"/>
    <w:rsid w:val="00915DDB"/>
    <w:rsid w:val="0091676F"/>
    <w:rsid w:val="00917A29"/>
    <w:rsid w:val="00917F6F"/>
    <w:rsid w:val="00920437"/>
    <w:rsid w:val="00920D1C"/>
    <w:rsid w:val="009210DD"/>
    <w:rsid w:val="009211F9"/>
    <w:rsid w:val="009226B2"/>
    <w:rsid w:val="00922A8F"/>
    <w:rsid w:val="00922BB6"/>
    <w:rsid w:val="00922D66"/>
    <w:rsid w:val="009232C3"/>
    <w:rsid w:val="0092347D"/>
    <w:rsid w:val="00923CAE"/>
    <w:rsid w:val="00924DBA"/>
    <w:rsid w:val="0092532C"/>
    <w:rsid w:val="009256D3"/>
    <w:rsid w:val="0092571B"/>
    <w:rsid w:val="009258FD"/>
    <w:rsid w:val="00925A13"/>
    <w:rsid w:val="00925AAC"/>
    <w:rsid w:val="00927F6B"/>
    <w:rsid w:val="009301CF"/>
    <w:rsid w:val="00930635"/>
    <w:rsid w:val="009308C3"/>
    <w:rsid w:val="00930AFB"/>
    <w:rsid w:val="00931D89"/>
    <w:rsid w:val="00931DF4"/>
    <w:rsid w:val="00932281"/>
    <w:rsid w:val="0093258F"/>
    <w:rsid w:val="0093259D"/>
    <w:rsid w:val="009334F1"/>
    <w:rsid w:val="00934D39"/>
    <w:rsid w:val="00935208"/>
    <w:rsid w:val="009352AC"/>
    <w:rsid w:val="0093598D"/>
    <w:rsid w:val="009363F3"/>
    <w:rsid w:val="00937583"/>
    <w:rsid w:val="00944448"/>
    <w:rsid w:val="0094449D"/>
    <w:rsid w:val="00946986"/>
    <w:rsid w:val="00947F8A"/>
    <w:rsid w:val="00950FED"/>
    <w:rsid w:val="00951248"/>
    <w:rsid w:val="00951EB7"/>
    <w:rsid w:val="00953D32"/>
    <w:rsid w:val="009542F0"/>
    <w:rsid w:val="009545C1"/>
    <w:rsid w:val="009547C0"/>
    <w:rsid w:val="00954AE0"/>
    <w:rsid w:val="00955E03"/>
    <w:rsid w:val="00956510"/>
    <w:rsid w:val="009565AB"/>
    <w:rsid w:val="00957B16"/>
    <w:rsid w:val="00960AAD"/>
    <w:rsid w:val="00960F10"/>
    <w:rsid w:val="0096181E"/>
    <w:rsid w:val="00961F14"/>
    <w:rsid w:val="00961FAD"/>
    <w:rsid w:val="00962316"/>
    <w:rsid w:val="00963DAE"/>
    <w:rsid w:val="00963E1D"/>
    <w:rsid w:val="0096437A"/>
    <w:rsid w:val="009643A0"/>
    <w:rsid w:val="00964681"/>
    <w:rsid w:val="00965679"/>
    <w:rsid w:val="00965713"/>
    <w:rsid w:val="0097065F"/>
    <w:rsid w:val="00971A83"/>
    <w:rsid w:val="00971CF8"/>
    <w:rsid w:val="00971E1B"/>
    <w:rsid w:val="00971EE8"/>
    <w:rsid w:val="0097213D"/>
    <w:rsid w:val="0097222A"/>
    <w:rsid w:val="009723F5"/>
    <w:rsid w:val="009725B3"/>
    <w:rsid w:val="009725F1"/>
    <w:rsid w:val="00973B3A"/>
    <w:rsid w:val="00974124"/>
    <w:rsid w:val="00974962"/>
    <w:rsid w:val="00974C4F"/>
    <w:rsid w:val="00975325"/>
    <w:rsid w:val="0097567F"/>
    <w:rsid w:val="00975897"/>
    <w:rsid w:val="009758DF"/>
    <w:rsid w:val="00976635"/>
    <w:rsid w:val="00976A8A"/>
    <w:rsid w:val="009779A0"/>
    <w:rsid w:val="00977C5A"/>
    <w:rsid w:val="0098043A"/>
    <w:rsid w:val="00980729"/>
    <w:rsid w:val="00980F86"/>
    <w:rsid w:val="00983B78"/>
    <w:rsid w:val="009845E5"/>
    <w:rsid w:val="009847DA"/>
    <w:rsid w:val="00984B81"/>
    <w:rsid w:val="00984BBE"/>
    <w:rsid w:val="00984D50"/>
    <w:rsid w:val="0098526C"/>
    <w:rsid w:val="009854F0"/>
    <w:rsid w:val="0098618C"/>
    <w:rsid w:val="00986755"/>
    <w:rsid w:val="00986AA1"/>
    <w:rsid w:val="00987CB1"/>
    <w:rsid w:val="00990062"/>
    <w:rsid w:val="00990961"/>
    <w:rsid w:val="009912DC"/>
    <w:rsid w:val="009914B9"/>
    <w:rsid w:val="00993849"/>
    <w:rsid w:val="009944FD"/>
    <w:rsid w:val="00994591"/>
    <w:rsid w:val="00995B84"/>
    <w:rsid w:val="009967D0"/>
    <w:rsid w:val="009968E5"/>
    <w:rsid w:val="00997C14"/>
    <w:rsid w:val="00997F1D"/>
    <w:rsid w:val="009A0C7D"/>
    <w:rsid w:val="009A1CEE"/>
    <w:rsid w:val="009A440C"/>
    <w:rsid w:val="009A4857"/>
    <w:rsid w:val="009A4F34"/>
    <w:rsid w:val="009A5F24"/>
    <w:rsid w:val="009A5F8E"/>
    <w:rsid w:val="009A635C"/>
    <w:rsid w:val="009A6B64"/>
    <w:rsid w:val="009A6C92"/>
    <w:rsid w:val="009A6CD8"/>
    <w:rsid w:val="009A6D40"/>
    <w:rsid w:val="009A743B"/>
    <w:rsid w:val="009A7B46"/>
    <w:rsid w:val="009B19D1"/>
    <w:rsid w:val="009B2608"/>
    <w:rsid w:val="009B2DAF"/>
    <w:rsid w:val="009B4334"/>
    <w:rsid w:val="009B58E7"/>
    <w:rsid w:val="009B5D6B"/>
    <w:rsid w:val="009B6725"/>
    <w:rsid w:val="009B684F"/>
    <w:rsid w:val="009B6C62"/>
    <w:rsid w:val="009B7576"/>
    <w:rsid w:val="009C0346"/>
    <w:rsid w:val="009C10B6"/>
    <w:rsid w:val="009C19B0"/>
    <w:rsid w:val="009C1AF1"/>
    <w:rsid w:val="009C2E4F"/>
    <w:rsid w:val="009C4165"/>
    <w:rsid w:val="009C444D"/>
    <w:rsid w:val="009C4DD8"/>
    <w:rsid w:val="009C57FC"/>
    <w:rsid w:val="009C5DC9"/>
    <w:rsid w:val="009C6472"/>
    <w:rsid w:val="009C7998"/>
    <w:rsid w:val="009D0A42"/>
    <w:rsid w:val="009D1013"/>
    <w:rsid w:val="009D2A38"/>
    <w:rsid w:val="009D3B2B"/>
    <w:rsid w:val="009D4FDE"/>
    <w:rsid w:val="009D56A9"/>
    <w:rsid w:val="009D5FAA"/>
    <w:rsid w:val="009D6E09"/>
    <w:rsid w:val="009E0C21"/>
    <w:rsid w:val="009E1EA6"/>
    <w:rsid w:val="009E2CB7"/>
    <w:rsid w:val="009E37A1"/>
    <w:rsid w:val="009E4118"/>
    <w:rsid w:val="009E5FAE"/>
    <w:rsid w:val="009E62DF"/>
    <w:rsid w:val="009E638D"/>
    <w:rsid w:val="009E67BC"/>
    <w:rsid w:val="009E7F50"/>
    <w:rsid w:val="009E7FE5"/>
    <w:rsid w:val="009F0C3F"/>
    <w:rsid w:val="009F0E9D"/>
    <w:rsid w:val="009F2B83"/>
    <w:rsid w:val="009F3063"/>
    <w:rsid w:val="009F441D"/>
    <w:rsid w:val="009F58EE"/>
    <w:rsid w:val="009F74B9"/>
    <w:rsid w:val="009F7AF2"/>
    <w:rsid w:val="00A0020D"/>
    <w:rsid w:val="00A002FF"/>
    <w:rsid w:val="00A016C3"/>
    <w:rsid w:val="00A01F59"/>
    <w:rsid w:val="00A0222F"/>
    <w:rsid w:val="00A03454"/>
    <w:rsid w:val="00A03513"/>
    <w:rsid w:val="00A035C4"/>
    <w:rsid w:val="00A04D85"/>
    <w:rsid w:val="00A06D33"/>
    <w:rsid w:val="00A07420"/>
    <w:rsid w:val="00A07932"/>
    <w:rsid w:val="00A10DE2"/>
    <w:rsid w:val="00A11C00"/>
    <w:rsid w:val="00A124CB"/>
    <w:rsid w:val="00A13192"/>
    <w:rsid w:val="00A138BE"/>
    <w:rsid w:val="00A13A36"/>
    <w:rsid w:val="00A13D04"/>
    <w:rsid w:val="00A14733"/>
    <w:rsid w:val="00A14884"/>
    <w:rsid w:val="00A150A2"/>
    <w:rsid w:val="00A15422"/>
    <w:rsid w:val="00A15EB0"/>
    <w:rsid w:val="00A16D2A"/>
    <w:rsid w:val="00A17E65"/>
    <w:rsid w:val="00A20A0F"/>
    <w:rsid w:val="00A22A79"/>
    <w:rsid w:val="00A232E2"/>
    <w:rsid w:val="00A2368C"/>
    <w:rsid w:val="00A23FC8"/>
    <w:rsid w:val="00A23FEC"/>
    <w:rsid w:val="00A24427"/>
    <w:rsid w:val="00A253E2"/>
    <w:rsid w:val="00A26DE0"/>
    <w:rsid w:val="00A274D0"/>
    <w:rsid w:val="00A310B0"/>
    <w:rsid w:val="00A32887"/>
    <w:rsid w:val="00A33147"/>
    <w:rsid w:val="00A33220"/>
    <w:rsid w:val="00A34358"/>
    <w:rsid w:val="00A34668"/>
    <w:rsid w:val="00A35473"/>
    <w:rsid w:val="00A3695D"/>
    <w:rsid w:val="00A401C7"/>
    <w:rsid w:val="00A40B69"/>
    <w:rsid w:val="00A42447"/>
    <w:rsid w:val="00A42A50"/>
    <w:rsid w:val="00A43209"/>
    <w:rsid w:val="00A4380B"/>
    <w:rsid w:val="00A4404F"/>
    <w:rsid w:val="00A44240"/>
    <w:rsid w:val="00A4429A"/>
    <w:rsid w:val="00A45CD6"/>
    <w:rsid w:val="00A46184"/>
    <w:rsid w:val="00A479B8"/>
    <w:rsid w:val="00A5289D"/>
    <w:rsid w:val="00A532AE"/>
    <w:rsid w:val="00A53C64"/>
    <w:rsid w:val="00A540DD"/>
    <w:rsid w:val="00A546D2"/>
    <w:rsid w:val="00A55528"/>
    <w:rsid w:val="00A55616"/>
    <w:rsid w:val="00A56783"/>
    <w:rsid w:val="00A573D9"/>
    <w:rsid w:val="00A573FE"/>
    <w:rsid w:val="00A57EAB"/>
    <w:rsid w:val="00A604BC"/>
    <w:rsid w:val="00A60AEB"/>
    <w:rsid w:val="00A6160E"/>
    <w:rsid w:val="00A617D2"/>
    <w:rsid w:val="00A6187A"/>
    <w:rsid w:val="00A618BE"/>
    <w:rsid w:val="00A61A9C"/>
    <w:rsid w:val="00A62608"/>
    <w:rsid w:val="00A62DCA"/>
    <w:rsid w:val="00A62F3A"/>
    <w:rsid w:val="00A64E2D"/>
    <w:rsid w:val="00A651A3"/>
    <w:rsid w:val="00A6545F"/>
    <w:rsid w:val="00A6549C"/>
    <w:rsid w:val="00A6556C"/>
    <w:rsid w:val="00A66B85"/>
    <w:rsid w:val="00A71A16"/>
    <w:rsid w:val="00A71A41"/>
    <w:rsid w:val="00A71BE4"/>
    <w:rsid w:val="00A7287A"/>
    <w:rsid w:val="00A73785"/>
    <w:rsid w:val="00A7514B"/>
    <w:rsid w:val="00A76623"/>
    <w:rsid w:val="00A776B5"/>
    <w:rsid w:val="00A824BC"/>
    <w:rsid w:val="00A843FE"/>
    <w:rsid w:val="00A84D8D"/>
    <w:rsid w:val="00A85020"/>
    <w:rsid w:val="00A87A30"/>
    <w:rsid w:val="00A90875"/>
    <w:rsid w:val="00A90B93"/>
    <w:rsid w:val="00A90F11"/>
    <w:rsid w:val="00A9148B"/>
    <w:rsid w:val="00A91C60"/>
    <w:rsid w:val="00A92A70"/>
    <w:rsid w:val="00A93CB3"/>
    <w:rsid w:val="00A96454"/>
    <w:rsid w:val="00A9776D"/>
    <w:rsid w:val="00A97E63"/>
    <w:rsid w:val="00AA165F"/>
    <w:rsid w:val="00AA266A"/>
    <w:rsid w:val="00AA2DC6"/>
    <w:rsid w:val="00AA2F0B"/>
    <w:rsid w:val="00AA7358"/>
    <w:rsid w:val="00AB129E"/>
    <w:rsid w:val="00AB13D8"/>
    <w:rsid w:val="00AB1A73"/>
    <w:rsid w:val="00AB354F"/>
    <w:rsid w:val="00AB39AC"/>
    <w:rsid w:val="00AB3BA6"/>
    <w:rsid w:val="00AB5939"/>
    <w:rsid w:val="00AB6475"/>
    <w:rsid w:val="00AB6EF7"/>
    <w:rsid w:val="00AB761A"/>
    <w:rsid w:val="00AB7DF1"/>
    <w:rsid w:val="00AC07A1"/>
    <w:rsid w:val="00AC19BF"/>
    <w:rsid w:val="00AC22E2"/>
    <w:rsid w:val="00AC32CB"/>
    <w:rsid w:val="00AC3587"/>
    <w:rsid w:val="00AC3B34"/>
    <w:rsid w:val="00AC3C33"/>
    <w:rsid w:val="00AC4B46"/>
    <w:rsid w:val="00AC5B8D"/>
    <w:rsid w:val="00AC61D6"/>
    <w:rsid w:val="00AC6388"/>
    <w:rsid w:val="00AC63D7"/>
    <w:rsid w:val="00AC7060"/>
    <w:rsid w:val="00AC75DB"/>
    <w:rsid w:val="00AD26EA"/>
    <w:rsid w:val="00AD3FB8"/>
    <w:rsid w:val="00AD5145"/>
    <w:rsid w:val="00AD558C"/>
    <w:rsid w:val="00AD58EE"/>
    <w:rsid w:val="00AD5957"/>
    <w:rsid w:val="00AD5E0C"/>
    <w:rsid w:val="00AD6E36"/>
    <w:rsid w:val="00AD79F5"/>
    <w:rsid w:val="00AE04AE"/>
    <w:rsid w:val="00AE073C"/>
    <w:rsid w:val="00AE0830"/>
    <w:rsid w:val="00AE0907"/>
    <w:rsid w:val="00AE096F"/>
    <w:rsid w:val="00AE0C88"/>
    <w:rsid w:val="00AE148F"/>
    <w:rsid w:val="00AE25B3"/>
    <w:rsid w:val="00AE2870"/>
    <w:rsid w:val="00AE39D3"/>
    <w:rsid w:val="00AE3B76"/>
    <w:rsid w:val="00AE3D37"/>
    <w:rsid w:val="00AE49D0"/>
    <w:rsid w:val="00AE5286"/>
    <w:rsid w:val="00AE5A87"/>
    <w:rsid w:val="00AE608D"/>
    <w:rsid w:val="00AE6C8F"/>
    <w:rsid w:val="00AE7B6B"/>
    <w:rsid w:val="00AE7E49"/>
    <w:rsid w:val="00AE7EE0"/>
    <w:rsid w:val="00AE7F5B"/>
    <w:rsid w:val="00AF1BF1"/>
    <w:rsid w:val="00AF2460"/>
    <w:rsid w:val="00AF24A8"/>
    <w:rsid w:val="00AF250D"/>
    <w:rsid w:val="00AF2976"/>
    <w:rsid w:val="00AF2DE1"/>
    <w:rsid w:val="00AF2EFB"/>
    <w:rsid w:val="00AF3C3A"/>
    <w:rsid w:val="00AF6132"/>
    <w:rsid w:val="00AF68DF"/>
    <w:rsid w:val="00AF6B18"/>
    <w:rsid w:val="00AF6E1D"/>
    <w:rsid w:val="00AF742C"/>
    <w:rsid w:val="00AF7C81"/>
    <w:rsid w:val="00B00BD3"/>
    <w:rsid w:val="00B00E26"/>
    <w:rsid w:val="00B01266"/>
    <w:rsid w:val="00B01AF4"/>
    <w:rsid w:val="00B04905"/>
    <w:rsid w:val="00B05176"/>
    <w:rsid w:val="00B06CF5"/>
    <w:rsid w:val="00B0791F"/>
    <w:rsid w:val="00B07EB8"/>
    <w:rsid w:val="00B11BF0"/>
    <w:rsid w:val="00B11D35"/>
    <w:rsid w:val="00B12762"/>
    <w:rsid w:val="00B15BDD"/>
    <w:rsid w:val="00B16D72"/>
    <w:rsid w:val="00B203F2"/>
    <w:rsid w:val="00B2052B"/>
    <w:rsid w:val="00B20D0D"/>
    <w:rsid w:val="00B21A22"/>
    <w:rsid w:val="00B21C40"/>
    <w:rsid w:val="00B2224B"/>
    <w:rsid w:val="00B22515"/>
    <w:rsid w:val="00B22F6A"/>
    <w:rsid w:val="00B24AE6"/>
    <w:rsid w:val="00B24D06"/>
    <w:rsid w:val="00B25330"/>
    <w:rsid w:val="00B26255"/>
    <w:rsid w:val="00B26DA7"/>
    <w:rsid w:val="00B273C7"/>
    <w:rsid w:val="00B27DA3"/>
    <w:rsid w:val="00B30A05"/>
    <w:rsid w:val="00B31940"/>
    <w:rsid w:val="00B32051"/>
    <w:rsid w:val="00B325AA"/>
    <w:rsid w:val="00B32B57"/>
    <w:rsid w:val="00B33B3A"/>
    <w:rsid w:val="00B35163"/>
    <w:rsid w:val="00B355B2"/>
    <w:rsid w:val="00B3694D"/>
    <w:rsid w:val="00B3752C"/>
    <w:rsid w:val="00B401A7"/>
    <w:rsid w:val="00B40718"/>
    <w:rsid w:val="00B41262"/>
    <w:rsid w:val="00B41622"/>
    <w:rsid w:val="00B417DD"/>
    <w:rsid w:val="00B42818"/>
    <w:rsid w:val="00B42BAA"/>
    <w:rsid w:val="00B42DEA"/>
    <w:rsid w:val="00B430DB"/>
    <w:rsid w:val="00B431DC"/>
    <w:rsid w:val="00B440CB"/>
    <w:rsid w:val="00B44729"/>
    <w:rsid w:val="00B44B22"/>
    <w:rsid w:val="00B51239"/>
    <w:rsid w:val="00B514EE"/>
    <w:rsid w:val="00B51DB5"/>
    <w:rsid w:val="00B520C2"/>
    <w:rsid w:val="00B52B62"/>
    <w:rsid w:val="00B545A6"/>
    <w:rsid w:val="00B547FE"/>
    <w:rsid w:val="00B54BCC"/>
    <w:rsid w:val="00B5501C"/>
    <w:rsid w:val="00B55B05"/>
    <w:rsid w:val="00B55C48"/>
    <w:rsid w:val="00B56897"/>
    <w:rsid w:val="00B5756F"/>
    <w:rsid w:val="00B576EB"/>
    <w:rsid w:val="00B61C61"/>
    <w:rsid w:val="00B623E1"/>
    <w:rsid w:val="00B62A53"/>
    <w:rsid w:val="00B62B2D"/>
    <w:rsid w:val="00B6316F"/>
    <w:rsid w:val="00B63814"/>
    <w:rsid w:val="00B6416D"/>
    <w:rsid w:val="00B64477"/>
    <w:rsid w:val="00B64AE1"/>
    <w:rsid w:val="00B65092"/>
    <w:rsid w:val="00B6539E"/>
    <w:rsid w:val="00B656C2"/>
    <w:rsid w:val="00B65F9C"/>
    <w:rsid w:val="00B664D5"/>
    <w:rsid w:val="00B6673F"/>
    <w:rsid w:val="00B66805"/>
    <w:rsid w:val="00B66CCC"/>
    <w:rsid w:val="00B672F9"/>
    <w:rsid w:val="00B67450"/>
    <w:rsid w:val="00B700CC"/>
    <w:rsid w:val="00B72902"/>
    <w:rsid w:val="00B72E61"/>
    <w:rsid w:val="00B7483D"/>
    <w:rsid w:val="00B74A7C"/>
    <w:rsid w:val="00B74C8A"/>
    <w:rsid w:val="00B75642"/>
    <w:rsid w:val="00B75F39"/>
    <w:rsid w:val="00B76276"/>
    <w:rsid w:val="00B77742"/>
    <w:rsid w:val="00B80344"/>
    <w:rsid w:val="00B803DF"/>
    <w:rsid w:val="00B8074A"/>
    <w:rsid w:val="00B81C8F"/>
    <w:rsid w:val="00B8364A"/>
    <w:rsid w:val="00B83C15"/>
    <w:rsid w:val="00B84AB4"/>
    <w:rsid w:val="00B8527C"/>
    <w:rsid w:val="00B85AA3"/>
    <w:rsid w:val="00B861AC"/>
    <w:rsid w:val="00B86FA5"/>
    <w:rsid w:val="00B87F5A"/>
    <w:rsid w:val="00B87FA6"/>
    <w:rsid w:val="00B90EF3"/>
    <w:rsid w:val="00B9216A"/>
    <w:rsid w:val="00B9241F"/>
    <w:rsid w:val="00B92AD5"/>
    <w:rsid w:val="00B92BBC"/>
    <w:rsid w:val="00B931FA"/>
    <w:rsid w:val="00B936E3"/>
    <w:rsid w:val="00B94717"/>
    <w:rsid w:val="00B94795"/>
    <w:rsid w:val="00B96DFA"/>
    <w:rsid w:val="00B978DD"/>
    <w:rsid w:val="00BA0920"/>
    <w:rsid w:val="00BA0C10"/>
    <w:rsid w:val="00BA1D9E"/>
    <w:rsid w:val="00BA1FF2"/>
    <w:rsid w:val="00BA3E92"/>
    <w:rsid w:val="00BA513B"/>
    <w:rsid w:val="00BA5454"/>
    <w:rsid w:val="00BA5931"/>
    <w:rsid w:val="00BA5A6B"/>
    <w:rsid w:val="00BA6A57"/>
    <w:rsid w:val="00BA6F6B"/>
    <w:rsid w:val="00BA7FAD"/>
    <w:rsid w:val="00BB0497"/>
    <w:rsid w:val="00BB0D82"/>
    <w:rsid w:val="00BB1B3D"/>
    <w:rsid w:val="00BB2509"/>
    <w:rsid w:val="00BB3DD7"/>
    <w:rsid w:val="00BB3EE3"/>
    <w:rsid w:val="00BB4082"/>
    <w:rsid w:val="00BB424B"/>
    <w:rsid w:val="00BB525A"/>
    <w:rsid w:val="00BB5344"/>
    <w:rsid w:val="00BB5C6D"/>
    <w:rsid w:val="00BB68D9"/>
    <w:rsid w:val="00BC08DE"/>
    <w:rsid w:val="00BC0A11"/>
    <w:rsid w:val="00BC1234"/>
    <w:rsid w:val="00BC28F2"/>
    <w:rsid w:val="00BC3522"/>
    <w:rsid w:val="00BC39A1"/>
    <w:rsid w:val="00BC40F8"/>
    <w:rsid w:val="00BC4307"/>
    <w:rsid w:val="00BC475C"/>
    <w:rsid w:val="00BC48CE"/>
    <w:rsid w:val="00BC5312"/>
    <w:rsid w:val="00BC5763"/>
    <w:rsid w:val="00BC5998"/>
    <w:rsid w:val="00BC5C88"/>
    <w:rsid w:val="00BC5F4B"/>
    <w:rsid w:val="00BC61BD"/>
    <w:rsid w:val="00BC6B3A"/>
    <w:rsid w:val="00BD1C6B"/>
    <w:rsid w:val="00BD3217"/>
    <w:rsid w:val="00BD4376"/>
    <w:rsid w:val="00BD56A1"/>
    <w:rsid w:val="00BD5BE0"/>
    <w:rsid w:val="00BD5DED"/>
    <w:rsid w:val="00BD68AC"/>
    <w:rsid w:val="00BD77CA"/>
    <w:rsid w:val="00BE1A02"/>
    <w:rsid w:val="00BE1F99"/>
    <w:rsid w:val="00BE2197"/>
    <w:rsid w:val="00BE296B"/>
    <w:rsid w:val="00BE299E"/>
    <w:rsid w:val="00BE2DF8"/>
    <w:rsid w:val="00BE3400"/>
    <w:rsid w:val="00BE44D9"/>
    <w:rsid w:val="00BE4E20"/>
    <w:rsid w:val="00BE5787"/>
    <w:rsid w:val="00BE6460"/>
    <w:rsid w:val="00BE7910"/>
    <w:rsid w:val="00BE7CE8"/>
    <w:rsid w:val="00BF0A8A"/>
    <w:rsid w:val="00BF2CC1"/>
    <w:rsid w:val="00BF35EC"/>
    <w:rsid w:val="00BF3641"/>
    <w:rsid w:val="00BF3C7E"/>
    <w:rsid w:val="00BF46C1"/>
    <w:rsid w:val="00BF4A7B"/>
    <w:rsid w:val="00BF5548"/>
    <w:rsid w:val="00BF56C7"/>
    <w:rsid w:val="00BF5813"/>
    <w:rsid w:val="00BF63E4"/>
    <w:rsid w:val="00BF6AF8"/>
    <w:rsid w:val="00BF72A3"/>
    <w:rsid w:val="00BF7A54"/>
    <w:rsid w:val="00C01F02"/>
    <w:rsid w:val="00C01FAF"/>
    <w:rsid w:val="00C02EB0"/>
    <w:rsid w:val="00C04831"/>
    <w:rsid w:val="00C04B3A"/>
    <w:rsid w:val="00C05CAC"/>
    <w:rsid w:val="00C05DD2"/>
    <w:rsid w:val="00C05E74"/>
    <w:rsid w:val="00C0688D"/>
    <w:rsid w:val="00C07AFE"/>
    <w:rsid w:val="00C07B1D"/>
    <w:rsid w:val="00C106F5"/>
    <w:rsid w:val="00C1095B"/>
    <w:rsid w:val="00C10DD5"/>
    <w:rsid w:val="00C11796"/>
    <w:rsid w:val="00C119A7"/>
    <w:rsid w:val="00C12CF9"/>
    <w:rsid w:val="00C12D6A"/>
    <w:rsid w:val="00C132D9"/>
    <w:rsid w:val="00C1557D"/>
    <w:rsid w:val="00C15A46"/>
    <w:rsid w:val="00C163D6"/>
    <w:rsid w:val="00C17949"/>
    <w:rsid w:val="00C1795C"/>
    <w:rsid w:val="00C21135"/>
    <w:rsid w:val="00C22F5B"/>
    <w:rsid w:val="00C2307D"/>
    <w:rsid w:val="00C241FE"/>
    <w:rsid w:val="00C24559"/>
    <w:rsid w:val="00C25DAD"/>
    <w:rsid w:val="00C27DCD"/>
    <w:rsid w:val="00C300D5"/>
    <w:rsid w:val="00C301BA"/>
    <w:rsid w:val="00C3061E"/>
    <w:rsid w:val="00C3179A"/>
    <w:rsid w:val="00C32B31"/>
    <w:rsid w:val="00C33137"/>
    <w:rsid w:val="00C33C68"/>
    <w:rsid w:val="00C33F67"/>
    <w:rsid w:val="00C344DD"/>
    <w:rsid w:val="00C35379"/>
    <w:rsid w:val="00C36731"/>
    <w:rsid w:val="00C367C1"/>
    <w:rsid w:val="00C36C5C"/>
    <w:rsid w:val="00C36F7C"/>
    <w:rsid w:val="00C37694"/>
    <w:rsid w:val="00C40B37"/>
    <w:rsid w:val="00C40E72"/>
    <w:rsid w:val="00C418EC"/>
    <w:rsid w:val="00C41CE7"/>
    <w:rsid w:val="00C42DE4"/>
    <w:rsid w:val="00C440CD"/>
    <w:rsid w:val="00C4453A"/>
    <w:rsid w:val="00C450A7"/>
    <w:rsid w:val="00C45506"/>
    <w:rsid w:val="00C459BF"/>
    <w:rsid w:val="00C459F2"/>
    <w:rsid w:val="00C45D3E"/>
    <w:rsid w:val="00C46B4F"/>
    <w:rsid w:val="00C52093"/>
    <w:rsid w:val="00C54E8F"/>
    <w:rsid w:val="00C556B0"/>
    <w:rsid w:val="00C56036"/>
    <w:rsid w:val="00C56186"/>
    <w:rsid w:val="00C57472"/>
    <w:rsid w:val="00C61A55"/>
    <w:rsid w:val="00C62257"/>
    <w:rsid w:val="00C62F6E"/>
    <w:rsid w:val="00C62FA4"/>
    <w:rsid w:val="00C644CE"/>
    <w:rsid w:val="00C64A4A"/>
    <w:rsid w:val="00C64A5F"/>
    <w:rsid w:val="00C65124"/>
    <w:rsid w:val="00C65C4A"/>
    <w:rsid w:val="00C66510"/>
    <w:rsid w:val="00C667F4"/>
    <w:rsid w:val="00C67D05"/>
    <w:rsid w:val="00C70A4A"/>
    <w:rsid w:val="00C70CAA"/>
    <w:rsid w:val="00C7105B"/>
    <w:rsid w:val="00C71927"/>
    <w:rsid w:val="00C71D01"/>
    <w:rsid w:val="00C72182"/>
    <w:rsid w:val="00C724BB"/>
    <w:rsid w:val="00C72A48"/>
    <w:rsid w:val="00C74A4A"/>
    <w:rsid w:val="00C75884"/>
    <w:rsid w:val="00C75A27"/>
    <w:rsid w:val="00C77EAD"/>
    <w:rsid w:val="00C801AC"/>
    <w:rsid w:val="00C81953"/>
    <w:rsid w:val="00C81BF2"/>
    <w:rsid w:val="00C830EA"/>
    <w:rsid w:val="00C83B76"/>
    <w:rsid w:val="00C8522B"/>
    <w:rsid w:val="00C861E7"/>
    <w:rsid w:val="00C86317"/>
    <w:rsid w:val="00C86504"/>
    <w:rsid w:val="00C86642"/>
    <w:rsid w:val="00C86ABF"/>
    <w:rsid w:val="00C87196"/>
    <w:rsid w:val="00C8794D"/>
    <w:rsid w:val="00C87EB0"/>
    <w:rsid w:val="00C9089E"/>
    <w:rsid w:val="00C91B81"/>
    <w:rsid w:val="00C925AC"/>
    <w:rsid w:val="00C925CA"/>
    <w:rsid w:val="00C92FE9"/>
    <w:rsid w:val="00C968EA"/>
    <w:rsid w:val="00C96A08"/>
    <w:rsid w:val="00CA083C"/>
    <w:rsid w:val="00CA0983"/>
    <w:rsid w:val="00CA1453"/>
    <w:rsid w:val="00CA19BD"/>
    <w:rsid w:val="00CA3B1E"/>
    <w:rsid w:val="00CA3C0A"/>
    <w:rsid w:val="00CA3C7D"/>
    <w:rsid w:val="00CA54D2"/>
    <w:rsid w:val="00CA5656"/>
    <w:rsid w:val="00CA5839"/>
    <w:rsid w:val="00CA5A42"/>
    <w:rsid w:val="00CA5A77"/>
    <w:rsid w:val="00CA5D51"/>
    <w:rsid w:val="00CA5FB3"/>
    <w:rsid w:val="00CA6C7C"/>
    <w:rsid w:val="00CA7BFE"/>
    <w:rsid w:val="00CB0264"/>
    <w:rsid w:val="00CB084F"/>
    <w:rsid w:val="00CB4754"/>
    <w:rsid w:val="00CB52D4"/>
    <w:rsid w:val="00CB5577"/>
    <w:rsid w:val="00CB5967"/>
    <w:rsid w:val="00CB5BFE"/>
    <w:rsid w:val="00CB7085"/>
    <w:rsid w:val="00CC07C4"/>
    <w:rsid w:val="00CC11A0"/>
    <w:rsid w:val="00CC1477"/>
    <w:rsid w:val="00CC3372"/>
    <w:rsid w:val="00CC441B"/>
    <w:rsid w:val="00CC450C"/>
    <w:rsid w:val="00CC454C"/>
    <w:rsid w:val="00CC4FA9"/>
    <w:rsid w:val="00CC5AE9"/>
    <w:rsid w:val="00CC7DD0"/>
    <w:rsid w:val="00CC7E03"/>
    <w:rsid w:val="00CD01C8"/>
    <w:rsid w:val="00CD0892"/>
    <w:rsid w:val="00CD0AB5"/>
    <w:rsid w:val="00CD0BD6"/>
    <w:rsid w:val="00CD0CDC"/>
    <w:rsid w:val="00CD0EA8"/>
    <w:rsid w:val="00CD0FB5"/>
    <w:rsid w:val="00CD158F"/>
    <w:rsid w:val="00CD37D3"/>
    <w:rsid w:val="00CD3ABB"/>
    <w:rsid w:val="00CD3B8A"/>
    <w:rsid w:val="00CD419A"/>
    <w:rsid w:val="00CD45B4"/>
    <w:rsid w:val="00CD5896"/>
    <w:rsid w:val="00CD5A02"/>
    <w:rsid w:val="00CD6C64"/>
    <w:rsid w:val="00CE2048"/>
    <w:rsid w:val="00CE2A8D"/>
    <w:rsid w:val="00CE2F78"/>
    <w:rsid w:val="00CE5C70"/>
    <w:rsid w:val="00CF03D2"/>
    <w:rsid w:val="00CF0538"/>
    <w:rsid w:val="00CF1092"/>
    <w:rsid w:val="00CF1EB5"/>
    <w:rsid w:val="00CF2A62"/>
    <w:rsid w:val="00CF2D4A"/>
    <w:rsid w:val="00CF345D"/>
    <w:rsid w:val="00CF4CBB"/>
    <w:rsid w:val="00CF59FD"/>
    <w:rsid w:val="00CF65ED"/>
    <w:rsid w:val="00CF71AD"/>
    <w:rsid w:val="00CF737A"/>
    <w:rsid w:val="00D0017A"/>
    <w:rsid w:val="00D0125A"/>
    <w:rsid w:val="00D014BC"/>
    <w:rsid w:val="00D01C85"/>
    <w:rsid w:val="00D064D5"/>
    <w:rsid w:val="00D06D1F"/>
    <w:rsid w:val="00D07626"/>
    <w:rsid w:val="00D07660"/>
    <w:rsid w:val="00D07A94"/>
    <w:rsid w:val="00D07D63"/>
    <w:rsid w:val="00D101AD"/>
    <w:rsid w:val="00D1145F"/>
    <w:rsid w:val="00D11711"/>
    <w:rsid w:val="00D11D59"/>
    <w:rsid w:val="00D11F72"/>
    <w:rsid w:val="00D12E9E"/>
    <w:rsid w:val="00D130BA"/>
    <w:rsid w:val="00D139A6"/>
    <w:rsid w:val="00D13F3A"/>
    <w:rsid w:val="00D14A92"/>
    <w:rsid w:val="00D16704"/>
    <w:rsid w:val="00D16D27"/>
    <w:rsid w:val="00D16DE9"/>
    <w:rsid w:val="00D16ED9"/>
    <w:rsid w:val="00D17FB4"/>
    <w:rsid w:val="00D200C0"/>
    <w:rsid w:val="00D212D1"/>
    <w:rsid w:val="00D269AB"/>
    <w:rsid w:val="00D272A0"/>
    <w:rsid w:val="00D273A2"/>
    <w:rsid w:val="00D27E57"/>
    <w:rsid w:val="00D304D6"/>
    <w:rsid w:val="00D30994"/>
    <w:rsid w:val="00D30A5B"/>
    <w:rsid w:val="00D31006"/>
    <w:rsid w:val="00D3178D"/>
    <w:rsid w:val="00D32A9F"/>
    <w:rsid w:val="00D331D2"/>
    <w:rsid w:val="00D335B7"/>
    <w:rsid w:val="00D33A15"/>
    <w:rsid w:val="00D34BC9"/>
    <w:rsid w:val="00D3691B"/>
    <w:rsid w:val="00D36C21"/>
    <w:rsid w:val="00D4044E"/>
    <w:rsid w:val="00D41492"/>
    <w:rsid w:val="00D4166A"/>
    <w:rsid w:val="00D42396"/>
    <w:rsid w:val="00D42911"/>
    <w:rsid w:val="00D43011"/>
    <w:rsid w:val="00D4325B"/>
    <w:rsid w:val="00D4413D"/>
    <w:rsid w:val="00D46663"/>
    <w:rsid w:val="00D50439"/>
    <w:rsid w:val="00D507B8"/>
    <w:rsid w:val="00D519D4"/>
    <w:rsid w:val="00D525F9"/>
    <w:rsid w:val="00D528B8"/>
    <w:rsid w:val="00D529F8"/>
    <w:rsid w:val="00D52A01"/>
    <w:rsid w:val="00D534E5"/>
    <w:rsid w:val="00D536CA"/>
    <w:rsid w:val="00D53BBD"/>
    <w:rsid w:val="00D53E8B"/>
    <w:rsid w:val="00D54643"/>
    <w:rsid w:val="00D546FD"/>
    <w:rsid w:val="00D5516C"/>
    <w:rsid w:val="00D55191"/>
    <w:rsid w:val="00D55814"/>
    <w:rsid w:val="00D57714"/>
    <w:rsid w:val="00D60521"/>
    <w:rsid w:val="00D6092A"/>
    <w:rsid w:val="00D60B9A"/>
    <w:rsid w:val="00D61AD0"/>
    <w:rsid w:val="00D621B0"/>
    <w:rsid w:val="00D635EB"/>
    <w:rsid w:val="00D6396C"/>
    <w:rsid w:val="00D63C18"/>
    <w:rsid w:val="00D63CB0"/>
    <w:rsid w:val="00D64543"/>
    <w:rsid w:val="00D6543B"/>
    <w:rsid w:val="00D661F2"/>
    <w:rsid w:val="00D700F0"/>
    <w:rsid w:val="00D706C3"/>
    <w:rsid w:val="00D708C3"/>
    <w:rsid w:val="00D715A7"/>
    <w:rsid w:val="00D716DF"/>
    <w:rsid w:val="00D7295A"/>
    <w:rsid w:val="00D74CC6"/>
    <w:rsid w:val="00D74CEB"/>
    <w:rsid w:val="00D75544"/>
    <w:rsid w:val="00D757BE"/>
    <w:rsid w:val="00D7687E"/>
    <w:rsid w:val="00D77381"/>
    <w:rsid w:val="00D77911"/>
    <w:rsid w:val="00D80B7A"/>
    <w:rsid w:val="00D82A39"/>
    <w:rsid w:val="00D83316"/>
    <w:rsid w:val="00D85EC9"/>
    <w:rsid w:val="00D860A0"/>
    <w:rsid w:val="00D863CC"/>
    <w:rsid w:val="00D86D7F"/>
    <w:rsid w:val="00D8786B"/>
    <w:rsid w:val="00D87B49"/>
    <w:rsid w:val="00D921CF"/>
    <w:rsid w:val="00D929F5"/>
    <w:rsid w:val="00D92EC7"/>
    <w:rsid w:val="00D92F6C"/>
    <w:rsid w:val="00D94F77"/>
    <w:rsid w:val="00D957D6"/>
    <w:rsid w:val="00D95B74"/>
    <w:rsid w:val="00D95C51"/>
    <w:rsid w:val="00D97058"/>
    <w:rsid w:val="00D972BE"/>
    <w:rsid w:val="00D9730B"/>
    <w:rsid w:val="00DA0169"/>
    <w:rsid w:val="00DA08B3"/>
    <w:rsid w:val="00DA09E2"/>
    <w:rsid w:val="00DA1287"/>
    <w:rsid w:val="00DA2645"/>
    <w:rsid w:val="00DA2A8D"/>
    <w:rsid w:val="00DA3332"/>
    <w:rsid w:val="00DA4FE5"/>
    <w:rsid w:val="00DA64F8"/>
    <w:rsid w:val="00DA6DB1"/>
    <w:rsid w:val="00DA70CB"/>
    <w:rsid w:val="00DA7392"/>
    <w:rsid w:val="00DA79A2"/>
    <w:rsid w:val="00DB0E46"/>
    <w:rsid w:val="00DB1BC6"/>
    <w:rsid w:val="00DB1D65"/>
    <w:rsid w:val="00DB2BC3"/>
    <w:rsid w:val="00DB444B"/>
    <w:rsid w:val="00DB4F1D"/>
    <w:rsid w:val="00DB5C6A"/>
    <w:rsid w:val="00DB5D19"/>
    <w:rsid w:val="00DB64DE"/>
    <w:rsid w:val="00DB779D"/>
    <w:rsid w:val="00DB78DE"/>
    <w:rsid w:val="00DC10DB"/>
    <w:rsid w:val="00DC1CC0"/>
    <w:rsid w:val="00DC1FF8"/>
    <w:rsid w:val="00DC2FAE"/>
    <w:rsid w:val="00DC35FB"/>
    <w:rsid w:val="00DC4036"/>
    <w:rsid w:val="00DC436D"/>
    <w:rsid w:val="00DC457E"/>
    <w:rsid w:val="00DC4B3E"/>
    <w:rsid w:val="00DC657B"/>
    <w:rsid w:val="00DC6B0C"/>
    <w:rsid w:val="00DC6C77"/>
    <w:rsid w:val="00DC731E"/>
    <w:rsid w:val="00DD1AE3"/>
    <w:rsid w:val="00DD2905"/>
    <w:rsid w:val="00DD29B5"/>
    <w:rsid w:val="00DD319C"/>
    <w:rsid w:val="00DD38F1"/>
    <w:rsid w:val="00DD3B06"/>
    <w:rsid w:val="00DD4261"/>
    <w:rsid w:val="00DD5C06"/>
    <w:rsid w:val="00DD6185"/>
    <w:rsid w:val="00DD62C3"/>
    <w:rsid w:val="00DD693F"/>
    <w:rsid w:val="00DD6CFC"/>
    <w:rsid w:val="00DD7503"/>
    <w:rsid w:val="00DD7DA7"/>
    <w:rsid w:val="00DE1C1E"/>
    <w:rsid w:val="00DE313D"/>
    <w:rsid w:val="00DE5D1F"/>
    <w:rsid w:val="00DE72DE"/>
    <w:rsid w:val="00DF0400"/>
    <w:rsid w:val="00DF0B98"/>
    <w:rsid w:val="00DF1026"/>
    <w:rsid w:val="00DF1159"/>
    <w:rsid w:val="00DF1A66"/>
    <w:rsid w:val="00DF33DE"/>
    <w:rsid w:val="00DF357B"/>
    <w:rsid w:val="00DF40E5"/>
    <w:rsid w:val="00DF51ED"/>
    <w:rsid w:val="00DF5666"/>
    <w:rsid w:val="00DF5AC5"/>
    <w:rsid w:val="00DF7574"/>
    <w:rsid w:val="00DF7750"/>
    <w:rsid w:val="00E01DB3"/>
    <w:rsid w:val="00E0266F"/>
    <w:rsid w:val="00E02AEB"/>
    <w:rsid w:val="00E03D1A"/>
    <w:rsid w:val="00E05F83"/>
    <w:rsid w:val="00E0655D"/>
    <w:rsid w:val="00E06A69"/>
    <w:rsid w:val="00E07609"/>
    <w:rsid w:val="00E10328"/>
    <w:rsid w:val="00E11873"/>
    <w:rsid w:val="00E11C0B"/>
    <w:rsid w:val="00E12D10"/>
    <w:rsid w:val="00E134E6"/>
    <w:rsid w:val="00E13EEC"/>
    <w:rsid w:val="00E141B8"/>
    <w:rsid w:val="00E15131"/>
    <w:rsid w:val="00E15DE6"/>
    <w:rsid w:val="00E16587"/>
    <w:rsid w:val="00E167F5"/>
    <w:rsid w:val="00E16C9B"/>
    <w:rsid w:val="00E1771D"/>
    <w:rsid w:val="00E20AF0"/>
    <w:rsid w:val="00E21AAD"/>
    <w:rsid w:val="00E22349"/>
    <w:rsid w:val="00E22F74"/>
    <w:rsid w:val="00E23907"/>
    <w:rsid w:val="00E2527B"/>
    <w:rsid w:val="00E254AF"/>
    <w:rsid w:val="00E25754"/>
    <w:rsid w:val="00E25F75"/>
    <w:rsid w:val="00E2622B"/>
    <w:rsid w:val="00E26252"/>
    <w:rsid w:val="00E26619"/>
    <w:rsid w:val="00E26C37"/>
    <w:rsid w:val="00E278E1"/>
    <w:rsid w:val="00E279A4"/>
    <w:rsid w:val="00E305BE"/>
    <w:rsid w:val="00E31D11"/>
    <w:rsid w:val="00E325E1"/>
    <w:rsid w:val="00E32613"/>
    <w:rsid w:val="00E347BF"/>
    <w:rsid w:val="00E35C81"/>
    <w:rsid w:val="00E35DB1"/>
    <w:rsid w:val="00E36096"/>
    <w:rsid w:val="00E3617A"/>
    <w:rsid w:val="00E3635A"/>
    <w:rsid w:val="00E36BC6"/>
    <w:rsid w:val="00E40D76"/>
    <w:rsid w:val="00E40E7F"/>
    <w:rsid w:val="00E41B63"/>
    <w:rsid w:val="00E41D8F"/>
    <w:rsid w:val="00E424A6"/>
    <w:rsid w:val="00E425B9"/>
    <w:rsid w:val="00E42E40"/>
    <w:rsid w:val="00E43579"/>
    <w:rsid w:val="00E43632"/>
    <w:rsid w:val="00E43EAC"/>
    <w:rsid w:val="00E466E6"/>
    <w:rsid w:val="00E46C5D"/>
    <w:rsid w:val="00E47C80"/>
    <w:rsid w:val="00E50308"/>
    <w:rsid w:val="00E503E3"/>
    <w:rsid w:val="00E50BE0"/>
    <w:rsid w:val="00E51177"/>
    <w:rsid w:val="00E526C3"/>
    <w:rsid w:val="00E53E44"/>
    <w:rsid w:val="00E54FD3"/>
    <w:rsid w:val="00E5503E"/>
    <w:rsid w:val="00E61373"/>
    <w:rsid w:val="00E617C5"/>
    <w:rsid w:val="00E62575"/>
    <w:rsid w:val="00E62E54"/>
    <w:rsid w:val="00E63C0A"/>
    <w:rsid w:val="00E6407C"/>
    <w:rsid w:val="00E649C1"/>
    <w:rsid w:val="00E65507"/>
    <w:rsid w:val="00E66901"/>
    <w:rsid w:val="00E6695B"/>
    <w:rsid w:val="00E67064"/>
    <w:rsid w:val="00E67C1C"/>
    <w:rsid w:val="00E67D5C"/>
    <w:rsid w:val="00E67F2C"/>
    <w:rsid w:val="00E713E8"/>
    <w:rsid w:val="00E7161D"/>
    <w:rsid w:val="00E72041"/>
    <w:rsid w:val="00E723EA"/>
    <w:rsid w:val="00E74815"/>
    <w:rsid w:val="00E74EBD"/>
    <w:rsid w:val="00E74F84"/>
    <w:rsid w:val="00E752F8"/>
    <w:rsid w:val="00E76131"/>
    <w:rsid w:val="00E76990"/>
    <w:rsid w:val="00E76ED1"/>
    <w:rsid w:val="00E77FFE"/>
    <w:rsid w:val="00E8095E"/>
    <w:rsid w:val="00E80CE3"/>
    <w:rsid w:val="00E8267D"/>
    <w:rsid w:val="00E83D28"/>
    <w:rsid w:val="00E8455E"/>
    <w:rsid w:val="00E85574"/>
    <w:rsid w:val="00E86768"/>
    <w:rsid w:val="00E8699F"/>
    <w:rsid w:val="00E90267"/>
    <w:rsid w:val="00E915D0"/>
    <w:rsid w:val="00E9218E"/>
    <w:rsid w:val="00E92973"/>
    <w:rsid w:val="00E92C84"/>
    <w:rsid w:val="00E9324A"/>
    <w:rsid w:val="00E94EE5"/>
    <w:rsid w:val="00E9545F"/>
    <w:rsid w:val="00E95D13"/>
    <w:rsid w:val="00E97A84"/>
    <w:rsid w:val="00EA0BB8"/>
    <w:rsid w:val="00EA0DAF"/>
    <w:rsid w:val="00EA1245"/>
    <w:rsid w:val="00EA1CC8"/>
    <w:rsid w:val="00EA233F"/>
    <w:rsid w:val="00EA336C"/>
    <w:rsid w:val="00EA373A"/>
    <w:rsid w:val="00EA48DD"/>
    <w:rsid w:val="00EA50F5"/>
    <w:rsid w:val="00EA6F05"/>
    <w:rsid w:val="00EA7015"/>
    <w:rsid w:val="00EB0D39"/>
    <w:rsid w:val="00EB0E55"/>
    <w:rsid w:val="00EB275E"/>
    <w:rsid w:val="00EB2ADC"/>
    <w:rsid w:val="00EB2C7E"/>
    <w:rsid w:val="00EB3F71"/>
    <w:rsid w:val="00EB49F7"/>
    <w:rsid w:val="00EB6651"/>
    <w:rsid w:val="00EB67DE"/>
    <w:rsid w:val="00EB6C91"/>
    <w:rsid w:val="00EB6E94"/>
    <w:rsid w:val="00EB6ED8"/>
    <w:rsid w:val="00EB7B9F"/>
    <w:rsid w:val="00EC104C"/>
    <w:rsid w:val="00EC1358"/>
    <w:rsid w:val="00EC1FCD"/>
    <w:rsid w:val="00EC314F"/>
    <w:rsid w:val="00EC3E2B"/>
    <w:rsid w:val="00EC672F"/>
    <w:rsid w:val="00EC7EF7"/>
    <w:rsid w:val="00ED02B8"/>
    <w:rsid w:val="00ED06B3"/>
    <w:rsid w:val="00ED1049"/>
    <w:rsid w:val="00ED1A8F"/>
    <w:rsid w:val="00ED1D3B"/>
    <w:rsid w:val="00ED2988"/>
    <w:rsid w:val="00ED4ADE"/>
    <w:rsid w:val="00ED4CD8"/>
    <w:rsid w:val="00ED580C"/>
    <w:rsid w:val="00ED5CA9"/>
    <w:rsid w:val="00ED63A1"/>
    <w:rsid w:val="00ED6BE5"/>
    <w:rsid w:val="00ED6D16"/>
    <w:rsid w:val="00ED76D5"/>
    <w:rsid w:val="00ED7ABB"/>
    <w:rsid w:val="00EE01FA"/>
    <w:rsid w:val="00EE0B8A"/>
    <w:rsid w:val="00EE138B"/>
    <w:rsid w:val="00EE168D"/>
    <w:rsid w:val="00EE1797"/>
    <w:rsid w:val="00EE195C"/>
    <w:rsid w:val="00EE2EDA"/>
    <w:rsid w:val="00EE31BA"/>
    <w:rsid w:val="00EE33BD"/>
    <w:rsid w:val="00EE34A2"/>
    <w:rsid w:val="00EE358C"/>
    <w:rsid w:val="00EE3D8B"/>
    <w:rsid w:val="00EE3F7C"/>
    <w:rsid w:val="00EF196D"/>
    <w:rsid w:val="00EF2022"/>
    <w:rsid w:val="00EF2917"/>
    <w:rsid w:val="00EF2B74"/>
    <w:rsid w:val="00EF359F"/>
    <w:rsid w:val="00EF38BD"/>
    <w:rsid w:val="00EF3EC4"/>
    <w:rsid w:val="00EF41CD"/>
    <w:rsid w:val="00EF485B"/>
    <w:rsid w:val="00EF4A6E"/>
    <w:rsid w:val="00EF57BD"/>
    <w:rsid w:val="00EF692E"/>
    <w:rsid w:val="00EF69A5"/>
    <w:rsid w:val="00EF7247"/>
    <w:rsid w:val="00EF7679"/>
    <w:rsid w:val="00F005E1"/>
    <w:rsid w:val="00F01131"/>
    <w:rsid w:val="00F0154D"/>
    <w:rsid w:val="00F03CB6"/>
    <w:rsid w:val="00F03F10"/>
    <w:rsid w:val="00F05C76"/>
    <w:rsid w:val="00F061B3"/>
    <w:rsid w:val="00F075C2"/>
    <w:rsid w:val="00F109B4"/>
    <w:rsid w:val="00F10C44"/>
    <w:rsid w:val="00F1141B"/>
    <w:rsid w:val="00F11EDA"/>
    <w:rsid w:val="00F11F70"/>
    <w:rsid w:val="00F122A8"/>
    <w:rsid w:val="00F1360B"/>
    <w:rsid w:val="00F137BC"/>
    <w:rsid w:val="00F14527"/>
    <w:rsid w:val="00F1460E"/>
    <w:rsid w:val="00F14759"/>
    <w:rsid w:val="00F14A77"/>
    <w:rsid w:val="00F1569E"/>
    <w:rsid w:val="00F16188"/>
    <w:rsid w:val="00F16863"/>
    <w:rsid w:val="00F16EC9"/>
    <w:rsid w:val="00F17B8F"/>
    <w:rsid w:val="00F20088"/>
    <w:rsid w:val="00F203D5"/>
    <w:rsid w:val="00F21C95"/>
    <w:rsid w:val="00F2396E"/>
    <w:rsid w:val="00F23DB7"/>
    <w:rsid w:val="00F24344"/>
    <w:rsid w:val="00F2484A"/>
    <w:rsid w:val="00F24924"/>
    <w:rsid w:val="00F26482"/>
    <w:rsid w:val="00F26E98"/>
    <w:rsid w:val="00F273D2"/>
    <w:rsid w:val="00F27776"/>
    <w:rsid w:val="00F279F9"/>
    <w:rsid w:val="00F303BA"/>
    <w:rsid w:val="00F30C0F"/>
    <w:rsid w:val="00F31954"/>
    <w:rsid w:val="00F324CE"/>
    <w:rsid w:val="00F3527F"/>
    <w:rsid w:val="00F3678D"/>
    <w:rsid w:val="00F36842"/>
    <w:rsid w:val="00F36BC3"/>
    <w:rsid w:val="00F36E6A"/>
    <w:rsid w:val="00F370B9"/>
    <w:rsid w:val="00F37A64"/>
    <w:rsid w:val="00F37CE4"/>
    <w:rsid w:val="00F41612"/>
    <w:rsid w:val="00F42031"/>
    <w:rsid w:val="00F432FB"/>
    <w:rsid w:val="00F4488E"/>
    <w:rsid w:val="00F44ABD"/>
    <w:rsid w:val="00F456EA"/>
    <w:rsid w:val="00F47BC0"/>
    <w:rsid w:val="00F52910"/>
    <w:rsid w:val="00F52DFE"/>
    <w:rsid w:val="00F53291"/>
    <w:rsid w:val="00F54451"/>
    <w:rsid w:val="00F558D7"/>
    <w:rsid w:val="00F55B07"/>
    <w:rsid w:val="00F57DFC"/>
    <w:rsid w:val="00F60234"/>
    <w:rsid w:val="00F60AB4"/>
    <w:rsid w:val="00F60E0D"/>
    <w:rsid w:val="00F624F6"/>
    <w:rsid w:val="00F627B7"/>
    <w:rsid w:val="00F635BA"/>
    <w:rsid w:val="00F64D27"/>
    <w:rsid w:val="00F65961"/>
    <w:rsid w:val="00F66759"/>
    <w:rsid w:val="00F6747C"/>
    <w:rsid w:val="00F70D9C"/>
    <w:rsid w:val="00F740D0"/>
    <w:rsid w:val="00F7439E"/>
    <w:rsid w:val="00F746F9"/>
    <w:rsid w:val="00F752A1"/>
    <w:rsid w:val="00F765F4"/>
    <w:rsid w:val="00F7703F"/>
    <w:rsid w:val="00F77700"/>
    <w:rsid w:val="00F8014A"/>
    <w:rsid w:val="00F834B0"/>
    <w:rsid w:val="00F83894"/>
    <w:rsid w:val="00F84818"/>
    <w:rsid w:val="00F86639"/>
    <w:rsid w:val="00F87EF8"/>
    <w:rsid w:val="00F91EC0"/>
    <w:rsid w:val="00F93375"/>
    <w:rsid w:val="00F93ADD"/>
    <w:rsid w:val="00F977A6"/>
    <w:rsid w:val="00FA0B3F"/>
    <w:rsid w:val="00FA1894"/>
    <w:rsid w:val="00FA2381"/>
    <w:rsid w:val="00FA2581"/>
    <w:rsid w:val="00FA2BA5"/>
    <w:rsid w:val="00FA326E"/>
    <w:rsid w:val="00FA352A"/>
    <w:rsid w:val="00FA3671"/>
    <w:rsid w:val="00FA3744"/>
    <w:rsid w:val="00FA3D6D"/>
    <w:rsid w:val="00FA60ED"/>
    <w:rsid w:val="00FA6F6C"/>
    <w:rsid w:val="00FB05B7"/>
    <w:rsid w:val="00FB1710"/>
    <w:rsid w:val="00FB1BB7"/>
    <w:rsid w:val="00FB222B"/>
    <w:rsid w:val="00FB37C2"/>
    <w:rsid w:val="00FB40C8"/>
    <w:rsid w:val="00FB4690"/>
    <w:rsid w:val="00FB4EF9"/>
    <w:rsid w:val="00FB62EE"/>
    <w:rsid w:val="00FB6B98"/>
    <w:rsid w:val="00FB75C4"/>
    <w:rsid w:val="00FB7EB2"/>
    <w:rsid w:val="00FC055F"/>
    <w:rsid w:val="00FC0BD3"/>
    <w:rsid w:val="00FC1062"/>
    <w:rsid w:val="00FC133F"/>
    <w:rsid w:val="00FC2CFE"/>
    <w:rsid w:val="00FC54FE"/>
    <w:rsid w:val="00FC56DF"/>
    <w:rsid w:val="00FC6F81"/>
    <w:rsid w:val="00FC727C"/>
    <w:rsid w:val="00FD02D8"/>
    <w:rsid w:val="00FD0404"/>
    <w:rsid w:val="00FD1506"/>
    <w:rsid w:val="00FD21CE"/>
    <w:rsid w:val="00FD276A"/>
    <w:rsid w:val="00FD3FD0"/>
    <w:rsid w:val="00FD48B4"/>
    <w:rsid w:val="00FD5736"/>
    <w:rsid w:val="00FD6853"/>
    <w:rsid w:val="00FE08A3"/>
    <w:rsid w:val="00FE1A5F"/>
    <w:rsid w:val="00FE241E"/>
    <w:rsid w:val="00FE2B3E"/>
    <w:rsid w:val="00FE2F4C"/>
    <w:rsid w:val="00FE312C"/>
    <w:rsid w:val="00FE34E7"/>
    <w:rsid w:val="00FE524C"/>
    <w:rsid w:val="00FE62C5"/>
    <w:rsid w:val="00FE6687"/>
    <w:rsid w:val="00FE6AF6"/>
    <w:rsid w:val="00FE73C0"/>
    <w:rsid w:val="00FE78FB"/>
    <w:rsid w:val="00FF0311"/>
    <w:rsid w:val="00FF0A35"/>
    <w:rsid w:val="00FF0EC5"/>
    <w:rsid w:val="00FF0FD0"/>
    <w:rsid w:val="00FF1D60"/>
    <w:rsid w:val="00FF1EA9"/>
    <w:rsid w:val="00FF39F5"/>
    <w:rsid w:val="00FF3D0A"/>
    <w:rsid w:val="00FF54CF"/>
    <w:rsid w:val="00FF5824"/>
    <w:rsid w:val="00FF5A64"/>
    <w:rsid w:val="00FF6463"/>
    <w:rsid w:val="00FF7B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F077E7"/>
  <w15:docId w15:val="{EAB769C3-92A0-4978-871D-C4E54D37B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both"/>
    </w:pPr>
    <w:rPr>
      <w:sz w:val="24"/>
    </w:rPr>
  </w:style>
  <w:style w:type="paragraph" w:styleId="Ttulo1">
    <w:name w:val="heading 1"/>
    <w:basedOn w:val="Normal"/>
    <w:next w:val="Textoindependiente"/>
    <w:qFormat/>
    <w:pPr>
      <w:keepNext/>
      <w:spacing w:before="240" w:after="120" w:line="360" w:lineRule="auto"/>
      <w:jc w:val="center"/>
      <w:outlineLvl w:val="0"/>
    </w:pPr>
    <w:rPr>
      <w:b/>
      <w:caps/>
    </w:rPr>
  </w:style>
  <w:style w:type="paragraph" w:styleId="Ttulo2">
    <w:name w:val="heading 2"/>
    <w:basedOn w:val="Normal"/>
    <w:next w:val="Textoindependiente"/>
    <w:link w:val="Ttulo2Car"/>
    <w:qFormat/>
    <w:pPr>
      <w:keepNext/>
      <w:spacing w:before="180" w:after="120" w:line="360" w:lineRule="auto"/>
      <w:outlineLvl w:val="1"/>
    </w:pPr>
    <w:rPr>
      <w:b/>
      <w:caps/>
      <w:sz w:val="22"/>
    </w:rPr>
  </w:style>
  <w:style w:type="paragraph" w:styleId="Ttulo3">
    <w:name w:val="heading 3"/>
    <w:basedOn w:val="Normal"/>
    <w:next w:val="Textoindependiente"/>
    <w:link w:val="Ttulo3Car"/>
    <w:qFormat/>
    <w:pPr>
      <w:keepNext/>
      <w:spacing w:before="120" w:after="60" w:line="360" w:lineRule="auto"/>
      <w:outlineLvl w:val="2"/>
    </w:pPr>
    <w:rPr>
      <w:b/>
    </w:rPr>
  </w:style>
  <w:style w:type="paragraph" w:styleId="Ttulo4">
    <w:name w:val="heading 4"/>
    <w:basedOn w:val="Normal"/>
    <w:next w:val="Textoindependiente"/>
    <w:qFormat/>
    <w:pPr>
      <w:keepNext/>
      <w:keepLines/>
      <w:spacing w:before="60" w:line="360" w:lineRule="auto"/>
      <w:outlineLvl w:val="3"/>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pPr>
      <w:spacing w:after="120" w:line="360" w:lineRule="auto"/>
      <w:ind w:firstLine="360"/>
    </w:pPr>
  </w:style>
  <w:style w:type="paragraph" w:customStyle="1" w:styleId="References">
    <w:name w:val="References"/>
    <w:basedOn w:val="Textoindependiente"/>
    <w:uiPriority w:val="99"/>
    <w:pPr>
      <w:spacing w:after="60"/>
      <w:ind w:left="360" w:hanging="360"/>
    </w:pPr>
    <w:rPr>
      <w:sz w:val="22"/>
    </w:rPr>
  </w:style>
  <w:style w:type="character" w:styleId="Hipervnculovisitado">
    <w:name w:val="FollowedHyperlink"/>
    <w:basedOn w:val="Fuentedeprrafopredeter"/>
    <w:rPr>
      <w:color w:val="800080"/>
      <w:u w:val="single"/>
    </w:rPr>
  </w:style>
  <w:style w:type="paragraph" w:customStyle="1" w:styleId="MEERI">
    <w:name w:val="M.EERI"/>
    <w:basedOn w:val="Authors"/>
    <w:rPr>
      <w:sz w:val="22"/>
    </w:rPr>
  </w:style>
  <w:style w:type="paragraph" w:customStyle="1" w:styleId="Authors">
    <w:name w:val="Author (s)"/>
    <w:basedOn w:val="Normal"/>
    <w:pPr>
      <w:spacing w:before="360" w:after="360"/>
    </w:pPr>
    <w:rPr>
      <w:b/>
      <w:sz w:val="28"/>
    </w:rPr>
  </w:style>
  <w:style w:type="paragraph" w:styleId="Listaconvietas">
    <w:name w:val="List Bullet"/>
    <w:basedOn w:val="Normal"/>
    <w:autoRedefine/>
    <w:pPr>
      <w:numPr>
        <w:numId w:val="1"/>
      </w:numPr>
      <w:tabs>
        <w:tab w:val="left" w:pos="720"/>
      </w:tabs>
      <w:spacing w:after="60" w:line="360" w:lineRule="auto"/>
    </w:pPr>
  </w:style>
  <w:style w:type="paragraph" w:styleId="Listaconnmeros2">
    <w:name w:val="List Number 2"/>
    <w:basedOn w:val="Normal"/>
    <w:autoRedefine/>
    <w:pPr>
      <w:keepNext/>
      <w:numPr>
        <w:numId w:val="2"/>
      </w:numPr>
      <w:tabs>
        <w:tab w:val="clear" w:pos="792"/>
        <w:tab w:val="num" w:pos="1080"/>
      </w:tabs>
      <w:spacing w:after="60" w:line="360" w:lineRule="auto"/>
      <w:ind w:left="1800" w:hanging="1080"/>
    </w:pPr>
  </w:style>
  <w:style w:type="paragraph" w:styleId="Listaconvietas2">
    <w:name w:val="List Bullet 2"/>
    <w:basedOn w:val="Listaconvietas"/>
    <w:autoRedefine/>
    <w:pPr>
      <w:ind w:left="1080"/>
    </w:pPr>
  </w:style>
  <w:style w:type="paragraph" w:customStyle="1" w:styleId="Picture">
    <w:name w:val="Picture"/>
    <w:basedOn w:val="Normal"/>
    <w:next w:val="Normal"/>
    <w:pPr>
      <w:keepNext/>
      <w:jc w:val="center"/>
    </w:pPr>
  </w:style>
  <w:style w:type="paragraph" w:customStyle="1" w:styleId="Equations">
    <w:name w:val="Equations"/>
    <w:basedOn w:val="Normal"/>
    <w:uiPriority w:val="99"/>
    <w:pPr>
      <w:tabs>
        <w:tab w:val="center" w:pos="4507"/>
        <w:tab w:val="right" w:pos="9000"/>
      </w:tabs>
      <w:spacing w:before="60" w:after="120"/>
      <w:jc w:val="right"/>
    </w:pPr>
  </w:style>
  <w:style w:type="paragraph" w:customStyle="1" w:styleId="AuthorAffiliation">
    <w:name w:val="Author Affiliation"/>
    <w:basedOn w:val="Normal"/>
    <w:rPr>
      <w:sz w:val="20"/>
    </w:rPr>
  </w:style>
  <w:style w:type="paragraph" w:customStyle="1" w:styleId="ManuscriptTitle">
    <w:name w:val="Manuscript Title"/>
    <w:basedOn w:val="Normal"/>
    <w:pPr>
      <w:spacing w:after="240"/>
      <w:jc w:val="left"/>
    </w:pPr>
    <w:rPr>
      <w:b/>
      <w:sz w:val="44"/>
    </w:rPr>
  </w:style>
  <w:style w:type="character" w:customStyle="1" w:styleId="superscript">
    <w:name w:val="superscript"/>
    <w:basedOn w:val="Subscript"/>
    <w:rPr>
      <w:rFonts w:ascii="Times New Roman" w:hAnsi="Times New Roman"/>
      <w:sz w:val="28"/>
      <w:vertAlign w:val="superscript"/>
    </w:rPr>
  </w:style>
  <w:style w:type="character" w:customStyle="1" w:styleId="Subscript">
    <w:name w:val="Subscript"/>
    <w:basedOn w:val="Fuentedeprrafopredeter"/>
    <w:rPr>
      <w:rFonts w:ascii="Times New Roman" w:hAnsi="Times New Roman"/>
      <w:sz w:val="28"/>
      <w:vertAlign w:val="subscript"/>
    </w:rPr>
  </w:style>
  <w:style w:type="paragraph" w:customStyle="1" w:styleId="AbstractText">
    <w:name w:val="Abstract Text"/>
    <w:basedOn w:val="Normal"/>
    <w:pPr>
      <w:spacing w:after="120" w:line="360" w:lineRule="auto"/>
      <w:ind w:left="547" w:right="547" w:firstLine="360"/>
    </w:pPr>
  </w:style>
  <w:style w:type="character" w:styleId="Hipervnculo">
    <w:name w:val="Hyperlink"/>
    <w:basedOn w:val="Fuentedeprrafopredeter"/>
    <w:rPr>
      <w:color w:val="0000FF"/>
      <w:u w:val="single"/>
    </w:rPr>
  </w:style>
  <w:style w:type="paragraph" w:customStyle="1" w:styleId="TableTitle">
    <w:name w:val="Table Title"/>
    <w:basedOn w:val="Normal"/>
    <w:pPr>
      <w:spacing w:before="120" w:after="60"/>
      <w:jc w:val="left"/>
    </w:pPr>
    <w:rPr>
      <w:sz w:val="22"/>
    </w:rPr>
  </w:style>
  <w:style w:type="paragraph" w:customStyle="1" w:styleId="ManuscriptType">
    <w:name w:val="Manuscript Type"/>
    <w:basedOn w:val="ManuscriptTitle"/>
    <w:pPr>
      <w:widowControl w:val="0"/>
      <w:spacing w:after="360"/>
      <w:outlineLvl w:val="1"/>
    </w:pPr>
    <w:rPr>
      <w:i/>
      <w:caps/>
      <w:sz w:val="36"/>
    </w:rPr>
  </w:style>
  <w:style w:type="paragraph" w:customStyle="1" w:styleId="ManuscriptorDiscussionReference">
    <w:name w:val="Manuscript or Discussion Reference"/>
    <w:basedOn w:val="ManuscriptTitle"/>
    <w:pPr>
      <w:spacing w:after="0"/>
    </w:pPr>
    <w:rPr>
      <w:sz w:val="22"/>
    </w:rPr>
  </w:style>
  <w:style w:type="paragraph" w:styleId="Listaconnmeros">
    <w:name w:val="List Number"/>
    <w:basedOn w:val="Normal"/>
    <w:autoRedefine/>
    <w:pPr>
      <w:tabs>
        <w:tab w:val="left" w:pos="720"/>
      </w:tabs>
      <w:spacing w:after="60" w:line="360" w:lineRule="auto"/>
      <w:ind w:left="1080" w:hanging="720"/>
    </w:pPr>
  </w:style>
  <w:style w:type="paragraph" w:customStyle="1" w:styleId="AuthorAffiliationRule">
    <w:name w:val="Author Affiliation Rule"/>
    <w:basedOn w:val="AuthorAffiliation"/>
    <w:pPr>
      <w:spacing w:after="60"/>
    </w:pPr>
  </w:style>
  <w:style w:type="paragraph" w:customStyle="1" w:styleId="FigureCaption">
    <w:name w:val="Figure Caption"/>
    <w:basedOn w:val="Normal"/>
    <w:next w:val="Textoindependiente"/>
    <w:link w:val="FigureCaptionChar"/>
    <w:qFormat/>
    <w:pPr>
      <w:spacing w:before="60" w:after="300"/>
    </w:pPr>
    <w:rPr>
      <w:sz w:val="22"/>
    </w:rPr>
  </w:style>
  <w:style w:type="paragraph" w:customStyle="1" w:styleId="BodyTextKeep">
    <w:name w:val="Body Text Keep"/>
    <w:basedOn w:val="Textoindependiente"/>
    <w:pPr>
      <w:keepNext/>
      <w:spacing w:line="240" w:lineRule="auto"/>
      <w:ind w:firstLine="0"/>
    </w:pPr>
  </w:style>
  <w:style w:type="paragraph" w:customStyle="1" w:styleId="VolumeHeading">
    <w:name w:val="Volume Heading"/>
    <w:basedOn w:val="Normal"/>
    <w:pPr>
      <w:keepNext/>
      <w:keepLines/>
      <w:pBdr>
        <w:top w:val="single" w:sz="6" w:space="1" w:color="auto"/>
        <w:bottom w:val="single" w:sz="6" w:space="1" w:color="auto"/>
      </w:pBdr>
      <w:jc w:val="center"/>
    </w:pPr>
    <w:rPr>
      <w:b/>
      <w:caps/>
    </w:rPr>
  </w:style>
  <w:style w:type="paragraph" w:customStyle="1" w:styleId="AuthorHeading-evenpages">
    <w:name w:val="Author Heading - even pages"/>
    <w:basedOn w:val="VolumeHeading"/>
    <w:rPr>
      <w:caps w:val="0"/>
      <w:sz w:val="20"/>
    </w:rPr>
  </w:style>
  <w:style w:type="paragraph" w:customStyle="1" w:styleId="TitleHeader-oddpage">
    <w:name w:val="Title Header - odd page"/>
    <w:basedOn w:val="VolumeHeading"/>
    <w:rPr>
      <w:caps w:val="0"/>
      <w:sz w:val="20"/>
    </w:rPr>
  </w:style>
  <w:style w:type="paragraph" w:styleId="Piedepgina">
    <w:name w:val="footer"/>
    <w:basedOn w:val="Normal"/>
    <w:pPr>
      <w:tabs>
        <w:tab w:val="center" w:pos="4320"/>
        <w:tab w:val="right" w:pos="8640"/>
      </w:tabs>
      <w:jc w:val="left"/>
    </w:pPr>
  </w:style>
  <w:style w:type="character" w:styleId="Nmerodepgina">
    <w:name w:val="page number"/>
    <w:basedOn w:val="Fuentedeprrafopredeter"/>
  </w:style>
  <w:style w:type="paragraph" w:styleId="Encabezado">
    <w:name w:val="header"/>
    <w:basedOn w:val="Normal"/>
    <w:pPr>
      <w:tabs>
        <w:tab w:val="center" w:pos="4320"/>
        <w:tab w:val="right" w:pos="8640"/>
      </w:tabs>
      <w:jc w:val="left"/>
    </w:pPr>
  </w:style>
  <w:style w:type="paragraph" w:styleId="Textonotapie">
    <w:name w:val="footnote text"/>
    <w:basedOn w:val="Normal"/>
    <w:semiHidden/>
    <w:pPr>
      <w:jc w:val="left"/>
    </w:pPr>
    <w:rPr>
      <w:sz w:val="20"/>
    </w:rPr>
  </w:style>
  <w:style w:type="character" w:styleId="Refdenotaalpie">
    <w:name w:val="footnote reference"/>
    <w:basedOn w:val="Fuentedeprrafopredeter"/>
    <w:semiHidden/>
    <w:rPr>
      <w:vertAlign w:val="superscript"/>
    </w:rPr>
  </w:style>
  <w:style w:type="character" w:styleId="Nmerodelnea">
    <w:name w:val="line number"/>
    <w:basedOn w:val="Fuentedeprrafopredeter"/>
    <w:uiPriority w:val="99"/>
    <w:semiHidden/>
    <w:unhideWhenUsed/>
    <w:rsid w:val="00D212D1"/>
  </w:style>
  <w:style w:type="paragraph" w:styleId="Textodeglobo">
    <w:name w:val="Balloon Text"/>
    <w:basedOn w:val="Normal"/>
    <w:link w:val="TextodegloboCar"/>
    <w:uiPriority w:val="99"/>
    <w:semiHidden/>
    <w:unhideWhenUsed/>
    <w:rsid w:val="0017547C"/>
    <w:rPr>
      <w:rFonts w:ascii="Tahoma" w:hAnsi="Tahoma" w:cs="Tahoma"/>
      <w:sz w:val="16"/>
      <w:szCs w:val="16"/>
    </w:rPr>
  </w:style>
  <w:style w:type="character" w:customStyle="1" w:styleId="TextodegloboCar">
    <w:name w:val="Texto de globo Car"/>
    <w:basedOn w:val="Fuentedeprrafopredeter"/>
    <w:link w:val="Textodeglobo"/>
    <w:uiPriority w:val="99"/>
    <w:semiHidden/>
    <w:rsid w:val="0017547C"/>
    <w:rPr>
      <w:rFonts w:ascii="Tahoma" w:hAnsi="Tahoma" w:cs="Tahoma"/>
      <w:sz w:val="16"/>
      <w:szCs w:val="16"/>
    </w:rPr>
  </w:style>
  <w:style w:type="paragraph" w:styleId="Textonotaalfinal">
    <w:name w:val="endnote text"/>
    <w:basedOn w:val="Normal"/>
    <w:link w:val="TextonotaalfinalCar"/>
    <w:uiPriority w:val="99"/>
    <w:semiHidden/>
    <w:rsid w:val="0017547C"/>
    <w:rPr>
      <w:sz w:val="20"/>
    </w:rPr>
  </w:style>
  <w:style w:type="character" w:customStyle="1" w:styleId="TextonotaalfinalCar">
    <w:name w:val="Texto nota al final Car"/>
    <w:basedOn w:val="Fuentedeprrafopredeter"/>
    <w:link w:val="Textonotaalfinal"/>
    <w:uiPriority w:val="99"/>
    <w:semiHidden/>
    <w:rsid w:val="0017547C"/>
  </w:style>
  <w:style w:type="character" w:customStyle="1" w:styleId="style7">
    <w:name w:val="style7"/>
    <w:basedOn w:val="Fuentedeprrafopredeter"/>
    <w:rsid w:val="0017547C"/>
  </w:style>
  <w:style w:type="character" w:styleId="Refdecomentario">
    <w:name w:val="annotation reference"/>
    <w:basedOn w:val="Fuentedeprrafopredeter"/>
    <w:uiPriority w:val="99"/>
    <w:rsid w:val="0017667E"/>
    <w:rPr>
      <w:rFonts w:ascii="Tahoma" w:hAnsi="Tahoma" w:cs="Tahoma"/>
      <w:b w:val="0"/>
      <w:i w:val="0"/>
      <w:caps w:val="0"/>
      <w:strike w:val="0"/>
      <w:sz w:val="16"/>
      <w:u w:val="none"/>
    </w:rPr>
  </w:style>
  <w:style w:type="paragraph" w:styleId="Textocomentario">
    <w:name w:val="annotation text"/>
    <w:basedOn w:val="Normal"/>
    <w:link w:val="TextocomentarioCar"/>
    <w:uiPriority w:val="99"/>
    <w:rsid w:val="0017667E"/>
    <w:pPr>
      <w:jc w:val="left"/>
    </w:pPr>
    <w:rPr>
      <w:rFonts w:ascii="Tahoma" w:hAnsi="Tahoma" w:cs="Tahoma"/>
      <w:sz w:val="16"/>
      <w:lang w:eastAsia="en-GB"/>
    </w:rPr>
  </w:style>
  <w:style w:type="character" w:customStyle="1" w:styleId="TextocomentarioCar">
    <w:name w:val="Texto comentario Car"/>
    <w:basedOn w:val="Fuentedeprrafopredeter"/>
    <w:link w:val="Textocomentario"/>
    <w:uiPriority w:val="99"/>
    <w:rsid w:val="0017667E"/>
    <w:rPr>
      <w:rFonts w:ascii="Tahoma" w:hAnsi="Tahoma" w:cs="Tahoma"/>
      <w:sz w:val="16"/>
      <w:lang w:eastAsia="en-GB"/>
    </w:rPr>
  </w:style>
  <w:style w:type="table" w:styleId="Tablaconcuadrcula">
    <w:name w:val="Table Grid"/>
    <w:basedOn w:val="Tablanormal"/>
    <w:uiPriority w:val="39"/>
    <w:rsid w:val="0017667E"/>
    <w:rPr>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Indent">
    <w:name w:val="Text Indent"/>
    <w:autoRedefine/>
    <w:uiPriority w:val="99"/>
    <w:rsid w:val="00331FD6"/>
    <w:pPr>
      <w:spacing w:line="360" w:lineRule="auto"/>
      <w:jc w:val="both"/>
    </w:pPr>
    <w:rPr>
      <w:b/>
      <w:sz w:val="24"/>
      <w:lang w:eastAsia="es-MX"/>
    </w:rPr>
  </w:style>
  <w:style w:type="paragraph" w:customStyle="1" w:styleId="EstiloPicture10pto">
    <w:name w:val="Estilo Picture + 10 pto"/>
    <w:basedOn w:val="Picture"/>
    <w:next w:val="FigureCaption"/>
    <w:rsid w:val="004B29BB"/>
    <w:rPr>
      <w:sz w:val="20"/>
    </w:rPr>
  </w:style>
  <w:style w:type="character" w:customStyle="1" w:styleId="FigureCaptionChar">
    <w:name w:val="Figure Caption Char"/>
    <w:link w:val="FigureCaption"/>
    <w:rsid w:val="004B29BB"/>
    <w:rPr>
      <w:sz w:val="22"/>
    </w:rPr>
  </w:style>
  <w:style w:type="paragraph" w:customStyle="1" w:styleId="ENTACTextoTabelaQuadro">
    <w:name w:val="ENTAC Texto Tabela/Quadro"/>
    <w:basedOn w:val="Normal"/>
    <w:rsid w:val="008A5882"/>
    <w:pPr>
      <w:spacing w:before="20" w:after="20"/>
      <w:jc w:val="center"/>
    </w:pPr>
    <w:rPr>
      <w:rFonts w:ascii="Calibri" w:hAnsi="Calibri"/>
      <w:sz w:val="22"/>
      <w:lang w:val="es-CL" w:eastAsia="pt-BR"/>
    </w:rPr>
  </w:style>
  <w:style w:type="character" w:customStyle="1" w:styleId="apple-converted-space">
    <w:name w:val="apple-converted-space"/>
    <w:basedOn w:val="Fuentedeprrafopredeter"/>
    <w:rsid w:val="00CC4FA9"/>
  </w:style>
  <w:style w:type="paragraph" w:styleId="Asuntodelcomentario">
    <w:name w:val="annotation subject"/>
    <w:basedOn w:val="Textocomentario"/>
    <w:next w:val="Textocomentario"/>
    <w:link w:val="AsuntodelcomentarioCar"/>
    <w:uiPriority w:val="99"/>
    <w:semiHidden/>
    <w:unhideWhenUsed/>
    <w:rsid w:val="00AD3FB8"/>
    <w:pPr>
      <w:jc w:val="both"/>
    </w:pPr>
    <w:rPr>
      <w:b/>
      <w:bCs/>
      <w:lang w:eastAsia="en-US"/>
    </w:rPr>
  </w:style>
  <w:style w:type="character" w:customStyle="1" w:styleId="AsuntodelcomentarioCar">
    <w:name w:val="Asunto del comentario Car"/>
    <w:basedOn w:val="TextocomentarioCar"/>
    <w:link w:val="Asuntodelcomentario"/>
    <w:uiPriority w:val="99"/>
    <w:semiHidden/>
    <w:rsid w:val="00AD3FB8"/>
    <w:rPr>
      <w:rFonts w:ascii="Tahoma" w:hAnsi="Tahoma" w:cs="Tahoma"/>
      <w:b/>
      <w:bCs/>
      <w:sz w:val="16"/>
      <w:lang w:eastAsia="en-GB"/>
    </w:rPr>
  </w:style>
  <w:style w:type="paragraph" w:styleId="Revisin">
    <w:name w:val="Revision"/>
    <w:hidden/>
    <w:uiPriority w:val="99"/>
    <w:semiHidden/>
    <w:rsid w:val="00AD3FB8"/>
    <w:rPr>
      <w:sz w:val="24"/>
    </w:rPr>
  </w:style>
  <w:style w:type="paragraph" w:styleId="Prrafodelista">
    <w:name w:val="List Paragraph"/>
    <w:basedOn w:val="Normal"/>
    <w:uiPriority w:val="34"/>
    <w:qFormat/>
    <w:rsid w:val="004977FB"/>
    <w:pPr>
      <w:ind w:left="720"/>
      <w:contextualSpacing/>
    </w:pPr>
  </w:style>
  <w:style w:type="character" w:styleId="Textodelmarcadordeposicin">
    <w:name w:val="Placeholder Text"/>
    <w:basedOn w:val="Fuentedeprrafopredeter"/>
    <w:uiPriority w:val="99"/>
    <w:semiHidden/>
    <w:rsid w:val="00B9216A"/>
    <w:rPr>
      <w:color w:val="808080"/>
    </w:rPr>
  </w:style>
  <w:style w:type="character" w:customStyle="1" w:styleId="TextoindependienteCar">
    <w:name w:val="Texto independiente Car"/>
    <w:basedOn w:val="Fuentedeprrafopredeter"/>
    <w:link w:val="Textoindependiente"/>
    <w:rsid w:val="004362E4"/>
    <w:rPr>
      <w:sz w:val="24"/>
    </w:rPr>
  </w:style>
  <w:style w:type="character" w:customStyle="1" w:styleId="Ttulo3Car">
    <w:name w:val="Título 3 Car"/>
    <w:basedOn w:val="Fuentedeprrafopredeter"/>
    <w:link w:val="Ttulo3"/>
    <w:rsid w:val="004362E4"/>
    <w:rPr>
      <w:b/>
      <w:sz w:val="24"/>
    </w:rPr>
  </w:style>
  <w:style w:type="character" w:customStyle="1" w:styleId="Ttulo2Car">
    <w:name w:val="Título 2 Car"/>
    <w:basedOn w:val="Fuentedeprrafopredeter"/>
    <w:link w:val="Ttulo2"/>
    <w:rsid w:val="006862C0"/>
    <w:rPr>
      <w:b/>
      <w:caps/>
      <w:sz w:val="22"/>
    </w:rPr>
  </w:style>
  <w:style w:type="character" w:customStyle="1" w:styleId="il">
    <w:name w:val="il"/>
    <w:basedOn w:val="Fuentedeprrafopredeter"/>
    <w:rsid w:val="0005095B"/>
  </w:style>
  <w:style w:type="character" w:customStyle="1" w:styleId="hlfld-contribauthor">
    <w:name w:val="hlfld-contribauthor"/>
    <w:basedOn w:val="Fuentedeprrafopredeter"/>
    <w:rsid w:val="00601913"/>
  </w:style>
  <w:style w:type="character" w:customStyle="1" w:styleId="nlmgiven-names">
    <w:name w:val="nlm_given-names"/>
    <w:basedOn w:val="Fuentedeprrafopredeter"/>
    <w:rsid w:val="00601913"/>
  </w:style>
  <w:style w:type="character" w:customStyle="1" w:styleId="nlmyear">
    <w:name w:val="nlm_year"/>
    <w:basedOn w:val="Fuentedeprrafopredeter"/>
    <w:rsid w:val="00601913"/>
  </w:style>
  <w:style w:type="character" w:customStyle="1" w:styleId="nlmpublisher-name">
    <w:name w:val="nlm_publisher-name"/>
    <w:basedOn w:val="Fuentedeprrafopredeter"/>
    <w:rsid w:val="00601913"/>
  </w:style>
  <w:style w:type="character" w:styleId="Refdenotaalfinal">
    <w:name w:val="endnote reference"/>
    <w:basedOn w:val="Fuentedeprrafopredeter"/>
    <w:uiPriority w:val="99"/>
    <w:semiHidden/>
    <w:unhideWhenUsed/>
    <w:rsid w:val="0039019E"/>
    <w:rPr>
      <w:vertAlign w:val="superscript"/>
    </w:rPr>
  </w:style>
  <w:style w:type="character" w:styleId="nfasis">
    <w:name w:val="Emphasis"/>
    <w:basedOn w:val="Fuentedeprrafopredeter"/>
    <w:uiPriority w:val="20"/>
    <w:qFormat/>
    <w:rsid w:val="00086A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tif"/><Relationship Id="rId25" Type="http://schemas.openxmlformats.org/officeDocument/2006/relationships/image" Target="media/image18.emf"/><Relationship Id="rId33" Type="http://schemas.openxmlformats.org/officeDocument/2006/relationships/hyperlink" Target="http://www.pemex.com/en/press_room/"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hyperlink" Target="https://doi.org/10.1785/0220190025" TargetMode="External"/><Relationship Id="rId37"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6.emf"/><Relationship Id="rId48"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candia\Documents\Dropbox\0.-%20research%202016\bee%202016\Cost%20Benefits%20with%20ES%20forma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64DED3-7A57-49BE-A3A7-D6C8752DB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Cost Benefits with ES format</Template>
  <TotalTime>0</TotalTime>
  <Pages>42</Pages>
  <Words>10992</Words>
  <Characters>60461</Characters>
  <Application>Microsoft Office Word</Application>
  <DocSecurity>0</DocSecurity>
  <Lines>503</Lines>
  <Paragraphs>142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Examples of Manuscript Components and Description of Electronic Template</vt:lpstr>
      <vt:lpstr>Examples of Manuscript Components and Description of Electronic Template</vt:lpstr>
    </vt:vector>
  </TitlesOfParts>
  <Company/>
  <LinksUpToDate>false</LinksUpToDate>
  <CharactersWithSpaces>71311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Examples of Manuscript Components and Description of Electronic Template</dc:title>
  <dc:creator>Miguel A Jaimes;Gabriel Candia</dc:creator>
  <cp:lastModifiedBy>Pilar Soto</cp:lastModifiedBy>
  <cp:revision>2</cp:revision>
  <cp:lastPrinted>2019-12-09T15:26:00Z</cp:lastPrinted>
  <dcterms:created xsi:type="dcterms:W3CDTF">2020-01-02T20:48:00Z</dcterms:created>
  <dcterms:modified xsi:type="dcterms:W3CDTF">2020-01-02T20:48:00Z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Id 1_1">
    <vt:lpwstr>http://www.zotero.org/styles/american-political-science-association</vt:lpwstr>
  </property>
  <property fmtid="{D5CDD505-2E9C-101B-9397-08002B2CF9AE}" pid="5" name="Mendeley Recent Style Id 2_1">
    <vt:lpwstr>http://www.zotero.org/styles/apa</vt:lpwstr>
  </property>
  <property fmtid="{D5CDD505-2E9C-101B-9397-08002B2CF9AE}" pid="6" name="Mendeley Recent Style Id 3_1">
    <vt:lpwstr>http://www.zotero.org/styles/american-sociological-association</vt:lpwstr>
  </property>
  <property fmtid="{D5CDD505-2E9C-101B-9397-08002B2CF9AE}" pid="7" name="Mendeley Recent Style Id 4_1">
    <vt:lpwstr>http://www.zotero.org/styles/chicago-author-date</vt:lpwstr>
  </property>
  <property fmtid="{D5CDD505-2E9C-101B-9397-08002B2CF9AE}" pid="8" name="Mendeley Recent Style Id 5_1">
    <vt:lpwstr>http://www.zotero.org/styles/harvard-cite-them-right</vt:lpwstr>
  </property>
  <property fmtid="{D5CDD505-2E9C-101B-9397-08002B2CF9AE}" pid="9" name="Mendeley Recent Style Id 6_1">
    <vt:lpwstr>http://www.zotero.org/styles/ieee</vt:lpwstr>
  </property>
  <property fmtid="{D5CDD505-2E9C-101B-9397-08002B2CF9AE}" pid="10" name="Mendeley Recent Style Id 7_1">
    <vt:lpwstr>http://www.zotero.org/styles/modern-humanities-research-association</vt:lpwstr>
  </property>
  <property fmtid="{D5CDD505-2E9C-101B-9397-08002B2CF9AE}" pid="11" name="Mendeley Recent Style Id 8_1">
    <vt:lpwstr>http://www.zotero.org/styles/modern-language-association</vt:lpwstr>
  </property>
  <property fmtid="{D5CDD505-2E9C-101B-9397-08002B2CF9AE}" pid="12" name="Mendeley Recent Style Id 9_1">
    <vt:lpwstr>http://www.zotero.org/styles/nature</vt:lpwstr>
  </property>
  <property fmtid="{D5CDD505-2E9C-101B-9397-08002B2CF9AE}" pid="13" name="Mendeley Recent Style Name 0_1">
    <vt:lpwstr>American Medical Association</vt:lpwstr>
  </property>
  <property fmtid="{D5CDD505-2E9C-101B-9397-08002B2CF9AE}" pid="14" name="Mendeley Recent Style Name 1_1">
    <vt:lpwstr>American Political Science Association</vt:lpwstr>
  </property>
  <property fmtid="{D5CDD505-2E9C-101B-9397-08002B2CF9AE}" pid="15" name="Mendeley Recent Style Name 2_1">
    <vt:lpwstr>American Psychological Association 6th edition</vt:lpwstr>
  </property>
  <property fmtid="{D5CDD505-2E9C-101B-9397-08002B2CF9AE}" pid="16" name="Mendeley Recent Style Name 3_1">
    <vt:lpwstr>American Sociological Association</vt:lpwstr>
  </property>
  <property fmtid="{D5CDD505-2E9C-101B-9397-08002B2CF9AE}" pid="17" name="Mendeley Recent Style Name 4_1">
    <vt:lpwstr>Chicago Manual of Style 17th edition (author-date)</vt:lpwstr>
  </property>
  <property fmtid="{D5CDD505-2E9C-101B-9397-08002B2CF9AE}" pid="18" name="Mendeley Recent Style Name 5_1">
    <vt:lpwstr>Cite Them Right 10th edition - Harvard</vt:lpwstr>
  </property>
  <property fmtid="{D5CDD505-2E9C-101B-9397-08002B2CF9AE}" pid="19" name="Mendeley Recent Style Name 6_1">
    <vt:lpwstr>IEEE</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Name 8_1">
    <vt:lpwstr>Modern Language Association 8th edition</vt:lpwstr>
  </property>
  <property fmtid="{D5CDD505-2E9C-101B-9397-08002B2CF9AE}" pid="22" name="Mendeley Recent Style Name 9_1">
    <vt:lpwstr>Nature</vt:lpwstr>
  </property>
  <property fmtid="{D5CDD505-2E9C-101B-9397-08002B2CF9AE}" pid="23" name="UseTimer">
    <vt:bool>true</vt:bool>
  </property>
  <property fmtid="{D5CDD505-2E9C-101B-9397-08002B2CF9AE}" pid="24" name="LastTick">
    <vt:r8>43742.653275463</vt:r8>
  </property>
  <property fmtid="{D5CDD505-2E9C-101B-9397-08002B2CF9AE}" pid="25" name="EditTimer">
    <vt:i4>7200</vt:i4>
  </property>
</Properties>
</file>