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803D1E" w14:textId="77777777" w:rsidR="00D717DC" w:rsidRPr="0077118F" w:rsidRDefault="00D717DC" w:rsidP="00D717DC">
      <w:pPr>
        <w:rPr>
          <w:rFonts w:ascii="Arial" w:hAnsi="Arial" w:cs="Arial"/>
          <w:lang w:val="es-ES"/>
        </w:rPr>
      </w:pPr>
      <w:r w:rsidRPr="0077118F">
        <w:rPr>
          <w:rFonts w:ascii="Arial" w:hAnsi="Arial" w:cs="Arial"/>
          <w:noProof/>
          <w:color w:val="180B3C"/>
          <w:lang w:eastAsia="es-CL"/>
        </w:rPr>
        <w:drawing>
          <wp:anchor distT="0" distB="0" distL="114300" distR="114300" simplePos="0" relativeHeight="251660288" behindDoc="1" locked="0" layoutInCell="1" allowOverlap="1" wp14:anchorId="6F018FC2" wp14:editId="29F4F1E4">
            <wp:simplePos x="0" y="0"/>
            <wp:positionH relativeFrom="column">
              <wp:posOffset>-478155</wp:posOffset>
            </wp:positionH>
            <wp:positionV relativeFrom="paragraph">
              <wp:posOffset>-1287780</wp:posOffset>
            </wp:positionV>
            <wp:extent cx="2632710" cy="1151890"/>
            <wp:effectExtent l="0" t="0" r="0" b="0"/>
            <wp:wrapNone/>
            <wp:docPr id="36" name="Imagen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32710" cy="11518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7118F">
        <w:rPr>
          <w:rFonts w:ascii="Arial" w:hAnsi="Arial" w:cs="Arial"/>
          <w:lang w:val="es-ES"/>
        </w:rPr>
        <w:t>Facultad de Medicina</w:t>
      </w:r>
    </w:p>
    <w:p w14:paraId="5AB5632A" w14:textId="77777777" w:rsidR="00D717DC" w:rsidRPr="0077118F" w:rsidRDefault="00D717DC" w:rsidP="00D717DC">
      <w:pPr>
        <w:pStyle w:val="Sinespaciado"/>
        <w:rPr>
          <w:rFonts w:ascii="Arial" w:hAnsi="Arial" w:cs="Arial"/>
          <w:sz w:val="24"/>
          <w:szCs w:val="24"/>
          <w:lang w:val="es-ES"/>
        </w:rPr>
      </w:pPr>
    </w:p>
    <w:p w14:paraId="7BAA3618" w14:textId="77777777" w:rsidR="00D717DC" w:rsidRPr="0077118F" w:rsidRDefault="00D717DC" w:rsidP="00D717DC">
      <w:pPr>
        <w:pStyle w:val="Sinespaciado"/>
        <w:rPr>
          <w:rFonts w:ascii="Arial" w:hAnsi="Arial" w:cs="Arial"/>
          <w:sz w:val="24"/>
          <w:szCs w:val="24"/>
          <w:lang w:val="es-ES"/>
        </w:rPr>
      </w:pPr>
    </w:p>
    <w:p w14:paraId="4BEA2FE1" w14:textId="77777777" w:rsidR="00D717DC" w:rsidRPr="0077118F" w:rsidRDefault="00D717DC" w:rsidP="00D717DC">
      <w:pPr>
        <w:pStyle w:val="Sinespaciado"/>
        <w:rPr>
          <w:rFonts w:ascii="Arial" w:hAnsi="Arial" w:cs="Arial"/>
          <w:sz w:val="24"/>
          <w:szCs w:val="24"/>
          <w:lang w:val="es-ES"/>
        </w:rPr>
      </w:pPr>
    </w:p>
    <w:p w14:paraId="723B99A3" w14:textId="77777777" w:rsidR="00D717DC" w:rsidRPr="0077118F" w:rsidRDefault="00D717DC" w:rsidP="00D717DC">
      <w:pPr>
        <w:pStyle w:val="Sinespaciado"/>
        <w:rPr>
          <w:rFonts w:ascii="Arial" w:hAnsi="Arial" w:cs="Arial"/>
          <w:sz w:val="24"/>
          <w:szCs w:val="24"/>
          <w:lang w:val="es-ES"/>
        </w:rPr>
      </w:pPr>
    </w:p>
    <w:p w14:paraId="7381E651" w14:textId="77777777" w:rsidR="00D717DC" w:rsidRPr="0077118F" w:rsidRDefault="00D717DC" w:rsidP="00D717DC">
      <w:pPr>
        <w:pStyle w:val="Sinespaciado"/>
        <w:rPr>
          <w:rFonts w:ascii="Arial" w:hAnsi="Arial" w:cs="Arial"/>
          <w:sz w:val="24"/>
          <w:szCs w:val="24"/>
          <w:lang w:val="es-ES"/>
        </w:rPr>
      </w:pPr>
    </w:p>
    <w:p w14:paraId="596DA50A" w14:textId="77777777" w:rsidR="00D717DC" w:rsidRPr="0077118F" w:rsidRDefault="00D717DC" w:rsidP="00D717DC">
      <w:pPr>
        <w:pStyle w:val="Sinespaciado"/>
        <w:rPr>
          <w:rFonts w:ascii="Arial" w:hAnsi="Arial" w:cs="Arial"/>
          <w:sz w:val="24"/>
          <w:szCs w:val="24"/>
          <w:lang w:val="es-ES"/>
        </w:rPr>
      </w:pPr>
    </w:p>
    <w:p w14:paraId="5E6154F6" w14:textId="77777777" w:rsidR="00D717DC" w:rsidRPr="0077118F" w:rsidRDefault="00D717DC" w:rsidP="00D717DC">
      <w:pPr>
        <w:pStyle w:val="Sinespaciado"/>
        <w:rPr>
          <w:rFonts w:ascii="Arial" w:hAnsi="Arial" w:cs="Arial"/>
          <w:sz w:val="24"/>
          <w:szCs w:val="24"/>
          <w:lang w:val="es-ES"/>
        </w:rPr>
      </w:pPr>
    </w:p>
    <w:p w14:paraId="57054386" w14:textId="26944632" w:rsidR="00D717DC" w:rsidRDefault="00D717DC" w:rsidP="00D717DC">
      <w:pPr>
        <w:pStyle w:val="Sinespaciado"/>
        <w:rPr>
          <w:rFonts w:ascii="Arial" w:hAnsi="Arial" w:cs="Arial"/>
          <w:sz w:val="24"/>
          <w:szCs w:val="24"/>
          <w:lang w:val="es-ES"/>
        </w:rPr>
      </w:pPr>
    </w:p>
    <w:p w14:paraId="2155B3F3" w14:textId="77777777" w:rsidR="00EB4858" w:rsidRPr="00D717DC" w:rsidRDefault="00EB4858" w:rsidP="00D717DC">
      <w:pPr>
        <w:pStyle w:val="Sinespaciado"/>
        <w:rPr>
          <w:rFonts w:ascii="Arial" w:hAnsi="Arial" w:cs="Arial"/>
          <w:sz w:val="24"/>
          <w:szCs w:val="24"/>
          <w:lang w:val="es-ES"/>
        </w:rPr>
      </w:pPr>
    </w:p>
    <w:p w14:paraId="1C65F442" w14:textId="2DC6EE2D" w:rsidR="00D717DC" w:rsidRPr="00D717DC" w:rsidRDefault="00D717DC" w:rsidP="00EB4858">
      <w:pPr>
        <w:pStyle w:val="Sinespaciado"/>
        <w:spacing w:line="360" w:lineRule="auto"/>
        <w:jc w:val="center"/>
        <w:rPr>
          <w:rFonts w:ascii="Arial" w:hAnsi="Arial" w:cs="Arial"/>
          <w:sz w:val="24"/>
          <w:szCs w:val="24"/>
        </w:rPr>
      </w:pPr>
      <w:r w:rsidRPr="00D717DC">
        <w:rPr>
          <w:rFonts w:ascii="Arial" w:hAnsi="Arial" w:cs="Arial"/>
          <w:sz w:val="24"/>
          <w:szCs w:val="24"/>
        </w:rPr>
        <w:t>C</w:t>
      </w:r>
      <w:r>
        <w:rPr>
          <w:rFonts w:ascii="Arial" w:hAnsi="Arial" w:cs="Arial"/>
          <w:sz w:val="24"/>
          <w:szCs w:val="24"/>
        </w:rPr>
        <w:t xml:space="preserve">UMPLIMIENTO DIARIO DEL </w:t>
      </w:r>
      <w:r w:rsidR="00AD58D7">
        <w:rPr>
          <w:rFonts w:ascii="Arial" w:hAnsi="Arial" w:cs="Arial"/>
          <w:sz w:val="24"/>
          <w:szCs w:val="24"/>
        </w:rPr>
        <w:t>“BUNDLE</w:t>
      </w:r>
      <w:r w:rsidR="005D2E9E">
        <w:rPr>
          <w:rFonts w:ascii="Arial" w:hAnsi="Arial" w:cs="Arial"/>
          <w:sz w:val="24"/>
          <w:szCs w:val="24"/>
        </w:rPr>
        <w:t>”</w:t>
      </w:r>
      <w:r w:rsidR="005D2E9E" w:rsidRPr="005D2E9E">
        <w:rPr>
          <w:rFonts w:ascii="Arial" w:hAnsi="Arial" w:cs="Arial"/>
          <w:sz w:val="24"/>
          <w:szCs w:val="24"/>
        </w:rPr>
        <w:t xml:space="preserve"> </w:t>
      </w:r>
      <w:r w:rsidR="005D2E9E">
        <w:rPr>
          <w:rFonts w:ascii="Arial" w:hAnsi="Arial" w:cs="Arial"/>
          <w:sz w:val="24"/>
          <w:szCs w:val="24"/>
        </w:rPr>
        <w:t xml:space="preserve">ABCDEF </w:t>
      </w:r>
      <w:r>
        <w:rPr>
          <w:rFonts w:ascii="Arial" w:hAnsi="Arial" w:cs="Arial"/>
          <w:sz w:val="24"/>
          <w:szCs w:val="24"/>
        </w:rPr>
        <w:t xml:space="preserve">EN UNA UNIDAD DE CUIDADOS INTENSIVOS: UN ENFOQUE DE MEJORA DE LA CALIDAD DE LA ATENCIÓN </w:t>
      </w:r>
    </w:p>
    <w:p w14:paraId="0BB9145B" w14:textId="77777777" w:rsidR="00D717DC" w:rsidRPr="0077118F" w:rsidRDefault="00D717DC" w:rsidP="00D717DC">
      <w:pPr>
        <w:pStyle w:val="Sinespaciado"/>
        <w:jc w:val="center"/>
        <w:rPr>
          <w:rFonts w:ascii="Arial" w:hAnsi="Arial" w:cs="Arial"/>
          <w:sz w:val="24"/>
          <w:szCs w:val="24"/>
          <w:shd w:val="clear" w:color="auto" w:fill="FFFFFF"/>
        </w:rPr>
      </w:pPr>
    </w:p>
    <w:p w14:paraId="564E9224" w14:textId="77777777" w:rsidR="00D717DC" w:rsidRPr="0077118F" w:rsidRDefault="00D717DC" w:rsidP="00D717DC">
      <w:pPr>
        <w:pStyle w:val="Sinespaciado"/>
        <w:rPr>
          <w:rFonts w:ascii="Arial" w:hAnsi="Arial" w:cs="Arial"/>
          <w:sz w:val="24"/>
          <w:szCs w:val="24"/>
          <w:shd w:val="clear" w:color="auto" w:fill="FFFFFF"/>
        </w:rPr>
      </w:pPr>
    </w:p>
    <w:p w14:paraId="1F4959EE" w14:textId="77777777" w:rsidR="00D717DC" w:rsidRPr="0077118F" w:rsidRDefault="00D717DC" w:rsidP="00D717DC">
      <w:pPr>
        <w:pStyle w:val="Sinespaciado"/>
        <w:rPr>
          <w:rFonts w:ascii="Arial" w:hAnsi="Arial" w:cs="Arial"/>
          <w:sz w:val="24"/>
          <w:szCs w:val="24"/>
          <w:shd w:val="clear" w:color="auto" w:fill="FFFFFF"/>
        </w:rPr>
      </w:pPr>
    </w:p>
    <w:p w14:paraId="22FE5C51" w14:textId="77777777" w:rsidR="00D717DC" w:rsidRPr="0077118F" w:rsidRDefault="00D717DC" w:rsidP="00D717DC">
      <w:pPr>
        <w:pStyle w:val="Sinespaciado"/>
        <w:rPr>
          <w:rFonts w:ascii="Arial" w:hAnsi="Arial" w:cs="Arial"/>
          <w:sz w:val="24"/>
          <w:szCs w:val="24"/>
          <w:shd w:val="clear" w:color="auto" w:fill="FFFFFF"/>
        </w:rPr>
      </w:pPr>
    </w:p>
    <w:p w14:paraId="4B578F98" w14:textId="77777777" w:rsidR="00944A82" w:rsidRDefault="00944A82" w:rsidP="00D717DC">
      <w:pPr>
        <w:pStyle w:val="Sinespaciado"/>
        <w:jc w:val="center"/>
        <w:rPr>
          <w:rFonts w:ascii="Arial" w:hAnsi="Arial" w:cs="Arial"/>
          <w:sz w:val="24"/>
          <w:szCs w:val="24"/>
          <w:shd w:val="clear" w:color="auto" w:fill="FFFFFF"/>
        </w:rPr>
      </w:pPr>
    </w:p>
    <w:p w14:paraId="792C8CB6" w14:textId="6518C5EE" w:rsidR="00944A82" w:rsidRPr="0077118F" w:rsidRDefault="00944A82" w:rsidP="00944A82">
      <w:pPr>
        <w:pStyle w:val="Sinespaciado"/>
        <w:rPr>
          <w:rFonts w:ascii="Arial" w:hAnsi="Arial" w:cs="Arial"/>
          <w:sz w:val="24"/>
          <w:szCs w:val="24"/>
          <w:shd w:val="clear" w:color="auto" w:fill="FFFFFF"/>
        </w:rPr>
      </w:pPr>
    </w:p>
    <w:p w14:paraId="0EB77A43" w14:textId="62672E8B" w:rsidR="00D717DC" w:rsidRPr="0077118F" w:rsidRDefault="00944A82" w:rsidP="00D717DC">
      <w:pPr>
        <w:pStyle w:val="Sinespaciado"/>
        <w:jc w:val="center"/>
        <w:rPr>
          <w:rFonts w:ascii="Arial" w:hAnsi="Arial" w:cs="Arial"/>
          <w:sz w:val="24"/>
          <w:szCs w:val="24"/>
          <w:shd w:val="clear" w:color="auto" w:fill="FFFFFF"/>
        </w:rPr>
      </w:pPr>
      <w:r>
        <w:rPr>
          <w:rFonts w:ascii="Arial" w:hAnsi="Arial" w:cs="Arial"/>
          <w:sz w:val="24"/>
          <w:szCs w:val="24"/>
          <w:shd w:val="clear" w:color="auto" w:fill="FFFFFF"/>
        </w:rPr>
        <w:t xml:space="preserve">POR: </w:t>
      </w:r>
      <w:r w:rsidR="00D717DC">
        <w:rPr>
          <w:rFonts w:ascii="Arial" w:hAnsi="Arial" w:cs="Arial"/>
          <w:sz w:val="24"/>
          <w:szCs w:val="24"/>
          <w:shd w:val="clear" w:color="auto" w:fill="FFFFFF"/>
        </w:rPr>
        <w:t>FELIPE IGNACIO MUÑOZ MUÑOZ</w:t>
      </w:r>
    </w:p>
    <w:p w14:paraId="2FDA033B" w14:textId="77777777" w:rsidR="00D717DC" w:rsidRPr="0077118F" w:rsidRDefault="00D717DC" w:rsidP="00D717DC">
      <w:pPr>
        <w:pStyle w:val="Sinespaciado"/>
        <w:rPr>
          <w:rFonts w:ascii="Arial" w:hAnsi="Arial" w:cs="Arial"/>
          <w:sz w:val="24"/>
          <w:szCs w:val="24"/>
          <w:shd w:val="clear" w:color="auto" w:fill="FFFFFF"/>
        </w:rPr>
      </w:pPr>
    </w:p>
    <w:p w14:paraId="59BAAC53" w14:textId="77777777" w:rsidR="00D717DC" w:rsidRPr="0077118F" w:rsidRDefault="00D717DC" w:rsidP="00D717DC">
      <w:pPr>
        <w:pStyle w:val="Sinespaciado"/>
        <w:rPr>
          <w:rFonts w:ascii="Arial" w:hAnsi="Arial" w:cs="Arial"/>
          <w:sz w:val="24"/>
          <w:szCs w:val="24"/>
          <w:shd w:val="clear" w:color="auto" w:fill="FFFFFF"/>
        </w:rPr>
      </w:pPr>
    </w:p>
    <w:p w14:paraId="6971C756" w14:textId="77777777" w:rsidR="00D717DC" w:rsidRPr="0077118F" w:rsidRDefault="00D717DC" w:rsidP="00D717DC">
      <w:pPr>
        <w:pStyle w:val="Sinespaciado"/>
        <w:rPr>
          <w:rFonts w:ascii="Arial" w:hAnsi="Arial" w:cs="Arial"/>
          <w:sz w:val="24"/>
          <w:szCs w:val="24"/>
          <w:shd w:val="clear" w:color="auto" w:fill="FFFFFF"/>
        </w:rPr>
      </w:pPr>
    </w:p>
    <w:p w14:paraId="0ECAF957" w14:textId="77777777" w:rsidR="00D717DC" w:rsidRPr="0077118F" w:rsidRDefault="00D717DC" w:rsidP="00D717DC">
      <w:pPr>
        <w:pStyle w:val="Sinespaciado"/>
        <w:rPr>
          <w:rFonts w:ascii="Arial" w:hAnsi="Arial" w:cs="Arial"/>
          <w:sz w:val="24"/>
          <w:szCs w:val="24"/>
          <w:shd w:val="clear" w:color="auto" w:fill="FFFFFF"/>
        </w:rPr>
      </w:pPr>
    </w:p>
    <w:p w14:paraId="1BCC2D37" w14:textId="77777777" w:rsidR="00D717DC" w:rsidRPr="0077118F" w:rsidRDefault="00D717DC" w:rsidP="00D717DC">
      <w:pPr>
        <w:pStyle w:val="Sinespaciado"/>
        <w:rPr>
          <w:rFonts w:ascii="Arial" w:hAnsi="Arial" w:cs="Arial"/>
          <w:sz w:val="24"/>
          <w:szCs w:val="24"/>
          <w:shd w:val="clear" w:color="auto" w:fill="FFFFFF"/>
        </w:rPr>
      </w:pPr>
    </w:p>
    <w:p w14:paraId="02EF49B6" w14:textId="77777777" w:rsidR="00D717DC" w:rsidRPr="0077118F" w:rsidRDefault="00D717DC" w:rsidP="00D717DC">
      <w:pPr>
        <w:pStyle w:val="Sinespaciado"/>
        <w:rPr>
          <w:rFonts w:ascii="Arial" w:hAnsi="Arial" w:cs="Arial"/>
          <w:sz w:val="24"/>
          <w:szCs w:val="24"/>
          <w:shd w:val="clear" w:color="auto" w:fill="FFFFFF"/>
        </w:rPr>
      </w:pPr>
    </w:p>
    <w:p w14:paraId="30EB7D78" w14:textId="77777777" w:rsidR="00D717DC" w:rsidRPr="0077118F" w:rsidRDefault="00D717DC" w:rsidP="00D717DC">
      <w:pPr>
        <w:pStyle w:val="Sinespaciado"/>
        <w:rPr>
          <w:rFonts w:ascii="Arial" w:hAnsi="Arial" w:cs="Arial"/>
          <w:sz w:val="24"/>
          <w:szCs w:val="24"/>
          <w:shd w:val="clear" w:color="auto" w:fill="FFFFFF"/>
        </w:rPr>
      </w:pPr>
    </w:p>
    <w:p w14:paraId="553940D5" w14:textId="77777777" w:rsidR="00D717DC" w:rsidRPr="0077118F" w:rsidRDefault="00D717DC" w:rsidP="00D717DC">
      <w:pPr>
        <w:pStyle w:val="Sinespaciado"/>
        <w:jc w:val="center"/>
        <w:rPr>
          <w:rFonts w:ascii="Arial" w:hAnsi="Arial" w:cs="Arial"/>
          <w:sz w:val="24"/>
          <w:szCs w:val="24"/>
          <w:shd w:val="clear" w:color="auto" w:fill="FFFFFF"/>
        </w:rPr>
      </w:pPr>
      <w:r w:rsidRPr="0077118F">
        <w:rPr>
          <w:rFonts w:ascii="Arial" w:hAnsi="Arial" w:cs="Arial"/>
          <w:sz w:val="24"/>
          <w:szCs w:val="24"/>
          <w:shd w:val="clear" w:color="auto" w:fill="FFFFFF"/>
        </w:rPr>
        <w:t>Tesis presentada a la Facultad de Medicina de la Universidad del Desarrollo para optar al grado académico de Magister en Terapia Física y Rehabilitación.</w:t>
      </w:r>
    </w:p>
    <w:p w14:paraId="10790CDD" w14:textId="77777777" w:rsidR="00D717DC" w:rsidRPr="0077118F" w:rsidRDefault="00D717DC" w:rsidP="00D717DC">
      <w:pPr>
        <w:pStyle w:val="Sinespaciado"/>
        <w:rPr>
          <w:rFonts w:ascii="Arial" w:hAnsi="Arial" w:cs="Arial"/>
          <w:sz w:val="24"/>
          <w:szCs w:val="24"/>
          <w:shd w:val="clear" w:color="auto" w:fill="FFFFFF"/>
        </w:rPr>
      </w:pPr>
    </w:p>
    <w:p w14:paraId="0EEF39D4" w14:textId="77777777" w:rsidR="00D717DC" w:rsidRPr="0077118F" w:rsidRDefault="00D717DC" w:rsidP="00D717DC">
      <w:pPr>
        <w:pStyle w:val="Sinespaciado"/>
        <w:rPr>
          <w:rFonts w:ascii="Arial" w:hAnsi="Arial" w:cs="Arial"/>
          <w:sz w:val="24"/>
          <w:szCs w:val="24"/>
          <w:shd w:val="clear" w:color="auto" w:fill="FFFFFF"/>
        </w:rPr>
      </w:pPr>
    </w:p>
    <w:p w14:paraId="6B50E90D" w14:textId="77777777" w:rsidR="00D717DC" w:rsidRPr="0077118F" w:rsidRDefault="00D717DC" w:rsidP="00D717DC">
      <w:pPr>
        <w:pStyle w:val="Sinespaciado"/>
        <w:rPr>
          <w:rFonts w:ascii="Arial" w:hAnsi="Arial" w:cs="Arial"/>
          <w:sz w:val="24"/>
          <w:szCs w:val="24"/>
          <w:shd w:val="clear" w:color="auto" w:fill="FFFFFF"/>
        </w:rPr>
      </w:pPr>
    </w:p>
    <w:p w14:paraId="7C417A69" w14:textId="51A836A4" w:rsidR="00D717DC" w:rsidRPr="0077118F" w:rsidRDefault="00D717DC" w:rsidP="00944A82">
      <w:pPr>
        <w:pStyle w:val="Sinespaciado"/>
        <w:jc w:val="center"/>
        <w:rPr>
          <w:rFonts w:ascii="Arial" w:hAnsi="Arial" w:cs="Arial"/>
          <w:sz w:val="24"/>
          <w:szCs w:val="24"/>
          <w:shd w:val="clear" w:color="auto" w:fill="FFFFFF"/>
        </w:rPr>
      </w:pPr>
      <w:r w:rsidRPr="0077118F">
        <w:rPr>
          <w:rFonts w:ascii="Arial" w:hAnsi="Arial" w:cs="Arial"/>
          <w:sz w:val="24"/>
          <w:szCs w:val="24"/>
          <w:shd w:val="clear" w:color="auto" w:fill="FFFFFF"/>
        </w:rPr>
        <w:t>PROFESOR GUIA:</w:t>
      </w:r>
      <w:r w:rsidR="00944A82">
        <w:rPr>
          <w:rFonts w:ascii="Arial" w:hAnsi="Arial" w:cs="Arial"/>
          <w:sz w:val="24"/>
          <w:szCs w:val="24"/>
          <w:shd w:val="clear" w:color="auto" w:fill="FFFFFF"/>
        </w:rPr>
        <w:t xml:space="preserve"> </w:t>
      </w:r>
      <w:r w:rsidR="005D2E9E">
        <w:rPr>
          <w:rFonts w:ascii="Arial" w:hAnsi="Arial" w:cs="Arial"/>
          <w:sz w:val="24"/>
          <w:szCs w:val="24"/>
          <w:shd w:val="clear" w:color="auto" w:fill="FFFFFF"/>
        </w:rPr>
        <w:t>SR</w:t>
      </w:r>
      <w:r w:rsidRPr="0077118F">
        <w:rPr>
          <w:rFonts w:ascii="Arial" w:hAnsi="Arial" w:cs="Arial"/>
          <w:sz w:val="24"/>
          <w:szCs w:val="24"/>
          <w:shd w:val="clear" w:color="auto" w:fill="FFFFFF"/>
        </w:rPr>
        <w:t xml:space="preserve"> </w:t>
      </w:r>
      <w:r>
        <w:rPr>
          <w:rFonts w:ascii="Arial" w:hAnsi="Arial" w:cs="Arial"/>
          <w:sz w:val="24"/>
          <w:szCs w:val="24"/>
          <w:shd w:val="clear" w:color="auto" w:fill="FFFFFF"/>
        </w:rPr>
        <w:t>JAIME LEPPE ZAMORA</w:t>
      </w:r>
    </w:p>
    <w:p w14:paraId="770212EA" w14:textId="77777777" w:rsidR="00D717DC" w:rsidRPr="0077118F" w:rsidRDefault="00D717DC" w:rsidP="00D717DC">
      <w:pPr>
        <w:pStyle w:val="Sinespaciado"/>
        <w:jc w:val="center"/>
        <w:rPr>
          <w:rFonts w:ascii="Arial" w:hAnsi="Arial" w:cs="Arial"/>
          <w:sz w:val="24"/>
          <w:szCs w:val="24"/>
          <w:shd w:val="clear" w:color="auto" w:fill="FFFFFF"/>
        </w:rPr>
      </w:pPr>
    </w:p>
    <w:p w14:paraId="259C961E" w14:textId="07CBDBCC" w:rsidR="00D717DC" w:rsidRDefault="00D717DC" w:rsidP="00D717DC">
      <w:pPr>
        <w:pStyle w:val="Sinespaciado"/>
        <w:jc w:val="center"/>
        <w:rPr>
          <w:rFonts w:ascii="Arial" w:hAnsi="Arial" w:cs="Arial"/>
          <w:sz w:val="24"/>
          <w:szCs w:val="24"/>
          <w:shd w:val="clear" w:color="auto" w:fill="FFFFFF"/>
        </w:rPr>
      </w:pPr>
    </w:p>
    <w:p w14:paraId="32BBC42D" w14:textId="6729938D" w:rsidR="00402460" w:rsidRDefault="00402460" w:rsidP="00D717DC">
      <w:pPr>
        <w:pStyle w:val="Sinespaciado"/>
        <w:jc w:val="center"/>
        <w:rPr>
          <w:rFonts w:ascii="Arial" w:hAnsi="Arial" w:cs="Arial"/>
          <w:sz w:val="24"/>
          <w:szCs w:val="24"/>
          <w:shd w:val="clear" w:color="auto" w:fill="FFFFFF"/>
        </w:rPr>
      </w:pPr>
    </w:p>
    <w:p w14:paraId="410E6D60" w14:textId="6186DDF4" w:rsidR="00E7155E" w:rsidRDefault="00E7155E" w:rsidP="00D717DC">
      <w:pPr>
        <w:pStyle w:val="Sinespaciado"/>
        <w:jc w:val="center"/>
        <w:rPr>
          <w:rFonts w:ascii="Arial" w:hAnsi="Arial" w:cs="Arial"/>
          <w:sz w:val="24"/>
          <w:szCs w:val="24"/>
          <w:shd w:val="clear" w:color="auto" w:fill="FFFFFF"/>
        </w:rPr>
      </w:pPr>
    </w:p>
    <w:p w14:paraId="0DFDD0EE" w14:textId="5D44F487" w:rsidR="00E7155E" w:rsidRDefault="00E7155E" w:rsidP="00D717DC">
      <w:pPr>
        <w:pStyle w:val="Sinespaciado"/>
        <w:jc w:val="center"/>
        <w:rPr>
          <w:rFonts w:ascii="Arial" w:hAnsi="Arial" w:cs="Arial"/>
          <w:sz w:val="24"/>
          <w:szCs w:val="24"/>
          <w:shd w:val="clear" w:color="auto" w:fill="FFFFFF"/>
        </w:rPr>
      </w:pPr>
    </w:p>
    <w:p w14:paraId="5FAE3F40" w14:textId="77777777" w:rsidR="00944A82" w:rsidRDefault="00944A82" w:rsidP="00D717DC">
      <w:pPr>
        <w:pStyle w:val="Sinespaciado"/>
        <w:jc w:val="center"/>
        <w:rPr>
          <w:rFonts w:ascii="Arial" w:hAnsi="Arial" w:cs="Arial"/>
          <w:sz w:val="24"/>
          <w:szCs w:val="24"/>
          <w:shd w:val="clear" w:color="auto" w:fill="FFFFFF"/>
        </w:rPr>
      </w:pPr>
    </w:p>
    <w:p w14:paraId="7D22DF68" w14:textId="77777777" w:rsidR="00E7155E" w:rsidRPr="0077118F" w:rsidRDefault="00E7155E" w:rsidP="00D717DC">
      <w:pPr>
        <w:pStyle w:val="Sinespaciado"/>
        <w:jc w:val="center"/>
        <w:rPr>
          <w:rFonts w:ascii="Arial" w:hAnsi="Arial" w:cs="Arial"/>
          <w:sz w:val="24"/>
          <w:szCs w:val="24"/>
          <w:shd w:val="clear" w:color="auto" w:fill="FFFFFF"/>
        </w:rPr>
      </w:pPr>
    </w:p>
    <w:p w14:paraId="0337C12A" w14:textId="2EEAFBD5" w:rsidR="00D717DC" w:rsidRPr="0077118F" w:rsidRDefault="00402460" w:rsidP="00D717DC">
      <w:pPr>
        <w:pStyle w:val="Sinespaciado"/>
        <w:jc w:val="center"/>
        <w:rPr>
          <w:rFonts w:ascii="Arial" w:hAnsi="Arial" w:cs="Arial"/>
          <w:sz w:val="24"/>
          <w:szCs w:val="24"/>
          <w:shd w:val="clear" w:color="auto" w:fill="FFFFFF"/>
        </w:rPr>
      </w:pPr>
      <w:r>
        <w:rPr>
          <w:rFonts w:ascii="Arial" w:hAnsi="Arial" w:cs="Arial"/>
          <w:sz w:val="24"/>
          <w:szCs w:val="24"/>
          <w:shd w:val="clear" w:color="auto" w:fill="FFFFFF"/>
        </w:rPr>
        <w:t>Diciembre</w:t>
      </w:r>
      <w:r w:rsidR="00D717DC" w:rsidRPr="0077118F">
        <w:rPr>
          <w:rFonts w:ascii="Arial" w:hAnsi="Arial" w:cs="Arial"/>
          <w:sz w:val="24"/>
          <w:szCs w:val="24"/>
          <w:shd w:val="clear" w:color="auto" w:fill="FFFFFF"/>
        </w:rPr>
        <w:t>, 202</w:t>
      </w:r>
      <w:r>
        <w:rPr>
          <w:rFonts w:ascii="Arial" w:hAnsi="Arial" w:cs="Arial"/>
          <w:sz w:val="24"/>
          <w:szCs w:val="24"/>
          <w:shd w:val="clear" w:color="auto" w:fill="FFFFFF"/>
        </w:rPr>
        <w:t>0</w:t>
      </w:r>
    </w:p>
    <w:p w14:paraId="31577FF9" w14:textId="77777777" w:rsidR="00D717DC" w:rsidRDefault="00D717DC" w:rsidP="00D717DC">
      <w:pPr>
        <w:pStyle w:val="Sinespaciado"/>
        <w:jc w:val="center"/>
        <w:rPr>
          <w:rFonts w:ascii="Arial" w:hAnsi="Arial" w:cs="Arial"/>
          <w:sz w:val="24"/>
          <w:szCs w:val="24"/>
          <w:shd w:val="clear" w:color="auto" w:fill="FFFFFF"/>
        </w:rPr>
      </w:pPr>
      <w:r w:rsidRPr="0077118F">
        <w:rPr>
          <w:rFonts w:ascii="Arial" w:hAnsi="Arial" w:cs="Arial"/>
          <w:sz w:val="24"/>
          <w:szCs w:val="24"/>
          <w:shd w:val="clear" w:color="auto" w:fill="FFFFFF"/>
        </w:rPr>
        <w:t>SANTIAGO</w:t>
      </w:r>
    </w:p>
    <w:p w14:paraId="0CFA0795" w14:textId="3016972A" w:rsidR="009D6D82" w:rsidRPr="0077118F" w:rsidRDefault="009D6D82" w:rsidP="00D717DC">
      <w:pPr>
        <w:pStyle w:val="Sinespaciado"/>
        <w:jc w:val="center"/>
        <w:rPr>
          <w:rFonts w:ascii="Arial" w:hAnsi="Arial" w:cs="Arial"/>
          <w:sz w:val="24"/>
          <w:szCs w:val="24"/>
          <w:shd w:val="clear" w:color="auto" w:fill="FFFFFF"/>
        </w:rPr>
        <w:sectPr w:rsidR="009D6D82" w:rsidRPr="0077118F" w:rsidSect="00C96F30">
          <w:footerReference w:type="even" r:id="rId9"/>
          <w:footerReference w:type="default" r:id="rId10"/>
          <w:footerReference w:type="first" r:id="rId11"/>
          <w:pgSz w:w="12240" w:h="15840" w:code="1"/>
          <w:pgMar w:top="2268" w:right="1418" w:bottom="1418" w:left="2268" w:header="709" w:footer="709" w:gutter="0"/>
          <w:pgNumType w:fmt="lowerRoman" w:start="1"/>
          <w:cols w:space="708"/>
          <w:titlePg/>
          <w:docGrid w:linePitch="360"/>
        </w:sectPr>
      </w:pPr>
    </w:p>
    <w:p w14:paraId="0989C169" w14:textId="77777777" w:rsidR="00EE6AB2" w:rsidRDefault="00EE6AB2">
      <w:pPr>
        <w:rPr>
          <w:sz w:val="28"/>
          <w:lang w:val="es-ES"/>
        </w:rPr>
      </w:pPr>
    </w:p>
    <w:p w14:paraId="5A599B4C" w14:textId="77777777" w:rsidR="00EE6AB2" w:rsidRDefault="00EE6AB2">
      <w:pPr>
        <w:rPr>
          <w:sz w:val="28"/>
          <w:lang w:val="es-ES"/>
        </w:rPr>
      </w:pPr>
    </w:p>
    <w:p w14:paraId="4B7B8A27" w14:textId="77777777" w:rsidR="00EE6AB2" w:rsidRDefault="00EE6AB2">
      <w:pPr>
        <w:rPr>
          <w:sz w:val="28"/>
          <w:lang w:val="es-ES"/>
        </w:rPr>
      </w:pPr>
    </w:p>
    <w:p w14:paraId="2619A2EB" w14:textId="77777777" w:rsidR="00EE6AB2" w:rsidRDefault="00EE6AB2">
      <w:pPr>
        <w:rPr>
          <w:sz w:val="28"/>
          <w:lang w:val="es-ES"/>
        </w:rPr>
      </w:pPr>
    </w:p>
    <w:p w14:paraId="4F72AED4" w14:textId="77777777" w:rsidR="00EE6AB2" w:rsidRDefault="00EE6AB2">
      <w:pPr>
        <w:rPr>
          <w:sz w:val="28"/>
          <w:lang w:val="es-ES"/>
        </w:rPr>
      </w:pPr>
    </w:p>
    <w:p w14:paraId="7757A73A" w14:textId="77777777" w:rsidR="00EE6AB2" w:rsidRDefault="00EE6AB2">
      <w:pPr>
        <w:rPr>
          <w:sz w:val="28"/>
          <w:lang w:val="es-ES"/>
        </w:rPr>
      </w:pPr>
    </w:p>
    <w:p w14:paraId="2D503BB2" w14:textId="77777777" w:rsidR="00EE6AB2" w:rsidRDefault="00EE6AB2">
      <w:pPr>
        <w:rPr>
          <w:sz w:val="28"/>
          <w:lang w:val="es-ES"/>
        </w:rPr>
      </w:pPr>
    </w:p>
    <w:p w14:paraId="28A2C1EB" w14:textId="77777777" w:rsidR="00EE6AB2" w:rsidRDefault="00EE6AB2">
      <w:pPr>
        <w:rPr>
          <w:sz w:val="28"/>
          <w:lang w:val="es-ES"/>
        </w:rPr>
      </w:pPr>
    </w:p>
    <w:p w14:paraId="2CCDA580" w14:textId="77777777" w:rsidR="00EE6AB2" w:rsidRDefault="00EE6AB2">
      <w:pPr>
        <w:rPr>
          <w:sz w:val="28"/>
          <w:lang w:val="es-ES"/>
        </w:rPr>
      </w:pPr>
    </w:p>
    <w:p w14:paraId="4D4948EC" w14:textId="77777777" w:rsidR="00EE6AB2" w:rsidRDefault="00EE6AB2">
      <w:pPr>
        <w:rPr>
          <w:sz w:val="28"/>
          <w:lang w:val="es-ES"/>
        </w:rPr>
      </w:pPr>
    </w:p>
    <w:p w14:paraId="24BBD97D" w14:textId="77777777" w:rsidR="00EE6AB2" w:rsidRDefault="00EE6AB2">
      <w:pPr>
        <w:rPr>
          <w:sz w:val="28"/>
          <w:lang w:val="es-ES"/>
        </w:rPr>
      </w:pPr>
    </w:p>
    <w:p w14:paraId="12743588" w14:textId="77777777" w:rsidR="00EE6AB2" w:rsidRDefault="00EE6AB2">
      <w:pPr>
        <w:rPr>
          <w:sz w:val="28"/>
          <w:lang w:val="es-ES"/>
        </w:rPr>
      </w:pPr>
    </w:p>
    <w:p w14:paraId="315E9E39" w14:textId="77777777" w:rsidR="00EE6AB2" w:rsidRDefault="00EE6AB2">
      <w:pPr>
        <w:rPr>
          <w:sz w:val="28"/>
          <w:lang w:val="es-ES"/>
        </w:rPr>
      </w:pPr>
    </w:p>
    <w:p w14:paraId="1F9AE3EE" w14:textId="77777777" w:rsidR="00EE6AB2" w:rsidRDefault="00EE6AB2">
      <w:pPr>
        <w:rPr>
          <w:sz w:val="28"/>
          <w:lang w:val="es-ES"/>
        </w:rPr>
      </w:pPr>
    </w:p>
    <w:p w14:paraId="31CC40F6" w14:textId="77777777" w:rsidR="00EE6AB2" w:rsidRDefault="00EE6AB2">
      <w:pPr>
        <w:rPr>
          <w:sz w:val="28"/>
          <w:lang w:val="es-ES"/>
        </w:rPr>
      </w:pPr>
    </w:p>
    <w:p w14:paraId="0287B6F2" w14:textId="77777777" w:rsidR="00EE6AB2" w:rsidRDefault="00EE6AB2">
      <w:pPr>
        <w:rPr>
          <w:sz w:val="28"/>
          <w:lang w:val="es-ES"/>
        </w:rPr>
      </w:pPr>
    </w:p>
    <w:p w14:paraId="398F6296" w14:textId="77777777" w:rsidR="00EE6AB2" w:rsidRDefault="00EE6AB2">
      <w:pPr>
        <w:rPr>
          <w:sz w:val="28"/>
          <w:lang w:val="es-ES"/>
        </w:rPr>
      </w:pPr>
    </w:p>
    <w:p w14:paraId="61EA5250" w14:textId="77777777" w:rsidR="00EE6AB2" w:rsidRDefault="00EE6AB2">
      <w:pPr>
        <w:rPr>
          <w:sz w:val="28"/>
          <w:lang w:val="es-ES"/>
        </w:rPr>
      </w:pPr>
    </w:p>
    <w:p w14:paraId="355477DA" w14:textId="77777777" w:rsidR="00EE6AB2" w:rsidRDefault="00EE6AB2">
      <w:pPr>
        <w:rPr>
          <w:sz w:val="28"/>
          <w:lang w:val="es-ES"/>
        </w:rPr>
      </w:pPr>
    </w:p>
    <w:p w14:paraId="3EBBBF60" w14:textId="77777777" w:rsidR="00EE6AB2" w:rsidRDefault="00EE6AB2">
      <w:pPr>
        <w:rPr>
          <w:sz w:val="28"/>
          <w:lang w:val="es-ES"/>
        </w:rPr>
      </w:pPr>
    </w:p>
    <w:p w14:paraId="5D2783BD" w14:textId="77777777" w:rsidR="00EE6AB2" w:rsidRDefault="00EE6AB2">
      <w:pPr>
        <w:rPr>
          <w:sz w:val="28"/>
          <w:lang w:val="es-ES"/>
        </w:rPr>
      </w:pPr>
    </w:p>
    <w:p w14:paraId="23230E1F" w14:textId="77777777" w:rsidR="00EE6AB2" w:rsidRDefault="00EE6AB2">
      <w:pPr>
        <w:rPr>
          <w:sz w:val="28"/>
          <w:lang w:val="es-ES"/>
        </w:rPr>
      </w:pPr>
    </w:p>
    <w:p w14:paraId="7013FB4B" w14:textId="77777777" w:rsidR="00EE6AB2" w:rsidRDefault="00EE6AB2">
      <w:pPr>
        <w:rPr>
          <w:sz w:val="28"/>
          <w:lang w:val="es-ES"/>
        </w:rPr>
      </w:pPr>
    </w:p>
    <w:p w14:paraId="0C6A3E09" w14:textId="77777777" w:rsidR="00EE6AB2" w:rsidRDefault="00EE6AB2">
      <w:pPr>
        <w:rPr>
          <w:sz w:val="28"/>
          <w:lang w:val="es-ES"/>
        </w:rPr>
      </w:pPr>
    </w:p>
    <w:p w14:paraId="74FD6969" w14:textId="77777777" w:rsidR="00EE6AB2" w:rsidRDefault="00EE6AB2">
      <w:pPr>
        <w:rPr>
          <w:sz w:val="28"/>
          <w:lang w:val="es-ES"/>
        </w:rPr>
      </w:pPr>
    </w:p>
    <w:p w14:paraId="006D8AFA" w14:textId="77777777" w:rsidR="00EE6AB2" w:rsidRDefault="00EE6AB2">
      <w:pPr>
        <w:rPr>
          <w:sz w:val="28"/>
          <w:lang w:val="es-ES"/>
        </w:rPr>
      </w:pPr>
    </w:p>
    <w:p w14:paraId="1A81E500" w14:textId="77777777" w:rsidR="00EE6AB2" w:rsidRDefault="00EE6AB2">
      <w:pPr>
        <w:rPr>
          <w:sz w:val="28"/>
          <w:lang w:val="es-ES"/>
        </w:rPr>
      </w:pPr>
    </w:p>
    <w:p w14:paraId="62D5EA82" w14:textId="77777777" w:rsidR="00EE6AB2" w:rsidRDefault="00EE6AB2">
      <w:pPr>
        <w:rPr>
          <w:sz w:val="28"/>
          <w:lang w:val="es-ES"/>
        </w:rPr>
      </w:pPr>
    </w:p>
    <w:p w14:paraId="613BF439" w14:textId="77777777" w:rsidR="00EE6AB2" w:rsidRDefault="00EE6AB2">
      <w:pPr>
        <w:rPr>
          <w:sz w:val="28"/>
          <w:lang w:val="es-ES"/>
        </w:rPr>
      </w:pPr>
    </w:p>
    <w:p w14:paraId="4906713A" w14:textId="77777777" w:rsidR="00EE6AB2" w:rsidRDefault="00EE6AB2">
      <w:pPr>
        <w:rPr>
          <w:sz w:val="28"/>
          <w:lang w:val="es-ES"/>
        </w:rPr>
      </w:pPr>
    </w:p>
    <w:p w14:paraId="46C17047" w14:textId="77777777" w:rsidR="00823B73" w:rsidRPr="000C57B6" w:rsidRDefault="00823B73" w:rsidP="00823B73">
      <w:pPr>
        <w:pStyle w:val="Sinespaciado"/>
        <w:spacing w:line="480" w:lineRule="auto"/>
        <w:rPr>
          <w:rFonts w:ascii="Arial" w:hAnsi="Arial" w:cs="Arial"/>
          <w:sz w:val="24"/>
          <w:szCs w:val="24"/>
          <w:lang w:val="es-ES"/>
        </w:rPr>
      </w:pPr>
    </w:p>
    <w:p w14:paraId="2B7F4A65" w14:textId="77777777" w:rsidR="00EE6AB2" w:rsidRPr="000C57B6" w:rsidRDefault="00EE6AB2" w:rsidP="00A426A3">
      <w:pPr>
        <w:pStyle w:val="Sinespaciado"/>
        <w:spacing w:line="480" w:lineRule="auto"/>
        <w:jc w:val="right"/>
        <w:rPr>
          <w:rFonts w:ascii="Arial" w:hAnsi="Arial" w:cs="Arial"/>
          <w:sz w:val="24"/>
          <w:szCs w:val="24"/>
        </w:rPr>
      </w:pPr>
      <w:r w:rsidRPr="000C57B6">
        <w:rPr>
          <w:rFonts w:ascii="Arial" w:hAnsi="Arial" w:cs="Arial"/>
          <w:sz w:val="24"/>
          <w:szCs w:val="24"/>
        </w:rPr>
        <w:t>© Se autoriza la reproducción de fragmentos de esta obra para fines académicos o de investigación, siempre que se incluya la referencia bibliográfica.</w:t>
      </w:r>
    </w:p>
    <w:p w14:paraId="6E836269" w14:textId="1AB2517E" w:rsidR="00A426A3" w:rsidRDefault="00EE6AB2">
      <w:pPr>
        <w:rPr>
          <w:rFonts w:ascii="Arial" w:eastAsia="Calibri" w:hAnsi="Arial" w:cs="Arial"/>
          <w:b/>
          <w:lang w:val="es-ES" w:eastAsia="en-US"/>
        </w:rPr>
      </w:pPr>
      <w:r>
        <w:rPr>
          <w:sz w:val="28"/>
          <w:lang w:val="es-ES"/>
        </w:rPr>
        <w:br w:type="page"/>
      </w:r>
      <w:r w:rsidR="00A426A3" w:rsidRPr="00A426A3">
        <w:rPr>
          <w:rFonts w:ascii="Arial" w:eastAsia="Calibri" w:hAnsi="Arial" w:cs="Arial"/>
          <w:b/>
          <w:lang w:val="es-ES" w:eastAsia="en-US"/>
        </w:rPr>
        <w:lastRenderedPageBreak/>
        <w:t>AGRADECIMIENTO</w:t>
      </w:r>
    </w:p>
    <w:p w14:paraId="45ED15CE" w14:textId="336A612B" w:rsidR="009F4F29" w:rsidRDefault="009F4F29">
      <w:pPr>
        <w:rPr>
          <w:sz w:val="28"/>
          <w:lang w:val="es-ES"/>
        </w:rPr>
      </w:pPr>
    </w:p>
    <w:p w14:paraId="131E8697" w14:textId="36C17E50" w:rsidR="009F4F29" w:rsidRPr="009F4F29" w:rsidRDefault="009F4F29" w:rsidP="00417A72">
      <w:pPr>
        <w:spacing w:line="480" w:lineRule="auto"/>
        <w:rPr>
          <w:rFonts w:ascii="Arial" w:hAnsi="Arial" w:cs="Arial"/>
          <w:lang w:val="es-ES"/>
        </w:rPr>
      </w:pPr>
      <w:r>
        <w:rPr>
          <w:rFonts w:ascii="Arial" w:hAnsi="Arial" w:cs="Arial"/>
          <w:lang w:val="es-ES"/>
        </w:rPr>
        <w:t xml:space="preserve">A mi tutor Jaime </w:t>
      </w:r>
      <w:proofErr w:type="spellStart"/>
      <w:r>
        <w:rPr>
          <w:rFonts w:ascii="Arial" w:hAnsi="Arial" w:cs="Arial"/>
          <w:lang w:val="es-ES"/>
        </w:rPr>
        <w:t>Leppe</w:t>
      </w:r>
      <w:proofErr w:type="spellEnd"/>
      <w:r>
        <w:rPr>
          <w:rFonts w:ascii="Arial" w:hAnsi="Arial" w:cs="Arial"/>
          <w:lang w:val="es-ES"/>
        </w:rPr>
        <w:t xml:space="preserve">, quien me </w:t>
      </w:r>
      <w:proofErr w:type="spellStart"/>
      <w:r>
        <w:rPr>
          <w:rFonts w:ascii="Arial" w:hAnsi="Arial" w:cs="Arial"/>
          <w:lang w:val="es-ES"/>
        </w:rPr>
        <w:t>guió</w:t>
      </w:r>
      <w:proofErr w:type="spellEnd"/>
      <w:r>
        <w:rPr>
          <w:rFonts w:ascii="Arial" w:hAnsi="Arial" w:cs="Arial"/>
          <w:lang w:val="es-ES"/>
        </w:rPr>
        <w:t xml:space="preserve"> en aspectos académicos</w:t>
      </w:r>
      <w:r w:rsidR="00BB7992">
        <w:rPr>
          <w:rFonts w:ascii="Arial" w:hAnsi="Arial" w:cs="Arial"/>
          <w:lang w:val="es-ES"/>
        </w:rPr>
        <w:t xml:space="preserve"> </w:t>
      </w:r>
      <w:r w:rsidR="00B10C52">
        <w:rPr>
          <w:rFonts w:ascii="Arial" w:hAnsi="Arial" w:cs="Arial"/>
          <w:lang w:val="es-ES"/>
        </w:rPr>
        <w:t xml:space="preserve">y </w:t>
      </w:r>
      <w:r w:rsidR="00BB7992">
        <w:rPr>
          <w:rFonts w:ascii="Arial" w:hAnsi="Arial" w:cs="Arial"/>
          <w:lang w:val="es-ES"/>
        </w:rPr>
        <w:t xml:space="preserve">de </w:t>
      </w:r>
      <w:proofErr w:type="spellStart"/>
      <w:r w:rsidR="00BB7992">
        <w:rPr>
          <w:rFonts w:ascii="Arial" w:hAnsi="Arial" w:cs="Arial"/>
          <w:lang w:val="es-ES"/>
        </w:rPr>
        <w:t>mentor</w:t>
      </w:r>
      <w:r w:rsidR="00D81829">
        <w:rPr>
          <w:rFonts w:ascii="Arial" w:hAnsi="Arial" w:cs="Arial"/>
          <w:lang w:val="es-ES"/>
        </w:rPr>
        <w:t>í</w:t>
      </w:r>
      <w:r w:rsidR="00BB7992">
        <w:rPr>
          <w:rFonts w:ascii="Arial" w:hAnsi="Arial" w:cs="Arial"/>
          <w:lang w:val="es-ES"/>
        </w:rPr>
        <w:t>a</w:t>
      </w:r>
      <w:proofErr w:type="spellEnd"/>
      <w:r w:rsidR="00BB7992">
        <w:rPr>
          <w:rFonts w:ascii="Arial" w:hAnsi="Arial" w:cs="Arial"/>
          <w:lang w:val="es-ES"/>
        </w:rPr>
        <w:t xml:space="preserve"> </w:t>
      </w:r>
      <w:r w:rsidR="00417A72">
        <w:rPr>
          <w:rFonts w:ascii="Arial" w:hAnsi="Arial" w:cs="Arial"/>
          <w:lang w:val="es-ES"/>
        </w:rPr>
        <w:t xml:space="preserve">durante el transcurso </w:t>
      </w:r>
      <w:r w:rsidR="00BB7992">
        <w:rPr>
          <w:rFonts w:ascii="Arial" w:hAnsi="Arial" w:cs="Arial"/>
          <w:lang w:val="es-ES"/>
        </w:rPr>
        <w:t>d</w:t>
      </w:r>
      <w:r w:rsidR="00690BCB">
        <w:rPr>
          <w:rFonts w:ascii="Arial" w:hAnsi="Arial" w:cs="Arial"/>
          <w:lang w:val="es-ES"/>
        </w:rPr>
        <w:t>el programa</w:t>
      </w:r>
      <w:r w:rsidR="0004361B">
        <w:rPr>
          <w:rFonts w:ascii="Arial" w:hAnsi="Arial" w:cs="Arial"/>
          <w:lang w:val="es-ES"/>
        </w:rPr>
        <w:t xml:space="preserve">, transmitiéndome confianza y seguridad </w:t>
      </w:r>
      <w:r w:rsidR="00F853B3">
        <w:rPr>
          <w:rFonts w:ascii="Arial" w:hAnsi="Arial" w:cs="Arial"/>
          <w:lang w:val="es-ES"/>
        </w:rPr>
        <w:t>a pesar de las adversidades</w:t>
      </w:r>
      <w:r w:rsidR="0004361B">
        <w:rPr>
          <w:rFonts w:ascii="Arial" w:hAnsi="Arial" w:cs="Arial"/>
          <w:lang w:val="es-ES"/>
        </w:rPr>
        <w:t>.</w:t>
      </w:r>
    </w:p>
    <w:p w14:paraId="162D98BC" w14:textId="7B563DBC" w:rsidR="005B4888" w:rsidRDefault="00417A72" w:rsidP="00417A72">
      <w:pPr>
        <w:spacing w:line="480" w:lineRule="auto"/>
        <w:rPr>
          <w:rFonts w:ascii="Arial" w:hAnsi="Arial" w:cs="Arial"/>
          <w:lang w:val="es-ES"/>
        </w:rPr>
      </w:pPr>
      <w:r w:rsidRPr="00417A72">
        <w:rPr>
          <w:rFonts w:ascii="Arial" w:hAnsi="Arial" w:cs="Arial"/>
          <w:lang w:val="es-ES"/>
        </w:rPr>
        <w:t>A mi cotutora Ana Cristina Castro,</w:t>
      </w:r>
      <w:r w:rsidR="00B10C52" w:rsidRPr="00B10C52">
        <w:rPr>
          <w:rFonts w:ascii="Arial" w:hAnsi="Arial" w:cs="Arial"/>
          <w:lang w:val="es-ES"/>
        </w:rPr>
        <w:t xml:space="preserve"> </w:t>
      </w:r>
      <w:r w:rsidR="00B10C52">
        <w:rPr>
          <w:rFonts w:ascii="Arial" w:hAnsi="Arial" w:cs="Arial"/>
          <w:lang w:val="es-ES"/>
        </w:rPr>
        <w:t>por su tiempo y dedicación</w:t>
      </w:r>
      <w:r w:rsidR="001C213B">
        <w:rPr>
          <w:rFonts w:ascii="Arial" w:hAnsi="Arial" w:cs="Arial"/>
          <w:lang w:val="es-ES"/>
        </w:rPr>
        <w:t>, quien</w:t>
      </w:r>
      <w:r w:rsidR="00B10C52">
        <w:rPr>
          <w:rFonts w:ascii="Arial" w:hAnsi="Arial" w:cs="Arial"/>
          <w:lang w:val="es-ES"/>
        </w:rPr>
        <w:t xml:space="preserve"> pese a la</w:t>
      </w:r>
      <w:r w:rsidR="00F853B3">
        <w:rPr>
          <w:rFonts w:ascii="Arial" w:hAnsi="Arial" w:cs="Arial"/>
          <w:lang w:val="es-ES"/>
        </w:rPr>
        <w:t>s</w:t>
      </w:r>
      <w:r w:rsidR="00B10C52">
        <w:rPr>
          <w:rFonts w:ascii="Arial" w:hAnsi="Arial" w:cs="Arial"/>
          <w:lang w:val="es-ES"/>
        </w:rPr>
        <w:t xml:space="preserve"> </w:t>
      </w:r>
      <w:r w:rsidR="00F853B3">
        <w:rPr>
          <w:rFonts w:ascii="Arial" w:hAnsi="Arial" w:cs="Arial"/>
          <w:lang w:val="es-ES"/>
        </w:rPr>
        <w:t>diferencias horarias</w:t>
      </w:r>
      <w:r w:rsidR="007D3D8B">
        <w:rPr>
          <w:rFonts w:ascii="Arial" w:hAnsi="Arial" w:cs="Arial"/>
          <w:lang w:val="es-ES"/>
        </w:rPr>
        <w:t xml:space="preserve">, </w:t>
      </w:r>
      <w:r w:rsidR="00D81829">
        <w:rPr>
          <w:rFonts w:ascii="Arial" w:hAnsi="Arial" w:cs="Arial"/>
          <w:lang w:val="es-ES"/>
        </w:rPr>
        <w:t xml:space="preserve">fue parte fundamental en </w:t>
      </w:r>
      <w:r w:rsidR="0004361B">
        <w:rPr>
          <w:rFonts w:ascii="Arial" w:hAnsi="Arial" w:cs="Arial"/>
          <w:lang w:val="es-ES"/>
        </w:rPr>
        <w:t>guiar las motivaciones que me llevaron a realizar esta investigación.</w:t>
      </w:r>
    </w:p>
    <w:p w14:paraId="07DD562A" w14:textId="3E349ED4" w:rsidR="00714E1E" w:rsidRDefault="00714E1E" w:rsidP="00417A72">
      <w:pPr>
        <w:spacing w:line="480" w:lineRule="auto"/>
        <w:rPr>
          <w:rFonts w:ascii="Arial" w:hAnsi="Arial" w:cs="Arial"/>
          <w:lang w:val="es-ES"/>
        </w:rPr>
      </w:pPr>
      <w:r>
        <w:rPr>
          <w:rFonts w:ascii="Arial" w:hAnsi="Arial" w:cs="Arial"/>
          <w:lang w:val="es-ES"/>
        </w:rPr>
        <w:t>Al cuerpo docente del Magister en Terapia Física y Rehabilitación quien</w:t>
      </w:r>
      <w:r w:rsidR="00A657BA">
        <w:rPr>
          <w:rFonts w:ascii="Arial" w:hAnsi="Arial" w:cs="Arial"/>
          <w:lang w:val="es-ES"/>
        </w:rPr>
        <w:t>es siempre tuvieron disposición a orientarme desde sus diferentes áreas de desarrollo académico</w:t>
      </w:r>
    </w:p>
    <w:p w14:paraId="03BE06BB" w14:textId="5295357C" w:rsidR="00A657BA" w:rsidRDefault="00A657BA" w:rsidP="00417A72">
      <w:pPr>
        <w:spacing w:line="480" w:lineRule="auto"/>
        <w:rPr>
          <w:rFonts w:ascii="Arial" w:hAnsi="Arial" w:cs="Arial"/>
          <w:lang w:val="es-ES"/>
        </w:rPr>
      </w:pPr>
      <w:r>
        <w:rPr>
          <w:rFonts w:ascii="Arial" w:hAnsi="Arial" w:cs="Arial"/>
          <w:lang w:val="es-ES"/>
        </w:rPr>
        <w:t xml:space="preserve">Finalmente a </w:t>
      </w:r>
      <w:r w:rsidR="00891DAB">
        <w:rPr>
          <w:rFonts w:ascii="Arial" w:hAnsi="Arial" w:cs="Arial"/>
          <w:lang w:val="es-ES"/>
        </w:rPr>
        <w:t xml:space="preserve">mi pareja, </w:t>
      </w:r>
      <w:r>
        <w:rPr>
          <w:rFonts w:ascii="Arial" w:hAnsi="Arial" w:cs="Arial"/>
          <w:lang w:val="es-ES"/>
        </w:rPr>
        <w:t xml:space="preserve">Constanza García, </w:t>
      </w:r>
      <w:r w:rsidR="00891DAB">
        <w:rPr>
          <w:rFonts w:ascii="Arial" w:hAnsi="Arial" w:cs="Arial"/>
          <w:lang w:val="es-ES"/>
        </w:rPr>
        <w:t xml:space="preserve">por su paciencia, apoyo y entendimiento durante el desarrollo de </w:t>
      </w:r>
      <w:r w:rsidR="00292DD2">
        <w:rPr>
          <w:rFonts w:ascii="Arial" w:hAnsi="Arial" w:cs="Arial"/>
          <w:lang w:val="es-ES"/>
        </w:rPr>
        <w:t xml:space="preserve">mi </w:t>
      </w:r>
      <w:r w:rsidR="00891DAB">
        <w:rPr>
          <w:rFonts w:ascii="Arial" w:hAnsi="Arial" w:cs="Arial"/>
          <w:lang w:val="es-ES"/>
        </w:rPr>
        <w:t>proceso académico</w:t>
      </w:r>
    </w:p>
    <w:p w14:paraId="2FDC5EA0" w14:textId="77777777" w:rsidR="00B10C52" w:rsidRPr="00417A72" w:rsidRDefault="00B10C52" w:rsidP="00417A72">
      <w:pPr>
        <w:spacing w:line="480" w:lineRule="auto"/>
        <w:rPr>
          <w:rFonts w:ascii="Arial" w:hAnsi="Arial" w:cs="Arial"/>
          <w:lang w:val="es-ES"/>
        </w:rPr>
      </w:pPr>
    </w:p>
    <w:p w14:paraId="04BA5D43" w14:textId="77777777" w:rsidR="005B4888" w:rsidRDefault="005B4888">
      <w:pPr>
        <w:rPr>
          <w:sz w:val="28"/>
          <w:lang w:val="es-ES"/>
        </w:rPr>
      </w:pPr>
    </w:p>
    <w:p w14:paraId="029EF811" w14:textId="77777777" w:rsidR="00572594" w:rsidRDefault="00572594">
      <w:pPr>
        <w:rPr>
          <w:sz w:val="28"/>
          <w:lang w:val="es-ES"/>
        </w:rPr>
      </w:pPr>
    </w:p>
    <w:p w14:paraId="27684E0B" w14:textId="77777777" w:rsidR="00572594" w:rsidRDefault="00572594">
      <w:pPr>
        <w:rPr>
          <w:sz w:val="28"/>
          <w:lang w:val="es-ES"/>
        </w:rPr>
      </w:pPr>
      <w:r>
        <w:rPr>
          <w:sz w:val="28"/>
          <w:lang w:val="es-ES"/>
        </w:rPr>
        <w:br w:type="page"/>
      </w:r>
    </w:p>
    <w:p w14:paraId="54428999" w14:textId="77777777" w:rsidR="00572594" w:rsidRPr="0077118F" w:rsidRDefault="00572594" w:rsidP="00572594">
      <w:pPr>
        <w:rPr>
          <w:rFonts w:ascii="Arial" w:hAnsi="Arial" w:cs="Arial"/>
          <w:b/>
          <w:lang w:val="es-ES"/>
        </w:rPr>
      </w:pPr>
      <w:r w:rsidRPr="0077118F">
        <w:rPr>
          <w:rFonts w:ascii="Arial" w:hAnsi="Arial" w:cs="Arial"/>
          <w:b/>
          <w:lang w:val="es-ES"/>
        </w:rPr>
        <w:lastRenderedPageBreak/>
        <w:t>TABLA DE CONTENIDOS</w:t>
      </w:r>
    </w:p>
    <w:p w14:paraId="47FA98AB" w14:textId="77777777" w:rsidR="00572594" w:rsidRDefault="00572594">
      <w:pPr>
        <w:rPr>
          <w:sz w:val="28"/>
          <w:lang w:val="es-ES"/>
        </w:rPr>
      </w:pPr>
    </w:p>
    <w:p w14:paraId="3B6E2BD8" w14:textId="77777777" w:rsidR="00037AB1" w:rsidRPr="0077118F" w:rsidRDefault="00037AB1" w:rsidP="00037AB1">
      <w:pPr>
        <w:spacing w:line="480" w:lineRule="auto"/>
        <w:jc w:val="right"/>
        <w:rPr>
          <w:rFonts w:ascii="Arial" w:hAnsi="Arial" w:cs="Arial"/>
          <w:lang w:val="es-ES"/>
        </w:rPr>
      </w:pPr>
      <w:r w:rsidRPr="0077118F">
        <w:rPr>
          <w:rFonts w:ascii="Arial" w:hAnsi="Arial" w:cs="Arial"/>
          <w:lang w:val="es-ES"/>
        </w:rPr>
        <w:t>AGRADECIMIENTOS ……………………………………………...……………….…ii</w:t>
      </w:r>
    </w:p>
    <w:p w14:paraId="0C94C088" w14:textId="1199C80B" w:rsidR="00037AB1" w:rsidRPr="0077118F" w:rsidRDefault="00037AB1" w:rsidP="00037AB1">
      <w:pPr>
        <w:spacing w:line="480" w:lineRule="auto"/>
        <w:rPr>
          <w:rFonts w:ascii="Arial" w:hAnsi="Arial" w:cs="Arial"/>
          <w:lang w:val="es-ES"/>
        </w:rPr>
      </w:pPr>
      <w:r w:rsidRPr="0077118F">
        <w:rPr>
          <w:rFonts w:ascii="Arial" w:hAnsi="Arial" w:cs="Arial"/>
          <w:lang w:val="es-ES"/>
        </w:rPr>
        <w:t>TABLA DE CONTENIDOS ………………………………...……………………</w:t>
      </w:r>
      <w:r w:rsidR="00C21FB3">
        <w:rPr>
          <w:rFonts w:ascii="Arial" w:hAnsi="Arial" w:cs="Arial"/>
          <w:lang w:val="es-ES"/>
        </w:rPr>
        <w:t>…</w:t>
      </w:r>
      <w:r w:rsidRPr="0077118F">
        <w:rPr>
          <w:rFonts w:ascii="Arial" w:hAnsi="Arial" w:cs="Arial"/>
          <w:lang w:val="es-ES"/>
        </w:rPr>
        <w:t>iii</w:t>
      </w:r>
      <w:r w:rsidR="00C21FB3">
        <w:rPr>
          <w:rFonts w:ascii="Arial" w:hAnsi="Arial" w:cs="Arial"/>
          <w:lang w:val="es-ES"/>
        </w:rPr>
        <w:t>-iv</w:t>
      </w:r>
    </w:p>
    <w:p w14:paraId="41AAEAB0" w14:textId="539C0DC3" w:rsidR="00037AB1" w:rsidRPr="005D2E9E" w:rsidRDefault="0061377D" w:rsidP="0061377D">
      <w:pPr>
        <w:spacing w:line="480" w:lineRule="auto"/>
        <w:rPr>
          <w:rFonts w:ascii="Arial" w:hAnsi="Arial" w:cs="Arial"/>
        </w:rPr>
      </w:pPr>
      <w:r w:rsidRPr="005D2E9E">
        <w:rPr>
          <w:rFonts w:ascii="Arial" w:hAnsi="Arial" w:cs="Arial"/>
        </w:rPr>
        <w:t xml:space="preserve">LISTA DE </w:t>
      </w:r>
      <w:r w:rsidR="00037AB1" w:rsidRPr="005D2E9E">
        <w:rPr>
          <w:rFonts w:ascii="Arial" w:hAnsi="Arial" w:cs="Arial"/>
        </w:rPr>
        <w:t>ABREVIATURA…………………</w:t>
      </w:r>
      <w:r w:rsidRPr="005D2E9E">
        <w:rPr>
          <w:rFonts w:ascii="Arial" w:hAnsi="Arial" w:cs="Arial"/>
        </w:rPr>
        <w:t>...</w:t>
      </w:r>
      <w:r w:rsidR="00037AB1" w:rsidRPr="005D2E9E">
        <w:rPr>
          <w:rFonts w:ascii="Arial" w:hAnsi="Arial" w:cs="Arial"/>
        </w:rPr>
        <w:t>……………………………………….v</w:t>
      </w:r>
    </w:p>
    <w:p w14:paraId="54FA2E23" w14:textId="65DAD525" w:rsidR="00037AB1" w:rsidRDefault="00037AB1" w:rsidP="006860AC">
      <w:pPr>
        <w:spacing w:line="480" w:lineRule="auto"/>
        <w:rPr>
          <w:rFonts w:ascii="Arial" w:hAnsi="Arial" w:cs="Arial"/>
        </w:rPr>
      </w:pPr>
      <w:r w:rsidRPr="005D2E9E">
        <w:rPr>
          <w:rFonts w:ascii="Arial" w:hAnsi="Arial" w:cs="Arial"/>
        </w:rPr>
        <w:t xml:space="preserve">RESUMEN </w:t>
      </w:r>
      <w:r w:rsidR="006860AC">
        <w:rPr>
          <w:rFonts w:ascii="Arial" w:hAnsi="Arial" w:cs="Arial"/>
        </w:rPr>
        <w:t>..</w:t>
      </w:r>
      <w:r w:rsidRPr="005D2E9E">
        <w:rPr>
          <w:rFonts w:ascii="Arial" w:hAnsi="Arial" w:cs="Arial"/>
        </w:rPr>
        <w:t>…………...……………………………………………………</w:t>
      </w:r>
      <w:r w:rsidR="00C21FB3">
        <w:rPr>
          <w:rFonts w:ascii="Arial" w:hAnsi="Arial" w:cs="Arial"/>
        </w:rPr>
        <w:t>..</w:t>
      </w:r>
      <w:r w:rsidRPr="005D2E9E">
        <w:rPr>
          <w:rFonts w:ascii="Arial" w:hAnsi="Arial" w:cs="Arial"/>
        </w:rPr>
        <w:t>…</w:t>
      </w:r>
      <w:r w:rsidR="006F33AE">
        <w:rPr>
          <w:rFonts w:ascii="Arial" w:hAnsi="Arial" w:cs="Arial"/>
        </w:rPr>
        <w:t>…</w:t>
      </w:r>
      <w:r w:rsidRPr="005D2E9E">
        <w:rPr>
          <w:rFonts w:ascii="Arial" w:hAnsi="Arial" w:cs="Arial"/>
        </w:rPr>
        <w:t>v</w:t>
      </w:r>
      <w:r w:rsidR="00C21FB3">
        <w:rPr>
          <w:rFonts w:ascii="Arial" w:hAnsi="Arial" w:cs="Arial"/>
        </w:rPr>
        <w:t>i</w:t>
      </w:r>
      <w:r w:rsidR="006860AC">
        <w:rPr>
          <w:rFonts w:ascii="Arial" w:hAnsi="Arial" w:cs="Arial"/>
        </w:rPr>
        <w:t>- vi</w:t>
      </w:r>
      <w:r w:rsidR="006F33AE">
        <w:rPr>
          <w:rFonts w:ascii="Arial" w:hAnsi="Arial" w:cs="Arial"/>
        </w:rPr>
        <w:t>i</w:t>
      </w:r>
    </w:p>
    <w:p w14:paraId="0CF45C2C" w14:textId="7657ECD4" w:rsidR="006860AC" w:rsidRDefault="006860AC" w:rsidP="006860AC">
      <w:pPr>
        <w:spacing w:line="480" w:lineRule="auto"/>
        <w:rPr>
          <w:rFonts w:ascii="Arial" w:hAnsi="Arial" w:cs="Arial"/>
        </w:rPr>
      </w:pPr>
      <w:r>
        <w:rPr>
          <w:rFonts w:ascii="Arial" w:hAnsi="Arial" w:cs="Arial"/>
        </w:rPr>
        <w:t>INTRODUCCIÓN………</w:t>
      </w:r>
      <w:r w:rsidR="000F4730">
        <w:rPr>
          <w:rFonts w:ascii="Arial" w:hAnsi="Arial" w:cs="Arial"/>
        </w:rPr>
        <w:t>…………………………………………………………….1-4</w:t>
      </w:r>
    </w:p>
    <w:p w14:paraId="26257588" w14:textId="7E1992A7" w:rsidR="000F4730" w:rsidRDefault="000F4730" w:rsidP="006860AC">
      <w:pPr>
        <w:spacing w:line="480" w:lineRule="auto"/>
        <w:rPr>
          <w:rFonts w:ascii="Arial" w:hAnsi="Arial" w:cs="Arial"/>
        </w:rPr>
      </w:pPr>
      <w:r>
        <w:rPr>
          <w:rFonts w:ascii="Arial" w:hAnsi="Arial" w:cs="Arial"/>
        </w:rPr>
        <w:t>MATERIALES Y MÉTODOS…</w:t>
      </w:r>
      <w:r w:rsidR="00D2540C">
        <w:rPr>
          <w:rFonts w:ascii="Arial" w:hAnsi="Arial" w:cs="Arial"/>
        </w:rPr>
        <w:t>……………………………………………………..5-7</w:t>
      </w:r>
    </w:p>
    <w:p w14:paraId="361C1EA8" w14:textId="2042E215" w:rsidR="00D2540C" w:rsidRDefault="00D2540C" w:rsidP="006860AC">
      <w:pPr>
        <w:spacing w:line="480" w:lineRule="auto"/>
        <w:rPr>
          <w:rFonts w:ascii="Arial" w:hAnsi="Arial" w:cs="Arial"/>
        </w:rPr>
      </w:pPr>
      <w:r>
        <w:rPr>
          <w:rFonts w:ascii="Arial" w:hAnsi="Arial" w:cs="Arial"/>
        </w:rPr>
        <w:tab/>
        <w:t>Mediciones y resultados principales………………………………………….6</w:t>
      </w:r>
    </w:p>
    <w:p w14:paraId="40E7FB0C" w14:textId="2884AC2E" w:rsidR="00D2540C" w:rsidRDefault="00D2540C" w:rsidP="006860AC">
      <w:pPr>
        <w:spacing w:line="480" w:lineRule="auto"/>
        <w:rPr>
          <w:rFonts w:ascii="Arial" w:hAnsi="Arial" w:cs="Arial"/>
        </w:rPr>
      </w:pPr>
      <w:r>
        <w:rPr>
          <w:rFonts w:ascii="Arial" w:hAnsi="Arial" w:cs="Arial"/>
        </w:rPr>
        <w:tab/>
        <w:t>Encuesta administrativa ………………………………………………………6</w:t>
      </w:r>
    </w:p>
    <w:p w14:paraId="4F0D2278" w14:textId="78C03B46" w:rsidR="00D2540C" w:rsidRDefault="00D2540C" w:rsidP="006860AC">
      <w:pPr>
        <w:spacing w:line="480" w:lineRule="auto"/>
        <w:rPr>
          <w:rFonts w:ascii="Arial" w:hAnsi="Arial" w:cs="Arial"/>
        </w:rPr>
      </w:pPr>
      <w:r>
        <w:rPr>
          <w:rFonts w:ascii="Arial" w:hAnsi="Arial" w:cs="Arial"/>
        </w:rPr>
        <w:tab/>
        <w:t>Análisis estadístico</w:t>
      </w:r>
      <w:r w:rsidR="00AF4095">
        <w:rPr>
          <w:rFonts w:ascii="Arial" w:hAnsi="Arial" w:cs="Arial"/>
        </w:rPr>
        <w:t>…………………………………………………………..6-7</w:t>
      </w:r>
    </w:p>
    <w:p w14:paraId="754A54AB" w14:textId="27BFAF34" w:rsidR="00AF4095" w:rsidRDefault="00AF4095" w:rsidP="006860AC">
      <w:pPr>
        <w:spacing w:line="480" w:lineRule="auto"/>
        <w:rPr>
          <w:rFonts w:ascii="Arial" w:hAnsi="Arial" w:cs="Arial"/>
        </w:rPr>
      </w:pPr>
      <w:r>
        <w:rPr>
          <w:rFonts w:ascii="Arial" w:hAnsi="Arial" w:cs="Arial"/>
        </w:rPr>
        <w:t>RESULTADOS…………………</w:t>
      </w:r>
      <w:r w:rsidR="005B216D">
        <w:rPr>
          <w:rFonts w:ascii="Arial" w:hAnsi="Arial" w:cs="Arial"/>
        </w:rPr>
        <w:t>…………………………………………………</w:t>
      </w:r>
      <w:r w:rsidR="00C54653">
        <w:rPr>
          <w:rFonts w:ascii="Arial" w:hAnsi="Arial" w:cs="Arial"/>
        </w:rPr>
        <w:t>...</w:t>
      </w:r>
      <w:r>
        <w:rPr>
          <w:rFonts w:ascii="Arial" w:hAnsi="Arial" w:cs="Arial"/>
        </w:rPr>
        <w:t>7</w:t>
      </w:r>
      <w:r w:rsidR="00C54653">
        <w:rPr>
          <w:rFonts w:ascii="Arial" w:hAnsi="Arial" w:cs="Arial"/>
        </w:rPr>
        <w:t>-10</w:t>
      </w:r>
    </w:p>
    <w:p w14:paraId="39099CD9" w14:textId="47A36576" w:rsidR="005B216D" w:rsidRDefault="005B216D" w:rsidP="006860AC">
      <w:pPr>
        <w:spacing w:line="480" w:lineRule="auto"/>
        <w:rPr>
          <w:rFonts w:ascii="Arial" w:hAnsi="Arial" w:cs="Arial"/>
        </w:rPr>
      </w:pPr>
      <w:r>
        <w:rPr>
          <w:rFonts w:ascii="Arial" w:hAnsi="Arial" w:cs="Arial"/>
        </w:rPr>
        <w:tab/>
        <w:t>Características sociodemográficas de los sujetos………………………….7</w:t>
      </w:r>
    </w:p>
    <w:p w14:paraId="6FE9509C" w14:textId="00DADEF7" w:rsidR="005B216D" w:rsidRDefault="005B216D" w:rsidP="005B216D">
      <w:pPr>
        <w:spacing w:line="480" w:lineRule="auto"/>
        <w:rPr>
          <w:rFonts w:ascii="Arial" w:hAnsi="Arial" w:cs="Arial"/>
          <w:lang w:val="es-ES"/>
        </w:rPr>
      </w:pPr>
      <w:r>
        <w:rPr>
          <w:rFonts w:ascii="Arial" w:hAnsi="Arial" w:cs="Arial"/>
        </w:rPr>
        <w:tab/>
      </w:r>
      <w:r w:rsidRPr="005B216D">
        <w:rPr>
          <w:rFonts w:ascii="Arial" w:hAnsi="Arial" w:cs="Arial"/>
          <w:lang w:val="es-ES"/>
        </w:rPr>
        <w:t>Elemento “A”; Evaluación del Dolor</w:t>
      </w:r>
      <w:r>
        <w:rPr>
          <w:rFonts w:ascii="Arial" w:hAnsi="Arial" w:cs="Arial"/>
          <w:lang w:val="es-ES"/>
        </w:rPr>
        <w:t>…………………………………………</w:t>
      </w:r>
      <w:r w:rsidR="00C54653">
        <w:rPr>
          <w:rFonts w:ascii="Arial" w:hAnsi="Arial" w:cs="Arial"/>
          <w:lang w:val="es-ES"/>
        </w:rPr>
        <w:t>10</w:t>
      </w:r>
    </w:p>
    <w:p w14:paraId="5F6C0D5C" w14:textId="674D3823" w:rsidR="00C26035" w:rsidRDefault="00C26035" w:rsidP="00C26035">
      <w:pPr>
        <w:spacing w:line="480" w:lineRule="auto"/>
        <w:rPr>
          <w:rFonts w:ascii="Arial" w:hAnsi="Arial" w:cs="Arial"/>
        </w:rPr>
      </w:pPr>
      <w:r>
        <w:rPr>
          <w:rFonts w:ascii="Arial" w:hAnsi="Arial" w:cs="Arial"/>
          <w:lang w:val="es-ES"/>
        </w:rPr>
        <w:tab/>
      </w:r>
      <w:r w:rsidRPr="00C26035">
        <w:rPr>
          <w:rFonts w:ascii="Arial" w:hAnsi="Arial" w:cs="Arial"/>
        </w:rPr>
        <w:t>Elemento “B1”; Prueba de interrupción de la sedación (PIS)</w:t>
      </w:r>
      <w:r>
        <w:rPr>
          <w:rFonts w:ascii="Arial" w:hAnsi="Arial" w:cs="Arial"/>
        </w:rPr>
        <w:t>……………</w:t>
      </w:r>
      <w:r w:rsidR="00C54653">
        <w:rPr>
          <w:rFonts w:ascii="Arial" w:hAnsi="Arial" w:cs="Arial"/>
        </w:rPr>
        <w:t>10</w:t>
      </w:r>
    </w:p>
    <w:p w14:paraId="189633D6" w14:textId="25A98B76" w:rsidR="00C26035" w:rsidRDefault="00C26035" w:rsidP="00C26035">
      <w:pPr>
        <w:spacing w:line="480" w:lineRule="auto"/>
        <w:rPr>
          <w:rFonts w:ascii="Arial" w:hAnsi="Arial" w:cs="Arial"/>
        </w:rPr>
      </w:pPr>
      <w:r>
        <w:rPr>
          <w:rFonts w:ascii="Arial" w:hAnsi="Arial" w:cs="Arial"/>
        </w:rPr>
        <w:tab/>
      </w:r>
      <w:r w:rsidRPr="00C26035">
        <w:rPr>
          <w:rFonts w:ascii="Arial" w:hAnsi="Arial" w:cs="Arial"/>
        </w:rPr>
        <w:t>Elemento “B2”; Prueba de ventilación espontánea (PVE)</w:t>
      </w:r>
      <w:r>
        <w:rPr>
          <w:rFonts w:ascii="Arial" w:hAnsi="Arial" w:cs="Arial"/>
        </w:rPr>
        <w:t>……………</w:t>
      </w:r>
      <w:r w:rsidR="00C54653">
        <w:rPr>
          <w:rFonts w:ascii="Arial" w:hAnsi="Arial" w:cs="Arial"/>
        </w:rPr>
        <w:t>…..10</w:t>
      </w:r>
    </w:p>
    <w:p w14:paraId="356765E9" w14:textId="59C31B65" w:rsidR="00C26035" w:rsidRDefault="00C26035" w:rsidP="00C26035">
      <w:pPr>
        <w:spacing w:line="480" w:lineRule="auto"/>
        <w:rPr>
          <w:rFonts w:ascii="Arial" w:hAnsi="Arial" w:cs="Arial"/>
        </w:rPr>
      </w:pPr>
      <w:r>
        <w:rPr>
          <w:rFonts w:ascii="Arial" w:hAnsi="Arial" w:cs="Arial"/>
        </w:rPr>
        <w:tab/>
      </w:r>
      <w:r w:rsidRPr="00C26035">
        <w:rPr>
          <w:rFonts w:ascii="Arial" w:hAnsi="Arial" w:cs="Arial"/>
        </w:rPr>
        <w:t>Elemento “C”; Elección de la sedación</w:t>
      </w:r>
      <w:r>
        <w:rPr>
          <w:rFonts w:ascii="Arial" w:hAnsi="Arial" w:cs="Arial"/>
        </w:rPr>
        <w:t xml:space="preserve"> …………………………………….</w:t>
      </w:r>
      <w:r w:rsidR="00453F13">
        <w:rPr>
          <w:rFonts w:ascii="Arial" w:hAnsi="Arial" w:cs="Arial"/>
        </w:rPr>
        <w:t>11</w:t>
      </w:r>
    </w:p>
    <w:p w14:paraId="6FBCF8B8" w14:textId="1355D39B" w:rsidR="00B46192" w:rsidRDefault="00B46192" w:rsidP="00B46192">
      <w:pPr>
        <w:spacing w:line="480" w:lineRule="auto"/>
        <w:ind w:firstLine="708"/>
        <w:rPr>
          <w:rFonts w:ascii="Arial" w:hAnsi="Arial" w:cs="Arial"/>
        </w:rPr>
      </w:pPr>
      <w:r w:rsidRPr="00B46192">
        <w:rPr>
          <w:rFonts w:ascii="Arial" w:hAnsi="Arial" w:cs="Arial"/>
        </w:rPr>
        <w:t>Elemento “D”; Evaluación, seguimiento y tratamiento del delirio</w:t>
      </w:r>
      <w:r>
        <w:rPr>
          <w:rFonts w:ascii="Arial" w:hAnsi="Arial" w:cs="Arial"/>
        </w:rPr>
        <w:t>………</w:t>
      </w:r>
      <w:r w:rsidR="00453F13">
        <w:rPr>
          <w:rFonts w:ascii="Arial" w:hAnsi="Arial" w:cs="Arial"/>
        </w:rPr>
        <w:t>..11</w:t>
      </w:r>
    </w:p>
    <w:p w14:paraId="37F42126" w14:textId="7AB3B333" w:rsidR="00B46192" w:rsidRDefault="00B46192" w:rsidP="00B46192">
      <w:pPr>
        <w:spacing w:line="480" w:lineRule="auto"/>
        <w:ind w:firstLine="708"/>
        <w:rPr>
          <w:rFonts w:ascii="Arial" w:hAnsi="Arial" w:cs="Arial"/>
        </w:rPr>
      </w:pPr>
      <w:r w:rsidRPr="00B46192">
        <w:rPr>
          <w:rFonts w:ascii="Arial" w:hAnsi="Arial" w:cs="Arial"/>
        </w:rPr>
        <w:t>Elemento “E”; Movilización temprana</w:t>
      </w:r>
      <w:r>
        <w:rPr>
          <w:rFonts w:ascii="Arial" w:hAnsi="Arial" w:cs="Arial"/>
        </w:rPr>
        <w:t>………………………………………</w:t>
      </w:r>
      <w:r w:rsidR="00453F13">
        <w:rPr>
          <w:rFonts w:ascii="Arial" w:hAnsi="Arial" w:cs="Arial"/>
        </w:rPr>
        <w:t>11</w:t>
      </w:r>
    </w:p>
    <w:p w14:paraId="71B16900" w14:textId="050948CD" w:rsidR="00B46192" w:rsidRDefault="00B46192" w:rsidP="00B46192">
      <w:pPr>
        <w:spacing w:line="480" w:lineRule="auto"/>
        <w:ind w:firstLine="708"/>
        <w:rPr>
          <w:rFonts w:ascii="Arial" w:hAnsi="Arial" w:cs="Arial"/>
        </w:rPr>
      </w:pPr>
      <w:r w:rsidRPr="00B46192">
        <w:rPr>
          <w:rFonts w:ascii="Arial" w:hAnsi="Arial" w:cs="Arial"/>
        </w:rPr>
        <w:t>Elemento “F”; Empoderamiento familiar</w:t>
      </w:r>
      <w:r>
        <w:rPr>
          <w:rFonts w:ascii="Arial" w:hAnsi="Arial" w:cs="Arial"/>
        </w:rPr>
        <w:t xml:space="preserve"> …………………………………</w:t>
      </w:r>
      <w:r w:rsidR="00453F13">
        <w:rPr>
          <w:rFonts w:ascii="Arial" w:hAnsi="Arial" w:cs="Arial"/>
        </w:rPr>
        <w:t>...12</w:t>
      </w:r>
    </w:p>
    <w:p w14:paraId="1EEFDDE7" w14:textId="772B6754" w:rsidR="00944EA0" w:rsidRDefault="00944EA0" w:rsidP="00944EA0">
      <w:pPr>
        <w:spacing w:line="480" w:lineRule="auto"/>
        <w:ind w:left="708"/>
        <w:rPr>
          <w:rFonts w:ascii="Arial" w:hAnsi="Arial" w:cs="Arial"/>
          <w:lang w:val="es-ES"/>
        </w:rPr>
      </w:pPr>
      <w:r w:rsidRPr="00944EA0">
        <w:rPr>
          <w:rFonts w:ascii="Arial" w:hAnsi="Arial" w:cs="Arial"/>
          <w:lang w:val="es-ES"/>
        </w:rPr>
        <w:t>Resultado encuesta administrativa a profesionales UCI quirúrgica adulto</w:t>
      </w:r>
      <w:r>
        <w:rPr>
          <w:rFonts w:ascii="Arial" w:hAnsi="Arial" w:cs="Arial"/>
          <w:lang w:val="es-ES"/>
        </w:rPr>
        <w:t>…………………………………………………………………………...1</w:t>
      </w:r>
      <w:r w:rsidR="00453F13">
        <w:rPr>
          <w:rFonts w:ascii="Arial" w:hAnsi="Arial" w:cs="Arial"/>
          <w:lang w:val="es-ES"/>
        </w:rPr>
        <w:t>2</w:t>
      </w:r>
    </w:p>
    <w:p w14:paraId="566B8593" w14:textId="71823D27" w:rsidR="00944EA0" w:rsidRDefault="00944EA0" w:rsidP="00944EA0">
      <w:pPr>
        <w:spacing w:line="480" w:lineRule="auto"/>
        <w:rPr>
          <w:rFonts w:ascii="Arial" w:hAnsi="Arial" w:cs="Arial"/>
          <w:lang w:val="es-ES"/>
        </w:rPr>
      </w:pPr>
      <w:r w:rsidRPr="00830E52">
        <w:rPr>
          <w:rFonts w:ascii="Arial" w:hAnsi="Arial" w:cs="Arial"/>
          <w:lang w:val="es-ES"/>
        </w:rPr>
        <w:t>DISCUSIÓ</w:t>
      </w:r>
      <w:r w:rsidR="00830E52" w:rsidRPr="00830E52">
        <w:rPr>
          <w:rFonts w:ascii="Arial" w:hAnsi="Arial" w:cs="Arial"/>
          <w:lang w:val="es-ES"/>
        </w:rPr>
        <w:t>N……………………………………………………………………….1</w:t>
      </w:r>
      <w:r w:rsidR="00453F13">
        <w:rPr>
          <w:rFonts w:ascii="Arial" w:hAnsi="Arial" w:cs="Arial"/>
          <w:lang w:val="es-ES"/>
        </w:rPr>
        <w:t>2</w:t>
      </w:r>
      <w:r w:rsidR="00830E52" w:rsidRPr="00830E52">
        <w:rPr>
          <w:rFonts w:ascii="Arial" w:hAnsi="Arial" w:cs="Arial"/>
          <w:lang w:val="es-ES"/>
        </w:rPr>
        <w:t>-1</w:t>
      </w:r>
      <w:r w:rsidR="00453F13">
        <w:rPr>
          <w:rFonts w:ascii="Arial" w:hAnsi="Arial" w:cs="Arial"/>
          <w:lang w:val="es-ES"/>
        </w:rPr>
        <w:t>9</w:t>
      </w:r>
    </w:p>
    <w:p w14:paraId="4BC22BD9" w14:textId="537C7BB0" w:rsidR="00830E52" w:rsidRDefault="00830E52" w:rsidP="00944EA0">
      <w:pPr>
        <w:spacing w:line="480" w:lineRule="auto"/>
        <w:rPr>
          <w:rFonts w:ascii="Arial" w:hAnsi="Arial" w:cs="Arial"/>
          <w:lang w:val="es-ES"/>
        </w:rPr>
      </w:pPr>
      <w:r>
        <w:rPr>
          <w:rFonts w:ascii="Arial" w:hAnsi="Arial" w:cs="Arial"/>
          <w:lang w:val="es-ES"/>
        </w:rPr>
        <w:lastRenderedPageBreak/>
        <w:tab/>
        <w:t>Limitaciones……………………………………………………………………1</w:t>
      </w:r>
      <w:r w:rsidR="00453F13">
        <w:rPr>
          <w:rFonts w:ascii="Arial" w:hAnsi="Arial" w:cs="Arial"/>
          <w:lang w:val="es-ES"/>
        </w:rPr>
        <w:t>8</w:t>
      </w:r>
    </w:p>
    <w:p w14:paraId="193593AC" w14:textId="054076E3" w:rsidR="00830E52" w:rsidRDefault="00830E52" w:rsidP="00944EA0">
      <w:pPr>
        <w:spacing w:line="480" w:lineRule="auto"/>
        <w:rPr>
          <w:rFonts w:ascii="Arial" w:hAnsi="Arial" w:cs="Arial"/>
          <w:lang w:val="es-ES"/>
        </w:rPr>
      </w:pPr>
      <w:r>
        <w:rPr>
          <w:rFonts w:ascii="Arial" w:hAnsi="Arial" w:cs="Arial"/>
          <w:lang w:val="es-ES"/>
        </w:rPr>
        <w:tab/>
        <w:t>Futuras investigaciones………………………………………………………1</w:t>
      </w:r>
      <w:r w:rsidR="00453F13">
        <w:rPr>
          <w:rFonts w:ascii="Arial" w:hAnsi="Arial" w:cs="Arial"/>
          <w:lang w:val="es-ES"/>
        </w:rPr>
        <w:t>9</w:t>
      </w:r>
    </w:p>
    <w:p w14:paraId="3B68588D" w14:textId="55B2E416" w:rsidR="00830E52" w:rsidRDefault="00830E52" w:rsidP="00944EA0">
      <w:pPr>
        <w:spacing w:line="480" w:lineRule="auto"/>
        <w:rPr>
          <w:rFonts w:ascii="Arial" w:hAnsi="Arial" w:cs="Arial"/>
          <w:lang w:val="es-ES"/>
        </w:rPr>
      </w:pPr>
      <w:r>
        <w:rPr>
          <w:rFonts w:ascii="Arial" w:hAnsi="Arial" w:cs="Arial"/>
          <w:lang w:val="es-ES"/>
        </w:rPr>
        <w:t>CONCLUSIÓN…………………………………………………………………….1</w:t>
      </w:r>
      <w:r w:rsidR="00AE15B4">
        <w:rPr>
          <w:rFonts w:ascii="Arial" w:hAnsi="Arial" w:cs="Arial"/>
          <w:lang w:val="es-ES"/>
        </w:rPr>
        <w:t>9</w:t>
      </w:r>
      <w:r>
        <w:rPr>
          <w:rFonts w:ascii="Arial" w:hAnsi="Arial" w:cs="Arial"/>
          <w:lang w:val="es-ES"/>
        </w:rPr>
        <w:t>-</w:t>
      </w:r>
      <w:r w:rsidR="00AE15B4">
        <w:rPr>
          <w:rFonts w:ascii="Arial" w:hAnsi="Arial" w:cs="Arial"/>
          <w:lang w:val="es-ES"/>
        </w:rPr>
        <w:t>20</w:t>
      </w:r>
    </w:p>
    <w:p w14:paraId="4303AAD9" w14:textId="7B3D816B" w:rsidR="00C21FB3" w:rsidRDefault="00C21FB3" w:rsidP="00944EA0">
      <w:pPr>
        <w:spacing w:line="480" w:lineRule="auto"/>
        <w:rPr>
          <w:rFonts w:ascii="Arial" w:hAnsi="Arial" w:cs="Arial"/>
          <w:lang w:val="es-ES"/>
        </w:rPr>
      </w:pPr>
      <w:r>
        <w:rPr>
          <w:rFonts w:ascii="Arial" w:hAnsi="Arial" w:cs="Arial"/>
          <w:lang w:val="es-ES"/>
        </w:rPr>
        <w:t>BIBLIOGRAFÍA……………………………………………………………………</w:t>
      </w:r>
      <w:r w:rsidR="00AE15B4">
        <w:rPr>
          <w:rFonts w:ascii="Arial" w:hAnsi="Arial" w:cs="Arial"/>
          <w:lang w:val="es-ES"/>
        </w:rPr>
        <w:t>21</w:t>
      </w:r>
      <w:r>
        <w:rPr>
          <w:rFonts w:ascii="Arial" w:hAnsi="Arial" w:cs="Arial"/>
          <w:lang w:val="es-ES"/>
        </w:rPr>
        <w:t>-2</w:t>
      </w:r>
      <w:r w:rsidR="00AE15B4">
        <w:rPr>
          <w:rFonts w:ascii="Arial" w:hAnsi="Arial" w:cs="Arial"/>
          <w:lang w:val="es-ES"/>
        </w:rPr>
        <w:t>6</w:t>
      </w:r>
    </w:p>
    <w:p w14:paraId="019AEB06" w14:textId="3F1125A1" w:rsidR="00AE15B4" w:rsidRDefault="00AE15B4" w:rsidP="00944EA0">
      <w:pPr>
        <w:spacing w:line="480" w:lineRule="auto"/>
        <w:rPr>
          <w:rFonts w:ascii="Arial" w:hAnsi="Arial" w:cs="Arial"/>
          <w:lang w:val="es-ES"/>
        </w:rPr>
      </w:pPr>
      <w:r>
        <w:rPr>
          <w:rFonts w:ascii="Arial" w:hAnsi="Arial" w:cs="Arial"/>
          <w:lang w:val="es-ES"/>
        </w:rPr>
        <w:t>TABLAS E ILUSTRACIONES…………………………………………………...27-32</w:t>
      </w:r>
    </w:p>
    <w:p w14:paraId="251A67E1" w14:textId="3D10D01D" w:rsidR="00D92575" w:rsidRDefault="00D92575" w:rsidP="00944EA0">
      <w:pPr>
        <w:spacing w:line="480" w:lineRule="auto"/>
        <w:rPr>
          <w:rFonts w:ascii="Arial" w:hAnsi="Arial" w:cs="Arial"/>
          <w:lang w:val="es-ES"/>
        </w:rPr>
      </w:pPr>
      <w:r>
        <w:rPr>
          <w:rFonts w:ascii="Arial" w:hAnsi="Arial" w:cs="Arial"/>
          <w:lang w:val="es-ES"/>
        </w:rPr>
        <w:t>ANEXO</w:t>
      </w:r>
      <w:r w:rsidR="001D2E35">
        <w:rPr>
          <w:rFonts w:ascii="Arial" w:hAnsi="Arial" w:cs="Arial"/>
          <w:lang w:val="es-ES"/>
        </w:rPr>
        <w:t>S…………………………………………………………………</w:t>
      </w:r>
      <w:r w:rsidR="00AE15B4">
        <w:rPr>
          <w:rFonts w:ascii="Arial" w:hAnsi="Arial" w:cs="Arial"/>
          <w:lang w:val="es-ES"/>
        </w:rPr>
        <w:t>………...33-3</w:t>
      </w:r>
      <w:r w:rsidR="00504722">
        <w:rPr>
          <w:rFonts w:ascii="Arial" w:hAnsi="Arial" w:cs="Arial"/>
          <w:lang w:val="es-ES"/>
        </w:rPr>
        <w:t>9</w:t>
      </w:r>
    </w:p>
    <w:p w14:paraId="5B3264D8" w14:textId="7F1444E8" w:rsidR="00AE15B4" w:rsidRDefault="00AE15B4" w:rsidP="00944EA0">
      <w:pPr>
        <w:spacing w:line="480" w:lineRule="auto"/>
        <w:rPr>
          <w:rFonts w:ascii="Arial" w:hAnsi="Arial" w:cs="Arial"/>
          <w:lang w:val="es-ES"/>
        </w:rPr>
      </w:pPr>
      <w:r>
        <w:rPr>
          <w:rFonts w:ascii="Arial" w:hAnsi="Arial" w:cs="Arial"/>
          <w:lang w:val="es-ES"/>
        </w:rPr>
        <w:tab/>
        <w:t>ANEXO Método……………………………………………………………33-34</w:t>
      </w:r>
    </w:p>
    <w:p w14:paraId="1AEC190E" w14:textId="006BFA5B" w:rsidR="00AE15B4" w:rsidRDefault="00AE15B4" w:rsidP="00FB4ECD">
      <w:pPr>
        <w:spacing w:line="480" w:lineRule="auto"/>
        <w:ind w:left="708"/>
        <w:rPr>
          <w:rFonts w:ascii="Arial" w:hAnsi="Arial" w:cs="Arial"/>
          <w:lang w:val="es-ES"/>
        </w:rPr>
      </w:pPr>
      <w:r>
        <w:rPr>
          <w:rFonts w:ascii="Arial" w:hAnsi="Arial" w:cs="Arial"/>
          <w:lang w:val="es-ES"/>
        </w:rPr>
        <w:t xml:space="preserve">ANEXO </w:t>
      </w:r>
      <w:r w:rsidR="00FB4ECD" w:rsidRPr="004F2FE1">
        <w:rPr>
          <w:rFonts w:ascii="Arial" w:hAnsi="Arial" w:cs="Arial"/>
        </w:rPr>
        <w:t>Definiciones operacionales del cumplimiento del “bundle”ABCDEF</w:t>
      </w:r>
      <w:r w:rsidR="00FB4ECD" w:rsidRPr="00FB4ECD">
        <w:rPr>
          <w:rFonts w:ascii="Arial" w:hAnsi="Arial" w:cs="Arial"/>
          <w:lang w:val="es-ES"/>
        </w:rPr>
        <w:t xml:space="preserve"> </w:t>
      </w:r>
      <w:r w:rsidR="00FB4ECD">
        <w:rPr>
          <w:rFonts w:ascii="Arial" w:hAnsi="Arial" w:cs="Arial"/>
          <w:lang w:val="es-ES"/>
        </w:rPr>
        <w:t>..</w:t>
      </w:r>
      <w:r w:rsidR="004F2FE1">
        <w:rPr>
          <w:rFonts w:ascii="Arial" w:hAnsi="Arial" w:cs="Arial"/>
          <w:lang w:val="es-ES"/>
        </w:rPr>
        <w:t>.</w:t>
      </w:r>
      <w:r>
        <w:rPr>
          <w:rFonts w:ascii="Arial" w:hAnsi="Arial" w:cs="Arial"/>
          <w:lang w:val="es-ES"/>
        </w:rPr>
        <w:t>………………………………………………………</w:t>
      </w:r>
      <w:r w:rsidR="005C1F51">
        <w:rPr>
          <w:rFonts w:ascii="Arial" w:hAnsi="Arial" w:cs="Arial"/>
          <w:lang w:val="es-ES"/>
        </w:rPr>
        <w:t>..</w:t>
      </w:r>
      <w:r>
        <w:rPr>
          <w:rFonts w:ascii="Arial" w:hAnsi="Arial" w:cs="Arial"/>
          <w:lang w:val="es-ES"/>
        </w:rPr>
        <w:t>…35</w:t>
      </w:r>
    </w:p>
    <w:p w14:paraId="077E8617" w14:textId="0B06B5EB" w:rsidR="00504722" w:rsidRDefault="00504722" w:rsidP="00944EA0">
      <w:pPr>
        <w:spacing w:line="480" w:lineRule="auto"/>
        <w:rPr>
          <w:rFonts w:ascii="Arial" w:hAnsi="Arial" w:cs="Arial"/>
          <w:lang w:val="es-ES"/>
        </w:rPr>
      </w:pPr>
      <w:r>
        <w:rPr>
          <w:rFonts w:ascii="Arial" w:hAnsi="Arial" w:cs="Arial"/>
          <w:lang w:val="es-ES"/>
        </w:rPr>
        <w:tab/>
        <w:t>ANEXO Resultado………………………………………………………...36-39</w:t>
      </w:r>
    </w:p>
    <w:p w14:paraId="181E2D91" w14:textId="062A185D" w:rsidR="00504722" w:rsidRPr="00830E52" w:rsidRDefault="00504722" w:rsidP="00944EA0">
      <w:pPr>
        <w:spacing w:line="480" w:lineRule="auto"/>
        <w:rPr>
          <w:rFonts w:ascii="Arial" w:hAnsi="Arial" w:cs="Arial"/>
          <w:lang w:val="es-ES"/>
        </w:rPr>
      </w:pPr>
      <w:r>
        <w:rPr>
          <w:rFonts w:ascii="Arial" w:hAnsi="Arial" w:cs="Arial"/>
          <w:lang w:val="es-ES"/>
        </w:rPr>
        <w:tab/>
      </w:r>
    </w:p>
    <w:p w14:paraId="7F17FDAB" w14:textId="77777777" w:rsidR="00944EA0" w:rsidRPr="00944EA0" w:rsidRDefault="00944EA0" w:rsidP="00944EA0">
      <w:pPr>
        <w:spacing w:line="480" w:lineRule="auto"/>
        <w:rPr>
          <w:rFonts w:ascii="Arial" w:hAnsi="Arial" w:cs="Arial"/>
          <w:lang w:val="es-ES"/>
        </w:rPr>
      </w:pPr>
    </w:p>
    <w:p w14:paraId="6A4D948D" w14:textId="77777777" w:rsidR="00944EA0" w:rsidRPr="00B46192" w:rsidRDefault="00944EA0" w:rsidP="00B46192">
      <w:pPr>
        <w:spacing w:line="480" w:lineRule="auto"/>
        <w:ind w:firstLine="708"/>
        <w:rPr>
          <w:rFonts w:ascii="Arial" w:hAnsi="Arial" w:cs="Arial"/>
          <w:lang w:val="es-ES"/>
        </w:rPr>
      </w:pPr>
    </w:p>
    <w:p w14:paraId="24667AEE" w14:textId="77777777" w:rsidR="00B46192" w:rsidRPr="00B46192" w:rsidRDefault="00B46192" w:rsidP="00B46192">
      <w:pPr>
        <w:spacing w:line="480" w:lineRule="auto"/>
        <w:ind w:firstLine="708"/>
        <w:rPr>
          <w:rFonts w:ascii="Arial" w:hAnsi="Arial" w:cs="Arial"/>
        </w:rPr>
      </w:pPr>
    </w:p>
    <w:p w14:paraId="64AD0FA4" w14:textId="77777777" w:rsidR="00B46192" w:rsidRPr="00B46192" w:rsidRDefault="00B46192" w:rsidP="00B46192">
      <w:pPr>
        <w:spacing w:line="480" w:lineRule="auto"/>
        <w:ind w:firstLine="708"/>
        <w:rPr>
          <w:rFonts w:ascii="Arial" w:hAnsi="Arial" w:cs="Arial"/>
          <w:u w:val="single"/>
        </w:rPr>
      </w:pPr>
    </w:p>
    <w:p w14:paraId="7D2C9A9C" w14:textId="77777777" w:rsidR="00C26035" w:rsidRPr="00C26035" w:rsidRDefault="00C26035" w:rsidP="00C26035">
      <w:pPr>
        <w:spacing w:line="480" w:lineRule="auto"/>
        <w:rPr>
          <w:rFonts w:ascii="Arial" w:hAnsi="Arial" w:cs="Arial"/>
        </w:rPr>
      </w:pPr>
    </w:p>
    <w:p w14:paraId="4B58861E" w14:textId="1E1E1D38" w:rsidR="00C26035" w:rsidRDefault="00C26035" w:rsidP="00C26035">
      <w:pPr>
        <w:spacing w:line="480" w:lineRule="auto"/>
        <w:rPr>
          <w:rFonts w:ascii="Arial" w:hAnsi="Arial" w:cs="Arial"/>
        </w:rPr>
      </w:pPr>
    </w:p>
    <w:p w14:paraId="183AF0F7" w14:textId="77777777" w:rsidR="00C26035" w:rsidRPr="00C26035" w:rsidRDefault="00C26035" w:rsidP="00C26035">
      <w:pPr>
        <w:spacing w:line="480" w:lineRule="auto"/>
        <w:rPr>
          <w:rFonts w:ascii="Arial" w:hAnsi="Arial" w:cs="Arial"/>
        </w:rPr>
      </w:pPr>
    </w:p>
    <w:p w14:paraId="7DB77583" w14:textId="3FE47115" w:rsidR="00C26035" w:rsidRPr="00C26035" w:rsidRDefault="00C26035" w:rsidP="00C26035">
      <w:pPr>
        <w:spacing w:line="480" w:lineRule="auto"/>
        <w:rPr>
          <w:rFonts w:ascii="Arial" w:hAnsi="Arial" w:cs="Arial"/>
        </w:rPr>
      </w:pPr>
    </w:p>
    <w:p w14:paraId="6A1B014D" w14:textId="6A848AF5" w:rsidR="005B216D" w:rsidRPr="005B216D" w:rsidRDefault="005B216D" w:rsidP="005B216D">
      <w:pPr>
        <w:spacing w:line="480" w:lineRule="auto"/>
        <w:rPr>
          <w:rFonts w:ascii="Arial" w:hAnsi="Arial" w:cs="Arial"/>
          <w:lang w:val="es-ES"/>
        </w:rPr>
      </w:pPr>
    </w:p>
    <w:p w14:paraId="62784219" w14:textId="3A8C97F1" w:rsidR="005B216D" w:rsidRPr="005D2E9E" w:rsidRDefault="005B216D" w:rsidP="006860AC">
      <w:pPr>
        <w:spacing w:line="480" w:lineRule="auto"/>
        <w:rPr>
          <w:rFonts w:ascii="Arial" w:hAnsi="Arial" w:cs="Arial"/>
        </w:rPr>
      </w:pPr>
    </w:p>
    <w:p w14:paraId="0174C13E" w14:textId="77777777" w:rsidR="00DE2A15" w:rsidRPr="005D2E9E" w:rsidRDefault="00DE2A15" w:rsidP="00037AB1">
      <w:pPr>
        <w:spacing w:line="480" w:lineRule="auto"/>
        <w:jc w:val="right"/>
        <w:rPr>
          <w:rFonts w:ascii="Arial" w:hAnsi="Arial" w:cs="Arial"/>
        </w:rPr>
      </w:pPr>
    </w:p>
    <w:p w14:paraId="0733B7E6" w14:textId="65495F76" w:rsidR="00CF7655" w:rsidRPr="005D2E9E" w:rsidRDefault="00CF7655" w:rsidP="00E47910">
      <w:pPr>
        <w:sectPr w:rsidR="00CF7655" w:rsidRPr="005D2E9E" w:rsidSect="00306CED">
          <w:footerReference w:type="even" r:id="rId12"/>
          <w:footerReference w:type="default" r:id="rId13"/>
          <w:pgSz w:w="12240" w:h="15840" w:code="1"/>
          <w:pgMar w:top="2268" w:right="1418" w:bottom="1418" w:left="2268" w:header="709" w:footer="709" w:gutter="0"/>
          <w:pgNumType w:fmt="lowerRoman" w:start="1"/>
          <w:cols w:space="708"/>
          <w:docGrid w:linePitch="360"/>
        </w:sectPr>
      </w:pPr>
    </w:p>
    <w:p w14:paraId="259C8A4D" w14:textId="77777777" w:rsidR="00C7371B" w:rsidRPr="00A22368" w:rsidRDefault="0052086B">
      <w:pPr>
        <w:rPr>
          <w:rFonts w:ascii="Arial" w:hAnsi="Arial" w:cs="Arial"/>
          <w:b/>
          <w:bCs/>
          <w:lang w:val="es-ES_tradnl"/>
        </w:rPr>
      </w:pPr>
      <w:r w:rsidRPr="005D2E9E">
        <w:rPr>
          <w:rFonts w:ascii="Arial" w:hAnsi="Arial" w:cs="Arial"/>
          <w:b/>
        </w:rPr>
        <w:lastRenderedPageBreak/>
        <w:t>LISTA DE ABREVIATURA</w:t>
      </w:r>
      <w:r w:rsidRPr="00A22368">
        <w:rPr>
          <w:rFonts w:ascii="Arial" w:hAnsi="Arial" w:cs="Arial"/>
          <w:b/>
          <w:bCs/>
          <w:lang w:val="es-ES_tradnl"/>
        </w:rPr>
        <w:t xml:space="preserve"> </w:t>
      </w:r>
    </w:p>
    <w:p w14:paraId="21816E5E" w14:textId="77777777" w:rsidR="00C7371B" w:rsidRPr="00701757" w:rsidRDefault="00C7371B">
      <w:pPr>
        <w:rPr>
          <w:rFonts w:ascii="Arial" w:hAnsi="Arial" w:cs="Arial"/>
          <w:b/>
          <w:bCs/>
          <w:lang w:val="es-ES_tradnl"/>
        </w:rPr>
      </w:pPr>
    </w:p>
    <w:p w14:paraId="74C63283" w14:textId="56E12FB0" w:rsidR="00060F86" w:rsidRPr="00701757" w:rsidRDefault="00C7371B" w:rsidP="00022FB0">
      <w:pPr>
        <w:spacing w:line="480" w:lineRule="auto"/>
        <w:rPr>
          <w:rFonts w:ascii="Arial" w:hAnsi="Arial" w:cs="Arial"/>
          <w:bCs/>
          <w:lang w:val="es-ES_tradnl"/>
        </w:rPr>
      </w:pPr>
      <w:r w:rsidRPr="00701757">
        <w:rPr>
          <w:rFonts w:ascii="Arial" w:hAnsi="Arial" w:cs="Arial"/>
          <w:bCs/>
          <w:lang w:val="es-ES_tradnl"/>
        </w:rPr>
        <w:t>UCI</w:t>
      </w:r>
      <w:r w:rsidR="00060F86" w:rsidRPr="00701757">
        <w:rPr>
          <w:rFonts w:ascii="Arial" w:hAnsi="Arial" w:cs="Arial"/>
          <w:bCs/>
          <w:lang w:val="es-ES_tradnl"/>
        </w:rPr>
        <w:t xml:space="preserve">: </w:t>
      </w:r>
      <w:r w:rsidR="001F3C6F">
        <w:rPr>
          <w:rFonts w:ascii="Arial" w:hAnsi="Arial" w:cs="Arial"/>
          <w:bCs/>
          <w:lang w:val="es-ES_tradnl"/>
        </w:rPr>
        <w:t xml:space="preserve">unidad de cuidados intensivos </w:t>
      </w:r>
    </w:p>
    <w:p w14:paraId="438EEDA3" w14:textId="096BA49B" w:rsidR="00022FB0" w:rsidRPr="00701757" w:rsidRDefault="00C7371B" w:rsidP="00022FB0">
      <w:pPr>
        <w:spacing w:line="480" w:lineRule="auto"/>
        <w:rPr>
          <w:rFonts w:ascii="Arial" w:hAnsi="Arial" w:cs="Arial"/>
          <w:bCs/>
          <w:lang w:val="en-US"/>
        </w:rPr>
      </w:pPr>
      <w:r w:rsidRPr="00701757">
        <w:rPr>
          <w:rFonts w:ascii="Arial" w:hAnsi="Arial" w:cs="Arial"/>
          <w:bCs/>
          <w:lang w:val="en-US"/>
        </w:rPr>
        <w:t>PICS</w:t>
      </w:r>
      <w:r w:rsidR="00060F86" w:rsidRPr="00701757">
        <w:rPr>
          <w:rFonts w:ascii="Arial" w:hAnsi="Arial" w:cs="Arial"/>
          <w:bCs/>
          <w:lang w:val="en-US"/>
        </w:rPr>
        <w:t xml:space="preserve">: </w:t>
      </w:r>
      <w:r w:rsidR="001F3C6F">
        <w:rPr>
          <w:rFonts w:ascii="Arial" w:hAnsi="Arial" w:cs="Arial"/>
          <w:bCs/>
          <w:lang w:val="en-US"/>
        </w:rPr>
        <w:t xml:space="preserve">post intensive care syndrome </w:t>
      </w:r>
    </w:p>
    <w:p w14:paraId="24F8A50D" w14:textId="581BBFA2" w:rsidR="00022FB0" w:rsidRPr="00DC122E" w:rsidRDefault="00022FB0" w:rsidP="00022FB0">
      <w:pPr>
        <w:spacing w:line="480" w:lineRule="auto"/>
        <w:rPr>
          <w:rFonts w:ascii="Arial" w:hAnsi="Arial" w:cs="Arial"/>
          <w:bCs/>
          <w:lang w:val="en-US"/>
        </w:rPr>
      </w:pPr>
      <w:r w:rsidRPr="00DC122E">
        <w:rPr>
          <w:rFonts w:ascii="Arial" w:hAnsi="Arial" w:cs="Arial"/>
          <w:bCs/>
          <w:lang w:val="en-US"/>
        </w:rPr>
        <w:t xml:space="preserve">VM: </w:t>
      </w:r>
      <w:proofErr w:type="spellStart"/>
      <w:r w:rsidR="001F3C6F" w:rsidRPr="00DC122E">
        <w:rPr>
          <w:rFonts w:ascii="Arial" w:hAnsi="Arial" w:cs="Arial"/>
          <w:bCs/>
          <w:lang w:val="en-US"/>
        </w:rPr>
        <w:t>ventilación</w:t>
      </w:r>
      <w:proofErr w:type="spellEnd"/>
      <w:r w:rsidR="001F3C6F" w:rsidRPr="00DC122E">
        <w:rPr>
          <w:rFonts w:ascii="Arial" w:hAnsi="Arial" w:cs="Arial"/>
          <w:bCs/>
          <w:lang w:val="en-US"/>
        </w:rPr>
        <w:t xml:space="preserve"> </w:t>
      </w:r>
      <w:proofErr w:type="spellStart"/>
      <w:r w:rsidR="001F3C6F" w:rsidRPr="00DC122E">
        <w:rPr>
          <w:rFonts w:ascii="Arial" w:hAnsi="Arial" w:cs="Arial"/>
          <w:bCs/>
          <w:lang w:val="en-US"/>
        </w:rPr>
        <w:t>mecánica</w:t>
      </w:r>
      <w:proofErr w:type="spellEnd"/>
    </w:p>
    <w:p w14:paraId="5F76B5BB" w14:textId="3DE67C8B" w:rsidR="00022FB0" w:rsidRPr="005D2E9E" w:rsidRDefault="00022FB0" w:rsidP="00022FB0">
      <w:pPr>
        <w:spacing w:line="480" w:lineRule="auto"/>
        <w:rPr>
          <w:rFonts w:ascii="Arial" w:hAnsi="Arial" w:cs="Arial"/>
          <w:bCs/>
        </w:rPr>
      </w:pPr>
      <w:r w:rsidRPr="005D2E9E">
        <w:rPr>
          <w:rFonts w:ascii="Arial" w:hAnsi="Arial" w:cs="Arial"/>
          <w:bCs/>
        </w:rPr>
        <w:t xml:space="preserve">VM: </w:t>
      </w:r>
      <w:r w:rsidR="001F3C6F">
        <w:rPr>
          <w:rFonts w:ascii="Arial" w:hAnsi="Arial" w:cs="Arial"/>
          <w:bCs/>
        </w:rPr>
        <w:t xml:space="preserve">ventilación mecánica invasiva </w:t>
      </w:r>
    </w:p>
    <w:p w14:paraId="5489BFF1" w14:textId="53DB2D74" w:rsidR="009F6B81" w:rsidRPr="00DC122E" w:rsidRDefault="009F6B81" w:rsidP="00022FB0">
      <w:pPr>
        <w:spacing w:line="480" w:lineRule="auto"/>
        <w:rPr>
          <w:rFonts w:ascii="Arial" w:hAnsi="Arial" w:cs="Arial"/>
          <w:bCs/>
        </w:rPr>
      </w:pPr>
      <w:r w:rsidRPr="00DC122E">
        <w:rPr>
          <w:rFonts w:ascii="Arial" w:hAnsi="Arial" w:cs="Arial"/>
          <w:bCs/>
        </w:rPr>
        <w:t xml:space="preserve">BPS: </w:t>
      </w:r>
      <w:r w:rsidR="001F3C6F" w:rsidRPr="00DC122E">
        <w:rPr>
          <w:rFonts w:ascii="Arial" w:hAnsi="Arial" w:cs="Arial"/>
          <w:bCs/>
        </w:rPr>
        <w:t xml:space="preserve">behavioral pain scale </w:t>
      </w:r>
    </w:p>
    <w:p w14:paraId="3811B386" w14:textId="62CFB8E9" w:rsidR="009F6B81" w:rsidRPr="00701757" w:rsidRDefault="009F6B81" w:rsidP="00022FB0">
      <w:pPr>
        <w:spacing w:line="480" w:lineRule="auto"/>
        <w:rPr>
          <w:rFonts w:ascii="Arial" w:hAnsi="Arial" w:cs="Arial"/>
          <w:bCs/>
          <w:lang w:val="en-US"/>
        </w:rPr>
      </w:pPr>
      <w:r w:rsidRPr="00701757">
        <w:rPr>
          <w:rFonts w:ascii="Arial" w:hAnsi="Arial" w:cs="Arial"/>
          <w:bCs/>
          <w:lang w:val="en-US"/>
        </w:rPr>
        <w:t xml:space="preserve">CPOT: </w:t>
      </w:r>
      <w:r w:rsidR="001F3C6F">
        <w:rPr>
          <w:rFonts w:ascii="Arial" w:hAnsi="Arial" w:cs="Arial"/>
          <w:bCs/>
          <w:lang w:val="en-US"/>
        </w:rPr>
        <w:t xml:space="preserve">critical care pain observation tool </w:t>
      </w:r>
    </w:p>
    <w:p w14:paraId="47BA53EE" w14:textId="07B403BD" w:rsidR="00701757" w:rsidRPr="00701757" w:rsidRDefault="00701757" w:rsidP="00022FB0">
      <w:pPr>
        <w:spacing w:line="480" w:lineRule="auto"/>
        <w:rPr>
          <w:rFonts w:ascii="Arial" w:hAnsi="Arial" w:cs="Arial"/>
          <w:bCs/>
          <w:lang w:val="en-US"/>
        </w:rPr>
      </w:pPr>
      <w:r w:rsidRPr="005D2E9E">
        <w:rPr>
          <w:rFonts w:ascii="Arial" w:hAnsi="Arial" w:cs="Arial"/>
          <w:lang w:val="en-US"/>
        </w:rPr>
        <w:t xml:space="preserve">EVA: </w:t>
      </w:r>
      <w:proofErr w:type="spellStart"/>
      <w:r w:rsidR="001F3C6F">
        <w:rPr>
          <w:rFonts w:ascii="Arial" w:hAnsi="Arial" w:cs="Arial"/>
          <w:lang w:val="en-US"/>
        </w:rPr>
        <w:t>escala</w:t>
      </w:r>
      <w:proofErr w:type="spellEnd"/>
      <w:r w:rsidR="001F3C6F">
        <w:rPr>
          <w:rFonts w:ascii="Arial" w:hAnsi="Arial" w:cs="Arial"/>
          <w:lang w:val="en-US"/>
        </w:rPr>
        <w:t xml:space="preserve"> visual </w:t>
      </w:r>
      <w:proofErr w:type="spellStart"/>
      <w:r w:rsidR="001F3C6F">
        <w:rPr>
          <w:rFonts w:ascii="Arial" w:hAnsi="Arial" w:cs="Arial"/>
          <w:lang w:val="en-US"/>
        </w:rPr>
        <w:t>análoga</w:t>
      </w:r>
      <w:proofErr w:type="spellEnd"/>
      <w:r w:rsidR="001F3C6F">
        <w:rPr>
          <w:rFonts w:ascii="Arial" w:hAnsi="Arial" w:cs="Arial"/>
          <w:lang w:val="en-US"/>
        </w:rPr>
        <w:t xml:space="preserve"> </w:t>
      </w:r>
    </w:p>
    <w:p w14:paraId="14272A7C" w14:textId="544335C4" w:rsidR="009E1862" w:rsidRPr="00701757" w:rsidRDefault="009E1862" w:rsidP="00022FB0">
      <w:pPr>
        <w:spacing w:line="480" w:lineRule="auto"/>
        <w:rPr>
          <w:rFonts w:ascii="Arial" w:hAnsi="Arial" w:cs="Arial"/>
          <w:bCs/>
          <w:lang w:val="en-US"/>
        </w:rPr>
      </w:pPr>
      <w:r w:rsidRPr="00701757">
        <w:rPr>
          <w:rFonts w:ascii="Arial" w:hAnsi="Arial" w:cs="Arial"/>
          <w:bCs/>
          <w:lang w:val="en-US"/>
        </w:rPr>
        <w:t xml:space="preserve">RASS: </w:t>
      </w:r>
      <w:r w:rsidR="001F3C6F">
        <w:rPr>
          <w:rFonts w:ascii="Arial" w:hAnsi="Arial" w:cs="Arial"/>
          <w:bCs/>
          <w:lang w:val="en-US"/>
        </w:rPr>
        <w:t xml:space="preserve">Richmond agitation </w:t>
      </w:r>
      <w:proofErr w:type="spellStart"/>
      <w:r w:rsidR="001F3C6F">
        <w:rPr>
          <w:rFonts w:ascii="Arial" w:hAnsi="Arial" w:cs="Arial"/>
          <w:bCs/>
          <w:lang w:val="en-US"/>
        </w:rPr>
        <w:t>sedadion</w:t>
      </w:r>
      <w:proofErr w:type="spellEnd"/>
      <w:r w:rsidR="001F3C6F">
        <w:rPr>
          <w:rFonts w:ascii="Arial" w:hAnsi="Arial" w:cs="Arial"/>
          <w:bCs/>
          <w:lang w:val="en-US"/>
        </w:rPr>
        <w:t xml:space="preserve"> scale </w:t>
      </w:r>
    </w:p>
    <w:p w14:paraId="00088DF3" w14:textId="1A2C80D4" w:rsidR="009E1862" w:rsidRPr="00701757" w:rsidRDefault="009E1862" w:rsidP="00022FB0">
      <w:pPr>
        <w:spacing w:line="480" w:lineRule="auto"/>
        <w:rPr>
          <w:rFonts w:ascii="Arial" w:hAnsi="Arial" w:cs="Arial"/>
          <w:bCs/>
          <w:lang w:val="en-US"/>
        </w:rPr>
      </w:pPr>
      <w:r w:rsidRPr="00701757">
        <w:rPr>
          <w:rFonts w:ascii="Arial" w:hAnsi="Arial" w:cs="Arial"/>
          <w:bCs/>
          <w:lang w:val="en-US"/>
        </w:rPr>
        <w:t xml:space="preserve">SAS: </w:t>
      </w:r>
      <w:r w:rsidR="001F3C6F">
        <w:rPr>
          <w:rFonts w:ascii="Arial" w:hAnsi="Arial" w:cs="Arial"/>
          <w:bCs/>
          <w:lang w:val="en-US"/>
        </w:rPr>
        <w:t xml:space="preserve">sedation agitation </w:t>
      </w:r>
      <w:proofErr w:type="spellStart"/>
      <w:r w:rsidR="001F3C6F">
        <w:rPr>
          <w:rFonts w:ascii="Arial" w:hAnsi="Arial" w:cs="Arial"/>
          <w:bCs/>
          <w:lang w:val="en-US"/>
        </w:rPr>
        <w:t>scalete</w:t>
      </w:r>
      <w:proofErr w:type="spellEnd"/>
      <w:r w:rsidR="001F3C6F">
        <w:rPr>
          <w:rFonts w:ascii="Arial" w:hAnsi="Arial" w:cs="Arial"/>
          <w:bCs/>
          <w:lang w:val="en-US"/>
        </w:rPr>
        <w:t xml:space="preserve"> </w:t>
      </w:r>
    </w:p>
    <w:p w14:paraId="25D82C54" w14:textId="17D9346E" w:rsidR="00701757" w:rsidRPr="00701757" w:rsidRDefault="00701757" w:rsidP="00022FB0">
      <w:pPr>
        <w:spacing w:line="480" w:lineRule="auto"/>
        <w:rPr>
          <w:rFonts w:ascii="Arial" w:hAnsi="Arial" w:cs="Arial"/>
          <w:lang w:val="en-US"/>
        </w:rPr>
      </w:pPr>
      <w:r w:rsidRPr="00701757">
        <w:rPr>
          <w:rFonts w:ascii="Arial" w:hAnsi="Arial" w:cs="Arial"/>
          <w:lang w:val="en-US"/>
        </w:rPr>
        <w:t>CAM- ICU:</w:t>
      </w:r>
      <w:r w:rsidRPr="00701757">
        <w:rPr>
          <w:rFonts w:asciiTheme="minorHAnsi" w:eastAsiaTheme="minorHAnsi" w:hAnsiTheme="minorHAnsi" w:cstheme="minorBidi"/>
          <w:i/>
          <w:iCs/>
          <w:sz w:val="22"/>
          <w:lang w:val="en-US" w:eastAsia="en-US"/>
        </w:rPr>
        <w:t xml:space="preserve"> </w:t>
      </w:r>
      <w:proofErr w:type="spellStart"/>
      <w:r w:rsidR="001F3C6F">
        <w:rPr>
          <w:rFonts w:ascii="Arial" w:hAnsi="Arial" w:cs="Arial"/>
          <w:iCs/>
          <w:lang w:val="en-US"/>
        </w:rPr>
        <w:t>confussion</w:t>
      </w:r>
      <w:proofErr w:type="spellEnd"/>
      <w:r w:rsidR="001F3C6F">
        <w:rPr>
          <w:rFonts w:ascii="Arial" w:hAnsi="Arial" w:cs="Arial"/>
          <w:iCs/>
          <w:lang w:val="en-US"/>
        </w:rPr>
        <w:t xml:space="preserve"> </w:t>
      </w:r>
      <w:proofErr w:type="spellStart"/>
      <w:r w:rsidR="001F3C6F">
        <w:rPr>
          <w:rFonts w:ascii="Arial" w:hAnsi="Arial" w:cs="Arial"/>
          <w:iCs/>
          <w:lang w:val="en-US"/>
        </w:rPr>
        <w:t>assement</w:t>
      </w:r>
      <w:proofErr w:type="spellEnd"/>
      <w:r w:rsidR="001F3C6F">
        <w:rPr>
          <w:rFonts w:ascii="Arial" w:hAnsi="Arial" w:cs="Arial"/>
          <w:iCs/>
          <w:lang w:val="en-US"/>
        </w:rPr>
        <w:t xml:space="preserve"> method for the </w:t>
      </w:r>
      <w:proofErr w:type="spellStart"/>
      <w:r w:rsidR="001844DD">
        <w:rPr>
          <w:rFonts w:ascii="Arial" w:hAnsi="Arial" w:cs="Arial"/>
          <w:iCs/>
          <w:lang w:val="en-US"/>
        </w:rPr>
        <w:t>icu</w:t>
      </w:r>
      <w:proofErr w:type="spellEnd"/>
      <w:r w:rsidR="00185B72">
        <w:rPr>
          <w:rFonts w:ascii="Arial" w:hAnsi="Arial" w:cs="Arial"/>
          <w:iCs/>
          <w:lang w:val="en-US"/>
        </w:rPr>
        <w:t xml:space="preserve"> </w:t>
      </w:r>
    </w:p>
    <w:p w14:paraId="3E581816" w14:textId="5D98EF5C" w:rsidR="00701757" w:rsidRPr="00701757" w:rsidRDefault="00701757" w:rsidP="00022FB0">
      <w:pPr>
        <w:spacing w:line="480" w:lineRule="auto"/>
        <w:rPr>
          <w:rFonts w:ascii="Arial" w:hAnsi="Arial" w:cs="Arial"/>
          <w:bCs/>
          <w:lang w:val="en-US"/>
        </w:rPr>
      </w:pPr>
      <w:r w:rsidRPr="00701757">
        <w:rPr>
          <w:rFonts w:ascii="Arial" w:hAnsi="Arial" w:cs="Arial"/>
          <w:lang w:val="en-US"/>
        </w:rPr>
        <w:t>ICDSC</w:t>
      </w:r>
      <w:r w:rsidR="00185B72">
        <w:rPr>
          <w:rFonts w:ascii="Arial" w:hAnsi="Arial" w:cs="Arial"/>
          <w:lang w:val="en-US"/>
        </w:rPr>
        <w:t xml:space="preserve">: </w:t>
      </w:r>
      <w:r w:rsidR="001844DD">
        <w:rPr>
          <w:rFonts w:ascii="Arial" w:hAnsi="Arial" w:cs="Arial"/>
          <w:lang w:val="en-US"/>
        </w:rPr>
        <w:t xml:space="preserve">intensive care delirium screening checklist </w:t>
      </w:r>
    </w:p>
    <w:p w14:paraId="4BA03C54" w14:textId="4F237AE8" w:rsidR="007E4617" w:rsidRPr="00060F86" w:rsidRDefault="007E4617">
      <w:pPr>
        <w:rPr>
          <w:rFonts w:ascii="Arial" w:hAnsi="Arial" w:cs="Arial"/>
          <w:b/>
          <w:bCs/>
          <w:lang w:val="en-US"/>
        </w:rPr>
      </w:pPr>
      <w:r w:rsidRPr="00060F86">
        <w:rPr>
          <w:rFonts w:ascii="Arial" w:hAnsi="Arial" w:cs="Arial"/>
          <w:b/>
          <w:bCs/>
          <w:lang w:val="en-US"/>
        </w:rPr>
        <w:br w:type="page"/>
      </w:r>
    </w:p>
    <w:p w14:paraId="664F9BE2" w14:textId="79C01F34" w:rsidR="009B3515" w:rsidRPr="005D2E9E" w:rsidRDefault="009B3515" w:rsidP="007E4617">
      <w:pPr>
        <w:rPr>
          <w:rFonts w:ascii="Arial" w:hAnsi="Arial" w:cs="Arial"/>
          <w:b/>
          <w:bCs/>
        </w:rPr>
      </w:pPr>
      <w:r w:rsidRPr="005D2E9E">
        <w:rPr>
          <w:rFonts w:ascii="Arial" w:hAnsi="Arial" w:cs="Arial"/>
          <w:b/>
          <w:bCs/>
        </w:rPr>
        <w:lastRenderedPageBreak/>
        <w:t>RESUMEN</w:t>
      </w:r>
    </w:p>
    <w:p w14:paraId="5A7A19B5" w14:textId="77777777" w:rsidR="007E4617" w:rsidRPr="005D2E9E" w:rsidRDefault="007E4617" w:rsidP="007E4617">
      <w:pPr>
        <w:rPr>
          <w:rFonts w:ascii="Arial" w:hAnsi="Arial" w:cs="Arial"/>
          <w:b/>
          <w:bCs/>
        </w:rPr>
      </w:pPr>
    </w:p>
    <w:p w14:paraId="171C2DAE" w14:textId="2F11C486" w:rsidR="009B3515" w:rsidRPr="00C96F30" w:rsidRDefault="009B3515" w:rsidP="00C96F30">
      <w:pPr>
        <w:spacing w:line="480" w:lineRule="auto"/>
        <w:rPr>
          <w:rFonts w:ascii="Arial" w:hAnsi="Arial" w:cs="Arial"/>
          <w:color w:val="000000" w:themeColor="text1"/>
        </w:rPr>
      </w:pPr>
      <w:r w:rsidRPr="00C96F30">
        <w:rPr>
          <w:rFonts w:ascii="Arial" w:hAnsi="Arial" w:cs="Arial"/>
          <w:b/>
          <w:bCs/>
          <w:lang w:val="es-ES_tradnl"/>
        </w:rPr>
        <w:t>Objetivo:</w:t>
      </w:r>
      <w:r w:rsidR="00CF7655" w:rsidRPr="00C96F30">
        <w:rPr>
          <w:rFonts w:ascii="Arial" w:hAnsi="Arial" w:cs="Arial"/>
          <w:b/>
          <w:bCs/>
          <w:lang w:val="es-ES_tradnl"/>
        </w:rPr>
        <w:t xml:space="preserve"> </w:t>
      </w:r>
      <w:r w:rsidR="007822FA" w:rsidRPr="00C96F30">
        <w:rPr>
          <w:rFonts w:ascii="Arial" w:hAnsi="Arial" w:cs="Arial"/>
          <w:color w:val="000000" w:themeColor="text1"/>
        </w:rPr>
        <w:t>i</w:t>
      </w:r>
      <w:r w:rsidR="00105895" w:rsidRPr="00C96F30">
        <w:rPr>
          <w:rFonts w:ascii="Arial" w:hAnsi="Arial" w:cs="Arial"/>
          <w:color w:val="000000" w:themeColor="text1"/>
        </w:rPr>
        <w:t>dentificar</w:t>
      </w:r>
      <w:r w:rsidR="007C306C" w:rsidRPr="00C96F30">
        <w:rPr>
          <w:rFonts w:ascii="Arial" w:hAnsi="Arial" w:cs="Arial"/>
          <w:color w:val="000000" w:themeColor="text1"/>
        </w:rPr>
        <w:t xml:space="preserve"> </w:t>
      </w:r>
      <w:r w:rsidR="00CF7655" w:rsidRPr="00C96F30">
        <w:rPr>
          <w:rFonts w:ascii="Arial" w:hAnsi="Arial" w:cs="Arial"/>
          <w:lang w:val="es-ES_tradnl"/>
        </w:rPr>
        <w:t xml:space="preserve">el grado de cumplimiento </w:t>
      </w:r>
      <w:r w:rsidR="003D7E1B" w:rsidRPr="00C96F30">
        <w:rPr>
          <w:rFonts w:ascii="Arial" w:hAnsi="Arial" w:cs="Arial"/>
          <w:lang w:val="es-ES_tradnl"/>
        </w:rPr>
        <w:t xml:space="preserve">diario </w:t>
      </w:r>
      <w:r w:rsidR="00CF7655" w:rsidRPr="00C96F30">
        <w:rPr>
          <w:rFonts w:ascii="Arial" w:hAnsi="Arial" w:cs="Arial"/>
          <w:lang w:val="es-ES_tradnl"/>
        </w:rPr>
        <w:t xml:space="preserve">del ABCDEF </w:t>
      </w:r>
      <w:r w:rsidR="00AD58D7">
        <w:rPr>
          <w:rFonts w:ascii="Arial" w:hAnsi="Arial" w:cs="Arial"/>
          <w:lang w:val="es-ES_tradnl"/>
        </w:rPr>
        <w:t>“bundle”</w:t>
      </w:r>
      <w:r w:rsidR="00CF7655" w:rsidRPr="00C96F30">
        <w:rPr>
          <w:rFonts w:ascii="Arial" w:hAnsi="Arial" w:cs="Arial"/>
          <w:lang w:val="es-ES_tradnl"/>
        </w:rPr>
        <w:t xml:space="preserve"> </w:t>
      </w:r>
      <w:r w:rsidR="00BA23F7" w:rsidRPr="00C96F30">
        <w:rPr>
          <w:rFonts w:ascii="Arial" w:hAnsi="Arial" w:cs="Arial"/>
          <w:lang w:val="es-ES_tradnl"/>
        </w:rPr>
        <w:t>en el registro clínico de</w:t>
      </w:r>
      <w:r w:rsidR="00CF7655" w:rsidRPr="00C96F30">
        <w:rPr>
          <w:rFonts w:ascii="Arial" w:hAnsi="Arial" w:cs="Arial"/>
          <w:color w:val="000000" w:themeColor="text1"/>
        </w:rPr>
        <w:t xml:space="preserve"> los médicos, enfermeros y kinesiólogos </w:t>
      </w:r>
      <w:r w:rsidR="00BA23F7" w:rsidRPr="00C96F30">
        <w:rPr>
          <w:rFonts w:ascii="Arial" w:hAnsi="Arial" w:cs="Arial"/>
          <w:color w:val="000000" w:themeColor="text1"/>
        </w:rPr>
        <w:t>de</w:t>
      </w:r>
      <w:r w:rsidR="00CF7655" w:rsidRPr="00C96F30">
        <w:rPr>
          <w:rFonts w:ascii="Arial" w:hAnsi="Arial" w:cs="Arial"/>
          <w:color w:val="000000" w:themeColor="text1"/>
        </w:rPr>
        <w:t xml:space="preserve"> </w:t>
      </w:r>
      <w:r w:rsidR="003D7E1B" w:rsidRPr="00C96F30">
        <w:rPr>
          <w:rFonts w:ascii="Arial" w:hAnsi="Arial" w:cs="Arial"/>
          <w:color w:val="000000" w:themeColor="text1"/>
        </w:rPr>
        <w:t xml:space="preserve">una </w:t>
      </w:r>
      <w:r w:rsidR="00CF7655" w:rsidRPr="00C96F30">
        <w:rPr>
          <w:rFonts w:ascii="Arial" w:hAnsi="Arial" w:cs="Arial"/>
          <w:color w:val="000000" w:themeColor="text1"/>
        </w:rPr>
        <w:t>UCI quirúrgica adulto</w:t>
      </w:r>
      <w:r w:rsidR="003D7E1B" w:rsidRPr="00C96F30">
        <w:rPr>
          <w:rFonts w:ascii="Arial" w:hAnsi="Arial" w:cs="Arial"/>
          <w:color w:val="000000" w:themeColor="text1"/>
        </w:rPr>
        <w:t>.</w:t>
      </w:r>
    </w:p>
    <w:p w14:paraId="2F113A5D" w14:textId="192463AD" w:rsidR="009B3515" w:rsidRPr="00C96F30" w:rsidRDefault="009B3515" w:rsidP="00C96F30">
      <w:pPr>
        <w:spacing w:line="480" w:lineRule="auto"/>
        <w:rPr>
          <w:rFonts w:ascii="Arial" w:hAnsi="Arial" w:cs="Arial"/>
          <w:b/>
          <w:bCs/>
          <w:lang w:val="es-ES_tradnl"/>
        </w:rPr>
      </w:pPr>
      <w:r w:rsidRPr="00C96F30">
        <w:rPr>
          <w:rFonts w:ascii="Arial" w:hAnsi="Arial" w:cs="Arial"/>
          <w:b/>
          <w:bCs/>
          <w:lang w:val="es-ES_tradnl"/>
        </w:rPr>
        <w:t>Diseño:</w:t>
      </w:r>
      <w:r w:rsidR="00CF7655" w:rsidRPr="00C96F30">
        <w:rPr>
          <w:rFonts w:ascii="Arial" w:hAnsi="Arial" w:cs="Arial"/>
          <w:b/>
          <w:bCs/>
          <w:lang w:val="es-ES_tradnl"/>
        </w:rPr>
        <w:t xml:space="preserve"> </w:t>
      </w:r>
      <w:r w:rsidR="007822FA" w:rsidRPr="00C96F30">
        <w:rPr>
          <w:rFonts w:ascii="Arial" w:hAnsi="Arial" w:cs="Arial"/>
        </w:rPr>
        <w:t>e</w:t>
      </w:r>
      <w:r w:rsidR="00CF7655" w:rsidRPr="00C96F30">
        <w:rPr>
          <w:rFonts w:ascii="Arial" w:hAnsi="Arial" w:cs="Arial"/>
        </w:rPr>
        <w:t>studio observacional retrospectivo</w:t>
      </w:r>
      <w:r w:rsidR="00BC213A" w:rsidRPr="00C96F30">
        <w:rPr>
          <w:rFonts w:ascii="Arial" w:hAnsi="Arial" w:cs="Arial"/>
        </w:rPr>
        <w:t xml:space="preserve"> de revisión de fichas desde </w:t>
      </w:r>
      <w:r w:rsidR="00883FEA" w:rsidRPr="00C96F30">
        <w:rPr>
          <w:rFonts w:ascii="Arial" w:hAnsi="Arial" w:cs="Arial"/>
        </w:rPr>
        <w:t>marzo</w:t>
      </w:r>
      <w:r w:rsidR="00BC213A" w:rsidRPr="00C96F30">
        <w:rPr>
          <w:rFonts w:ascii="Arial" w:hAnsi="Arial" w:cs="Arial"/>
        </w:rPr>
        <w:t xml:space="preserve"> a </w:t>
      </w:r>
      <w:r w:rsidR="00883FEA" w:rsidRPr="00C96F30">
        <w:rPr>
          <w:rFonts w:ascii="Arial" w:hAnsi="Arial" w:cs="Arial"/>
        </w:rPr>
        <w:t>agosto</w:t>
      </w:r>
      <w:r w:rsidR="00BC213A" w:rsidRPr="00C96F30">
        <w:rPr>
          <w:rFonts w:ascii="Arial" w:hAnsi="Arial" w:cs="Arial"/>
          <w:color w:val="000000" w:themeColor="text1"/>
        </w:rPr>
        <w:t xml:space="preserve"> del 2019.</w:t>
      </w:r>
    </w:p>
    <w:p w14:paraId="42F8C692" w14:textId="2410A856" w:rsidR="009B3515" w:rsidRPr="00C96F30" w:rsidRDefault="009B3515" w:rsidP="00C96F30">
      <w:pPr>
        <w:spacing w:line="480" w:lineRule="auto"/>
        <w:rPr>
          <w:rFonts w:ascii="Arial" w:hAnsi="Arial" w:cs="Arial"/>
          <w:bCs/>
          <w:lang w:val="es-ES_tradnl"/>
        </w:rPr>
      </w:pPr>
      <w:r w:rsidRPr="00C96F30">
        <w:rPr>
          <w:rFonts w:ascii="Arial" w:hAnsi="Arial" w:cs="Arial"/>
          <w:b/>
          <w:bCs/>
          <w:lang w:val="es-ES_tradnl"/>
        </w:rPr>
        <w:t>Escenario:</w:t>
      </w:r>
      <w:r w:rsidR="00CF7655" w:rsidRPr="00C96F30">
        <w:rPr>
          <w:rFonts w:ascii="Arial" w:hAnsi="Arial" w:cs="Arial"/>
          <w:b/>
          <w:bCs/>
          <w:lang w:val="es-ES_tradnl"/>
        </w:rPr>
        <w:t xml:space="preserve"> </w:t>
      </w:r>
      <w:r w:rsidR="007822FA" w:rsidRPr="00C96F30">
        <w:rPr>
          <w:rFonts w:ascii="Arial" w:hAnsi="Arial" w:cs="Arial"/>
          <w:bCs/>
          <w:lang w:val="es-ES_tradnl"/>
        </w:rPr>
        <w:t>u</w:t>
      </w:r>
      <w:r w:rsidR="00CF7655" w:rsidRPr="00C96F30">
        <w:rPr>
          <w:rFonts w:ascii="Arial" w:hAnsi="Arial" w:cs="Arial"/>
          <w:bCs/>
          <w:lang w:val="es-ES_tradnl"/>
        </w:rPr>
        <w:t>nidad de cuidados intensivos adulto quirúrgica</w:t>
      </w:r>
      <w:r w:rsidR="003F029B" w:rsidRPr="00C96F30">
        <w:rPr>
          <w:rFonts w:ascii="Arial" w:hAnsi="Arial" w:cs="Arial"/>
          <w:bCs/>
          <w:lang w:val="es-ES_tradnl"/>
        </w:rPr>
        <w:t xml:space="preserve"> de 8 camas</w:t>
      </w:r>
      <w:r w:rsidR="00CF7655" w:rsidRPr="00C96F30">
        <w:rPr>
          <w:rFonts w:ascii="Arial" w:hAnsi="Arial" w:cs="Arial"/>
          <w:bCs/>
          <w:lang w:val="es-ES_tradnl"/>
        </w:rPr>
        <w:t xml:space="preserve"> </w:t>
      </w:r>
      <w:r w:rsidR="00A4573A" w:rsidRPr="00C96F30">
        <w:rPr>
          <w:rFonts w:ascii="Arial" w:hAnsi="Arial" w:cs="Arial"/>
          <w:bCs/>
          <w:lang w:val="es-ES_tradnl"/>
        </w:rPr>
        <w:t xml:space="preserve">de un hospital </w:t>
      </w:r>
      <w:r w:rsidR="00CF7655" w:rsidRPr="00C96F30">
        <w:rPr>
          <w:rFonts w:ascii="Arial" w:hAnsi="Arial" w:cs="Arial"/>
          <w:bCs/>
          <w:lang w:val="es-ES_tradnl"/>
        </w:rPr>
        <w:t>privad</w:t>
      </w:r>
      <w:r w:rsidR="00A4573A" w:rsidRPr="00C96F30">
        <w:rPr>
          <w:rFonts w:ascii="Arial" w:hAnsi="Arial" w:cs="Arial"/>
          <w:bCs/>
          <w:lang w:val="es-ES_tradnl"/>
        </w:rPr>
        <w:t xml:space="preserve">o con </w:t>
      </w:r>
      <w:r w:rsidR="00BD55A6" w:rsidRPr="00C96F30">
        <w:rPr>
          <w:rFonts w:ascii="Arial" w:hAnsi="Arial" w:cs="Arial"/>
          <w:bCs/>
          <w:lang w:val="es-ES_tradnl"/>
        </w:rPr>
        <w:t>a</w:t>
      </w:r>
      <w:r w:rsidR="00A4573A" w:rsidRPr="00C96F30">
        <w:rPr>
          <w:rFonts w:ascii="Arial" w:hAnsi="Arial" w:cs="Arial"/>
          <w:bCs/>
          <w:lang w:val="es-ES_tradnl"/>
        </w:rPr>
        <w:t>filiación académica</w:t>
      </w:r>
      <w:r w:rsidR="00CF7655" w:rsidRPr="00C96F30">
        <w:rPr>
          <w:rFonts w:ascii="Arial" w:hAnsi="Arial" w:cs="Arial"/>
          <w:bCs/>
          <w:lang w:val="es-ES_tradnl"/>
        </w:rPr>
        <w:t>.</w:t>
      </w:r>
    </w:p>
    <w:p w14:paraId="5CE69F23" w14:textId="39E17C81" w:rsidR="009B3515" w:rsidRPr="00C96F30" w:rsidRDefault="00CF7655" w:rsidP="00C96F30">
      <w:pPr>
        <w:spacing w:line="480" w:lineRule="auto"/>
        <w:rPr>
          <w:rFonts w:ascii="Arial" w:hAnsi="Arial" w:cs="Arial"/>
          <w:b/>
          <w:bCs/>
          <w:lang w:val="es-ES_tradnl"/>
        </w:rPr>
      </w:pPr>
      <w:r w:rsidRPr="00C96F30">
        <w:rPr>
          <w:rFonts w:ascii="Arial" w:hAnsi="Arial" w:cs="Arial"/>
          <w:b/>
          <w:bCs/>
          <w:lang w:val="es-ES_tradnl"/>
        </w:rPr>
        <w:t>Pacientes</w:t>
      </w:r>
      <w:r w:rsidR="009B3515" w:rsidRPr="00C96F30">
        <w:rPr>
          <w:rFonts w:ascii="Arial" w:hAnsi="Arial" w:cs="Arial"/>
          <w:b/>
          <w:bCs/>
          <w:lang w:val="es-ES_tradnl"/>
        </w:rPr>
        <w:t>:</w:t>
      </w:r>
      <w:r w:rsidRPr="00C96F30">
        <w:rPr>
          <w:rFonts w:ascii="Arial" w:hAnsi="Arial" w:cs="Arial"/>
          <w:b/>
          <w:bCs/>
          <w:lang w:val="es-ES_tradnl"/>
        </w:rPr>
        <w:t xml:space="preserve"> </w:t>
      </w:r>
      <w:r w:rsidRPr="00C96F30">
        <w:rPr>
          <w:rFonts w:ascii="Arial" w:hAnsi="Arial" w:cs="Arial"/>
          <w:bCs/>
          <w:lang w:val="es-ES_tradnl"/>
        </w:rPr>
        <w:t xml:space="preserve">133 </w:t>
      </w:r>
      <w:r w:rsidR="00972DFF" w:rsidRPr="00C96F30">
        <w:rPr>
          <w:rFonts w:ascii="Arial" w:hAnsi="Arial" w:cs="Arial"/>
          <w:bCs/>
          <w:lang w:val="es-ES_tradnl"/>
        </w:rPr>
        <w:t xml:space="preserve">pacientes </w:t>
      </w:r>
      <w:r w:rsidRPr="00C96F30">
        <w:rPr>
          <w:rFonts w:ascii="Arial" w:hAnsi="Arial" w:cs="Arial"/>
          <w:bCs/>
          <w:lang w:val="es-ES_tradnl"/>
        </w:rPr>
        <w:t>cumplieron criterios de elegibilidad, de l</w:t>
      </w:r>
      <w:r w:rsidR="00A4509E" w:rsidRPr="00C96F30">
        <w:rPr>
          <w:rFonts w:ascii="Arial" w:hAnsi="Arial" w:cs="Arial"/>
          <w:bCs/>
          <w:lang w:val="es-ES_tradnl"/>
        </w:rPr>
        <w:t>o</w:t>
      </w:r>
      <w:r w:rsidRPr="00C96F30">
        <w:rPr>
          <w:rFonts w:ascii="Arial" w:hAnsi="Arial" w:cs="Arial"/>
          <w:bCs/>
          <w:lang w:val="es-ES_tradnl"/>
        </w:rPr>
        <w:t>s cuales se obtuvieron 1134 días-paciente.</w:t>
      </w:r>
    </w:p>
    <w:p w14:paraId="1673E23A" w14:textId="2E169F78" w:rsidR="009B3515" w:rsidRPr="00C96F30" w:rsidRDefault="009B3515" w:rsidP="00C96F30">
      <w:pPr>
        <w:spacing w:line="480" w:lineRule="auto"/>
        <w:rPr>
          <w:rFonts w:ascii="Arial" w:hAnsi="Arial" w:cs="Arial"/>
          <w:b/>
          <w:bCs/>
          <w:lang w:val="es-ES_tradnl"/>
        </w:rPr>
      </w:pPr>
      <w:r w:rsidRPr="00C96F30">
        <w:rPr>
          <w:rFonts w:ascii="Arial" w:hAnsi="Arial" w:cs="Arial"/>
          <w:b/>
          <w:bCs/>
          <w:lang w:val="es-ES_tradnl"/>
        </w:rPr>
        <w:t>Intervenciones:</w:t>
      </w:r>
      <w:r w:rsidR="00CF7655" w:rsidRPr="00C96F30">
        <w:rPr>
          <w:rFonts w:ascii="Arial" w:hAnsi="Arial" w:cs="Arial"/>
          <w:b/>
          <w:bCs/>
          <w:lang w:val="es-ES_tradnl"/>
        </w:rPr>
        <w:t xml:space="preserve"> </w:t>
      </w:r>
      <w:r w:rsidR="007822FA" w:rsidRPr="00C96F30">
        <w:rPr>
          <w:rFonts w:ascii="Arial" w:hAnsi="Arial" w:cs="Arial"/>
          <w:bCs/>
          <w:lang w:val="es-ES_tradnl"/>
        </w:rPr>
        <w:t>n</w:t>
      </w:r>
      <w:r w:rsidR="00295CAE" w:rsidRPr="00C96F30">
        <w:rPr>
          <w:rFonts w:ascii="Arial" w:hAnsi="Arial" w:cs="Arial"/>
          <w:bCs/>
          <w:lang w:val="es-ES_tradnl"/>
        </w:rPr>
        <w:t>o aplica.</w:t>
      </w:r>
    </w:p>
    <w:p w14:paraId="76BA7CBF" w14:textId="4DB0F946" w:rsidR="009B3515" w:rsidRPr="00C96F30" w:rsidRDefault="009B3515" w:rsidP="00C96F30">
      <w:pPr>
        <w:spacing w:line="480" w:lineRule="auto"/>
        <w:rPr>
          <w:rFonts w:ascii="Arial" w:hAnsi="Arial" w:cs="Arial"/>
        </w:rPr>
      </w:pPr>
      <w:r w:rsidRPr="00C96F30">
        <w:rPr>
          <w:rFonts w:ascii="Arial" w:hAnsi="Arial" w:cs="Arial"/>
          <w:b/>
          <w:bCs/>
          <w:lang w:val="es-ES_tradnl"/>
        </w:rPr>
        <w:t xml:space="preserve">Mediciones y </w:t>
      </w:r>
      <w:r w:rsidR="00292DFB" w:rsidRPr="00C96F30">
        <w:rPr>
          <w:rFonts w:ascii="Arial" w:hAnsi="Arial" w:cs="Arial"/>
          <w:b/>
          <w:bCs/>
          <w:lang w:val="es-ES_tradnl"/>
        </w:rPr>
        <w:t>r</w:t>
      </w:r>
      <w:r w:rsidRPr="00C96F30">
        <w:rPr>
          <w:rFonts w:ascii="Arial" w:hAnsi="Arial" w:cs="Arial"/>
          <w:b/>
          <w:bCs/>
          <w:lang w:val="es-ES_tradnl"/>
        </w:rPr>
        <w:t>esultados Principales:</w:t>
      </w:r>
      <w:r w:rsidR="00CF7655" w:rsidRPr="00C96F30">
        <w:rPr>
          <w:rFonts w:ascii="Arial" w:hAnsi="Arial" w:cs="Arial"/>
          <w:b/>
          <w:bCs/>
          <w:lang w:val="es-ES_tradnl"/>
        </w:rPr>
        <w:t xml:space="preserve"> </w:t>
      </w:r>
      <w:r w:rsidR="007822FA" w:rsidRPr="00C96F30">
        <w:rPr>
          <w:rFonts w:ascii="Arial" w:hAnsi="Arial" w:cs="Arial"/>
          <w:bCs/>
          <w:lang w:val="es-ES_tradnl"/>
        </w:rPr>
        <w:t>a</w:t>
      </w:r>
      <w:r w:rsidR="00A4509E" w:rsidRPr="00C96F30">
        <w:rPr>
          <w:rFonts w:ascii="Arial" w:hAnsi="Arial" w:cs="Arial"/>
          <w:bCs/>
          <w:lang w:val="es-ES_tradnl"/>
        </w:rPr>
        <w:t xml:space="preserve"> través de los registros en la ficha clínica, se obtuvo el cumplimiento diario de la evaluación del dolor (elemento A), una prueba de interrupción de la sedación (elemento B1), una prueba de ventilación espontánea (elemento B2), elección de la sedación (elemento C), evaluación del delirium (elemento D), implementación de movilización temprana (elemento E) y la comunicación con la familia (elemento F)</w:t>
      </w:r>
      <w:r w:rsidR="00A4509E" w:rsidRPr="00C96F30">
        <w:rPr>
          <w:rFonts w:ascii="Arial" w:hAnsi="Arial" w:cs="Arial"/>
          <w:lang w:val="es-ES_tradnl"/>
        </w:rPr>
        <w:t xml:space="preserve">. </w:t>
      </w:r>
      <w:r w:rsidR="00CF7655" w:rsidRPr="00C96F30">
        <w:rPr>
          <w:rFonts w:ascii="Arial" w:hAnsi="Arial" w:cs="Arial"/>
          <w:lang w:val="es-ES"/>
        </w:rPr>
        <w:t xml:space="preserve">Se obtuvo un </w:t>
      </w:r>
      <w:r w:rsidR="00D77540" w:rsidRPr="00C96F30">
        <w:rPr>
          <w:rFonts w:ascii="Arial" w:hAnsi="Arial" w:cs="Arial"/>
          <w:lang w:val="es-ES"/>
        </w:rPr>
        <w:t xml:space="preserve">22,3% de </w:t>
      </w:r>
      <w:r w:rsidR="00CF7655" w:rsidRPr="00C96F30">
        <w:rPr>
          <w:rFonts w:ascii="Arial" w:hAnsi="Arial" w:cs="Arial"/>
          <w:lang w:val="es-ES"/>
        </w:rPr>
        <w:t xml:space="preserve">cumplimiento del </w:t>
      </w:r>
      <w:r w:rsidR="00D77540" w:rsidRPr="00C96F30">
        <w:rPr>
          <w:rFonts w:ascii="Arial" w:hAnsi="Arial" w:cs="Arial"/>
          <w:lang w:val="es-ES"/>
        </w:rPr>
        <w:t xml:space="preserve">ABCDEF </w:t>
      </w:r>
      <w:r w:rsidR="00AD58D7">
        <w:rPr>
          <w:rFonts w:ascii="Arial" w:hAnsi="Arial" w:cs="Arial"/>
          <w:lang w:val="es-ES"/>
        </w:rPr>
        <w:t>“</w:t>
      </w:r>
      <w:proofErr w:type="spellStart"/>
      <w:r w:rsidR="00AD58D7">
        <w:rPr>
          <w:rFonts w:ascii="Arial" w:hAnsi="Arial" w:cs="Arial"/>
          <w:lang w:val="es-ES"/>
        </w:rPr>
        <w:t>bundle</w:t>
      </w:r>
      <w:proofErr w:type="spellEnd"/>
      <w:r w:rsidR="001844DD">
        <w:rPr>
          <w:rFonts w:ascii="Arial" w:hAnsi="Arial" w:cs="Arial"/>
          <w:lang w:val="es-ES"/>
        </w:rPr>
        <w:t>”</w:t>
      </w:r>
      <w:r w:rsidR="00CF7655" w:rsidRPr="00C96F30">
        <w:rPr>
          <w:rFonts w:ascii="Arial" w:hAnsi="Arial" w:cs="Arial"/>
          <w:lang w:val="es-ES"/>
        </w:rPr>
        <w:t xml:space="preserve">. Los elementos “E” (66.9%), “C” (40,4%) y “D” (24%) fueron </w:t>
      </w:r>
      <w:r w:rsidR="007C306C" w:rsidRPr="00C96F30">
        <w:rPr>
          <w:rFonts w:ascii="Arial" w:hAnsi="Arial" w:cs="Arial"/>
          <w:lang w:val="es-ES"/>
        </w:rPr>
        <w:t>identificados con</w:t>
      </w:r>
      <w:r w:rsidR="00CF7655" w:rsidRPr="00C96F30">
        <w:rPr>
          <w:rFonts w:ascii="Arial" w:hAnsi="Arial" w:cs="Arial"/>
          <w:lang w:val="es-ES"/>
        </w:rPr>
        <w:t xml:space="preserve"> mayor cumplimiento, mientras que los elementos “A” (13,9%)</w:t>
      </w:r>
      <w:r w:rsidR="00A54467" w:rsidRPr="00C96F30">
        <w:rPr>
          <w:rFonts w:ascii="Arial" w:hAnsi="Arial" w:cs="Arial"/>
          <w:lang w:val="es-ES"/>
        </w:rPr>
        <w:t xml:space="preserve"> </w:t>
      </w:r>
      <w:r w:rsidR="00CF7655" w:rsidRPr="00C96F30">
        <w:rPr>
          <w:rFonts w:ascii="Arial" w:hAnsi="Arial" w:cs="Arial"/>
          <w:lang w:val="es-ES"/>
        </w:rPr>
        <w:t xml:space="preserve">y “B2” (10,5%) fueron </w:t>
      </w:r>
      <w:r w:rsidR="007C306C" w:rsidRPr="00C96F30">
        <w:rPr>
          <w:rFonts w:ascii="Arial" w:hAnsi="Arial" w:cs="Arial"/>
          <w:lang w:val="es-ES"/>
        </w:rPr>
        <w:t>identificados con</w:t>
      </w:r>
      <w:r w:rsidR="00CF7655" w:rsidRPr="00C96F30">
        <w:rPr>
          <w:rFonts w:ascii="Arial" w:hAnsi="Arial" w:cs="Arial"/>
          <w:lang w:val="es-ES"/>
        </w:rPr>
        <w:t xml:space="preserve"> menor cumplimiento. Tanto el elemento “B1” como el “F” </w:t>
      </w:r>
      <w:r w:rsidR="007C306C" w:rsidRPr="00C96F30">
        <w:rPr>
          <w:rFonts w:ascii="Arial" w:hAnsi="Arial" w:cs="Arial"/>
          <w:lang w:val="es-ES"/>
        </w:rPr>
        <w:t xml:space="preserve">fueron identificados con un </w:t>
      </w:r>
      <w:r w:rsidR="00CF7655" w:rsidRPr="00C96F30">
        <w:rPr>
          <w:rFonts w:ascii="Arial" w:hAnsi="Arial" w:cs="Arial"/>
          <w:lang w:val="es-ES"/>
        </w:rPr>
        <w:t>0% de cumplimiento.</w:t>
      </w:r>
    </w:p>
    <w:p w14:paraId="4026D8C3" w14:textId="13447ADA" w:rsidR="00C5340E" w:rsidRDefault="009B3515" w:rsidP="00C96F30">
      <w:pPr>
        <w:spacing w:line="480" w:lineRule="auto"/>
        <w:rPr>
          <w:rFonts w:ascii="Arial" w:hAnsi="Arial" w:cs="Arial"/>
          <w:bCs/>
          <w:lang w:val="es-ES_tradnl"/>
        </w:rPr>
        <w:sectPr w:rsidR="00C5340E" w:rsidSect="007E4617">
          <w:pgSz w:w="12240" w:h="15840" w:code="1"/>
          <w:pgMar w:top="2268" w:right="1418" w:bottom="1418" w:left="2268" w:header="709" w:footer="709" w:gutter="0"/>
          <w:pgNumType w:fmt="lowerRoman"/>
          <w:cols w:space="708"/>
          <w:docGrid w:linePitch="360"/>
        </w:sectPr>
      </w:pPr>
      <w:r w:rsidRPr="00C96F30">
        <w:rPr>
          <w:rFonts w:ascii="Arial" w:hAnsi="Arial" w:cs="Arial"/>
          <w:b/>
          <w:bCs/>
          <w:lang w:val="es-ES_tradnl"/>
        </w:rPr>
        <w:lastRenderedPageBreak/>
        <w:t>Conclusiones:</w:t>
      </w:r>
      <w:r w:rsidR="00CF7655" w:rsidRPr="00C96F30">
        <w:rPr>
          <w:rFonts w:ascii="Arial" w:hAnsi="Arial" w:cs="Arial"/>
          <w:b/>
          <w:bCs/>
          <w:lang w:val="es-ES_tradnl"/>
        </w:rPr>
        <w:t xml:space="preserve"> </w:t>
      </w:r>
      <w:r w:rsidR="00693E84" w:rsidRPr="00C96F30">
        <w:rPr>
          <w:rFonts w:ascii="Arial" w:hAnsi="Arial" w:cs="Arial"/>
          <w:bCs/>
          <w:lang w:val="es-ES_tradnl"/>
        </w:rPr>
        <w:t>en este estudio el</w:t>
      </w:r>
      <w:r w:rsidR="00693E84" w:rsidRPr="00C96F30">
        <w:rPr>
          <w:rFonts w:ascii="Arial" w:hAnsi="Arial" w:cs="Arial"/>
          <w:b/>
          <w:bCs/>
          <w:lang w:val="es-ES_tradnl"/>
        </w:rPr>
        <w:t xml:space="preserve"> </w:t>
      </w:r>
      <w:r w:rsidR="00CF7655" w:rsidRPr="00C96F30">
        <w:rPr>
          <w:rFonts w:ascii="Arial" w:hAnsi="Arial" w:cs="Arial"/>
          <w:bCs/>
          <w:lang w:val="es-ES_tradnl"/>
        </w:rPr>
        <w:t>cumplimiento</w:t>
      </w:r>
      <w:r w:rsidR="008D7C71" w:rsidRPr="00C96F30">
        <w:rPr>
          <w:rFonts w:ascii="Arial" w:hAnsi="Arial" w:cs="Arial"/>
          <w:bCs/>
          <w:lang w:val="es-ES_tradnl"/>
        </w:rPr>
        <w:t xml:space="preserve"> del ABCDEF </w:t>
      </w:r>
      <w:r w:rsidR="00AD58D7">
        <w:rPr>
          <w:rFonts w:ascii="Arial" w:hAnsi="Arial" w:cs="Arial"/>
          <w:bCs/>
          <w:lang w:val="es-ES_tradnl"/>
        </w:rPr>
        <w:t>“bundle”</w:t>
      </w:r>
      <w:r w:rsidR="00CF7655" w:rsidRPr="00C96F30">
        <w:rPr>
          <w:rFonts w:ascii="Arial" w:hAnsi="Arial" w:cs="Arial"/>
          <w:bCs/>
          <w:lang w:val="es-ES_tradnl"/>
        </w:rPr>
        <w:t xml:space="preserve"> fue </w:t>
      </w:r>
      <w:r w:rsidR="00D77540" w:rsidRPr="00C96F30">
        <w:rPr>
          <w:rFonts w:ascii="Arial" w:hAnsi="Arial" w:cs="Arial"/>
          <w:bCs/>
          <w:lang w:val="es-ES_tradnl"/>
        </w:rPr>
        <w:t>bajo</w:t>
      </w:r>
      <w:r w:rsidR="00BD55A6" w:rsidRPr="00C96F30">
        <w:rPr>
          <w:rFonts w:ascii="Arial" w:hAnsi="Arial" w:cs="Arial"/>
          <w:bCs/>
          <w:lang w:val="es-ES_tradnl"/>
        </w:rPr>
        <w:t xml:space="preserve">, siendo </w:t>
      </w:r>
      <w:r w:rsidR="00A3312B" w:rsidRPr="00C96F30">
        <w:rPr>
          <w:rFonts w:ascii="Arial" w:hAnsi="Arial" w:cs="Arial"/>
          <w:bCs/>
          <w:lang w:val="es-ES_tradnl"/>
        </w:rPr>
        <w:t>los</w:t>
      </w:r>
      <w:r w:rsidR="00BD55A6" w:rsidRPr="00C96F30">
        <w:rPr>
          <w:rFonts w:ascii="Arial" w:hAnsi="Arial" w:cs="Arial"/>
          <w:bCs/>
          <w:lang w:val="es-ES_tradnl"/>
        </w:rPr>
        <w:t xml:space="preserve"> elemento</w:t>
      </w:r>
      <w:r w:rsidR="00A3312B" w:rsidRPr="00C96F30">
        <w:rPr>
          <w:rFonts w:ascii="Arial" w:hAnsi="Arial" w:cs="Arial"/>
          <w:bCs/>
          <w:lang w:val="es-ES_tradnl"/>
        </w:rPr>
        <w:t>s</w:t>
      </w:r>
      <w:r w:rsidR="00BD55A6" w:rsidRPr="00C96F30">
        <w:rPr>
          <w:rFonts w:ascii="Arial" w:hAnsi="Arial" w:cs="Arial"/>
          <w:bCs/>
          <w:lang w:val="es-ES_tradnl"/>
        </w:rPr>
        <w:t xml:space="preserve"> “E”</w:t>
      </w:r>
      <w:r w:rsidR="00A3312B" w:rsidRPr="00C96F30">
        <w:rPr>
          <w:rFonts w:ascii="Arial" w:hAnsi="Arial" w:cs="Arial"/>
          <w:bCs/>
          <w:lang w:val="es-ES_tradnl"/>
        </w:rPr>
        <w:t xml:space="preserve"> “C” y “D”</w:t>
      </w:r>
      <w:r w:rsidR="00BD55A6" w:rsidRPr="00C96F30">
        <w:rPr>
          <w:rFonts w:ascii="Arial" w:hAnsi="Arial" w:cs="Arial"/>
          <w:bCs/>
          <w:lang w:val="es-ES_tradnl"/>
        </w:rPr>
        <w:t xml:space="preserve"> </w:t>
      </w:r>
      <w:r w:rsidR="00A3312B" w:rsidRPr="00C96F30">
        <w:rPr>
          <w:rFonts w:ascii="Arial" w:hAnsi="Arial" w:cs="Arial"/>
          <w:bCs/>
          <w:lang w:val="es-ES_tradnl"/>
        </w:rPr>
        <w:t>los</w:t>
      </w:r>
      <w:r w:rsidR="00BD55A6" w:rsidRPr="00C96F30">
        <w:rPr>
          <w:rFonts w:ascii="Arial" w:hAnsi="Arial" w:cs="Arial"/>
          <w:bCs/>
          <w:lang w:val="es-ES_tradnl"/>
        </w:rPr>
        <w:t xml:space="preserve"> que se realiza</w:t>
      </w:r>
      <w:r w:rsidR="00A3312B" w:rsidRPr="00C96F30">
        <w:rPr>
          <w:rFonts w:ascii="Arial" w:hAnsi="Arial" w:cs="Arial"/>
          <w:bCs/>
          <w:lang w:val="es-ES_tradnl"/>
        </w:rPr>
        <w:t>n</w:t>
      </w:r>
      <w:r w:rsidR="00BD55A6" w:rsidRPr="00C96F30">
        <w:rPr>
          <w:rFonts w:ascii="Arial" w:hAnsi="Arial" w:cs="Arial"/>
          <w:bCs/>
          <w:lang w:val="es-ES_tradnl"/>
        </w:rPr>
        <w:t xml:space="preserve"> con mayor frecuencia</w:t>
      </w:r>
      <w:r w:rsidR="00CD6187" w:rsidRPr="00C96F30">
        <w:rPr>
          <w:rFonts w:ascii="Arial" w:hAnsi="Arial" w:cs="Arial"/>
          <w:bCs/>
          <w:lang w:val="es-ES_tradnl"/>
        </w:rPr>
        <w:t>.</w:t>
      </w:r>
      <w:r w:rsidR="00BD55A6" w:rsidRPr="00C96F30">
        <w:rPr>
          <w:rFonts w:ascii="Arial" w:hAnsi="Arial" w:cs="Arial"/>
          <w:bCs/>
          <w:lang w:val="es-ES_tradnl"/>
        </w:rPr>
        <w:t xml:space="preserve"> </w:t>
      </w:r>
      <w:r w:rsidR="00693E84" w:rsidRPr="00C96F30">
        <w:rPr>
          <w:rFonts w:ascii="Arial" w:hAnsi="Arial" w:cs="Arial"/>
          <w:bCs/>
          <w:lang w:val="es-ES_tradnl"/>
        </w:rPr>
        <w:t xml:space="preserve">Explorar </w:t>
      </w:r>
      <w:r w:rsidR="007359DB" w:rsidRPr="00C96F30">
        <w:rPr>
          <w:rFonts w:ascii="Arial" w:hAnsi="Arial" w:cs="Arial"/>
          <w:bCs/>
          <w:lang w:val="es-ES_tradnl"/>
        </w:rPr>
        <w:t>que factores se asocian y explican este bajo cumplimiento</w:t>
      </w:r>
      <w:r w:rsidR="00C96F30" w:rsidRPr="00C96F30">
        <w:rPr>
          <w:rFonts w:ascii="Arial" w:hAnsi="Arial" w:cs="Arial"/>
          <w:bCs/>
          <w:lang w:val="es-ES_tradnl"/>
        </w:rPr>
        <w:t xml:space="preserve">, </w:t>
      </w:r>
      <w:r w:rsidR="007359DB" w:rsidRPr="00C96F30">
        <w:rPr>
          <w:rFonts w:ascii="Arial" w:hAnsi="Arial" w:cs="Arial"/>
          <w:bCs/>
          <w:lang w:val="es-ES_tradnl"/>
        </w:rPr>
        <w:t>podría</w:t>
      </w:r>
      <w:r w:rsidR="00C96F30" w:rsidRPr="00C96F30">
        <w:rPr>
          <w:rFonts w:ascii="Arial" w:hAnsi="Arial" w:cs="Arial"/>
          <w:bCs/>
          <w:lang w:val="es-ES_tradnl"/>
        </w:rPr>
        <w:t>n</w:t>
      </w:r>
      <w:r w:rsidR="007359DB" w:rsidRPr="00C96F30">
        <w:rPr>
          <w:rFonts w:ascii="Arial" w:hAnsi="Arial" w:cs="Arial"/>
          <w:bCs/>
          <w:lang w:val="es-ES_tradnl"/>
        </w:rPr>
        <w:t xml:space="preserve"> ayudar a mejorar la implementación del</w:t>
      </w:r>
      <w:r w:rsidR="008D7C71" w:rsidRPr="00C96F30">
        <w:rPr>
          <w:rFonts w:ascii="Arial" w:hAnsi="Arial" w:cs="Arial"/>
          <w:bCs/>
          <w:lang w:val="es-ES_tradnl"/>
        </w:rPr>
        <w:t xml:space="preserve"> </w:t>
      </w:r>
      <w:r w:rsidR="00AD58D7">
        <w:rPr>
          <w:rFonts w:ascii="Arial" w:hAnsi="Arial" w:cs="Arial"/>
          <w:bCs/>
          <w:lang w:val="es-ES_tradnl"/>
        </w:rPr>
        <w:t>“bundle”</w:t>
      </w:r>
      <w:r w:rsidR="007359DB" w:rsidRPr="00C96F30">
        <w:rPr>
          <w:rFonts w:ascii="Arial" w:hAnsi="Arial" w:cs="Arial"/>
          <w:bCs/>
          <w:lang w:val="es-ES_tradnl"/>
        </w:rPr>
        <w:t xml:space="preserve"> y los resultados a largo plazo de los pacientes</w:t>
      </w:r>
      <w:r w:rsidR="007634F0">
        <w:rPr>
          <w:rFonts w:ascii="Arial" w:hAnsi="Arial" w:cs="Arial"/>
          <w:bCs/>
          <w:lang w:val="es-ES_tradnl"/>
        </w:rPr>
        <w:t>.</w:t>
      </w:r>
    </w:p>
    <w:p w14:paraId="12FE53C7" w14:textId="68844B30" w:rsidR="001034B2" w:rsidRPr="00632BAC" w:rsidRDefault="001034B2">
      <w:pPr>
        <w:rPr>
          <w:rFonts w:ascii="Arial" w:hAnsi="Arial" w:cs="Arial"/>
          <w:bCs/>
          <w:lang w:val="es-ES_tradnl"/>
        </w:rPr>
      </w:pPr>
    </w:p>
    <w:p w14:paraId="3211B353" w14:textId="77777777" w:rsidR="00CF7655" w:rsidRPr="00AD58D7" w:rsidRDefault="00CF7655" w:rsidP="00E47910">
      <w:pPr>
        <w:rPr>
          <w:rFonts w:ascii="Arial" w:hAnsi="Arial" w:cs="Arial"/>
          <w:b/>
          <w:bCs/>
        </w:rPr>
      </w:pPr>
    </w:p>
    <w:p w14:paraId="68F14F48" w14:textId="5FD1B177" w:rsidR="00CF7655" w:rsidRPr="00FD0279" w:rsidRDefault="00CF7655" w:rsidP="00FD0279">
      <w:pPr>
        <w:spacing w:line="480" w:lineRule="auto"/>
        <w:rPr>
          <w:rFonts w:ascii="Arial" w:hAnsi="Arial" w:cs="Arial"/>
          <w:b/>
          <w:bCs/>
          <w:lang w:val="es-ES_tradnl"/>
        </w:rPr>
      </w:pPr>
      <w:r w:rsidRPr="00FD0279">
        <w:rPr>
          <w:rFonts w:ascii="Arial" w:hAnsi="Arial" w:cs="Arial"/>
          <w:b/>
          <w:bCs/>
          <w:lang w:val="es-ES_tradnl"/>
        </w:rPr>
        <w:t>INTRODUCCIÓN</w:t>
      </w:r>
    </w:p>
    <w:p w14:paraId="0C7B75CB" w14:textId="2586E3C9" w:rsidR="00CF7655" w:rsidRPr="00FD0279" w:rsidRDefault="00CF7655" w:rsidP="00FD0279">
      <w:pPr>
        <w:spacing w:line="480" w:lineRule="auto"/>
        <w:ind w:left="57"/>
        <w:rPr>
          <w:rFonts w:ascii="Arial" w:hAnsi="Arial" w:cs="Arial"/>
        </w:rPr>
      </w:pPr>
      <w:r w:rsidRPr="00FD0279">
        <w:rPr>
          <w:rFonts w:ascii="Arial" w:hAnsi="Arial" w:cs="Arial"/>
        </w:rPr>
        <w:t>El síndrome post cuidados intensivos (PICS en sus siglas en inglés)</w:t>
      </w:r>
      <w:r w:rsidRPr="00FD0279">
        <w:rPr>
          <w:rFonts w:ascii="Arial" w:hAnsi="Arial" w:cs="Arial"/>
        </w:rPr>
        <w:fldChar w:fldCharType="begin" w:fldLock="1"/>
      </w:r>
      <w:r w:rsidRPr="00FD0279">
        <w:rPr>
          <w:rFonts w:ascii="Arial" w:hAnsi="Arial" w:cs="Arial"/>
        </w:rPr>
        <w:instrText>ADDIN CSL_CITATION {"citationItems":[{"id":"ITEM-1","itemData":{"DOI":"10.1097/CCM.0b013e318232da75","ISSN":"00903493","PMID":"21946660","abstract":"Background: Millions of patients are discharged from intensive care units annually. These intensive care survivors and their families frequently report a wide range of impairments in their health status which may last for months and years after hospital discharge. Objectives: To report on a 2-day Society of Critical Care Medicine conference aimed at improving the long-term outcomes after critical illness for patients and their families. Participants: Thirty-one invited stakeholders participated in the conference. Stakeholders represented key professional organizations and groups, predominantly from North America, which are involved in the care of intensive care survivors after hospital discharge. Design: Invited experts and Society of Critical Care Medicine members presented a summary of existing data regarding the potential long-term physical, cognitive and mental health problems after intensive care and the results from studies of postintensive care unit interventions to address these problems. Stakeholders provided reactions, perspectives, concerns and strategies aimed at improving care and mitigating these long-term health problems. Measurements and Main Results; Three major themes emerged from the conference regarding: (1) raising awareness and education, (2) understanding and addressing barriers to practice, and (3) identifying research gaps and resources. Postintensive care syndrome was agreed upon as the recommended term to describe new or worsening problems in physical, cognitive, or mental health status arising after a critical illness and persisting beyond acute care hospitalization. The term could be applied to either a survivor or family member. Conclusions: Improving care for intensive care survivors and their families requires collaboration between practitioners and researchers in both the inpatient and outpatient settings. Strategies were developed to address the major themes arising from the conference to improve outcomes for survivors and families. Copyright © 2012 by the Society of Critical Care Medicine and Lippincott Williams &amp; Wilkins.","author":[{"dropping-particle":"","family":"Needham","given":"Dale M.","non-dropping-particle":"","parse-names":false,"suffix":""},{"dropping-particle":"","family":"Davidson","given":"Judy","non-dropping-particle":"","parse-names":false,"suffix":""},{"dropping-particle":"","family":"Cohen","given":"Henry","non-dropping-particle":"","parse-names":false,"suffix":""},{"dropping-particle":"","family":"Hopkins","given":"Ramona O.","non-dropping-particle":"","parse-names":false,"suffix":""},{"dropping-particle":"","family":"Weinert","given":"Craig","non-dropping-particle":"","parse-names":false,"suffix":""},{"dropping-particle":"","family":"Wunsch","given":"Hannah","non-dropping-particle":"","parse-names":false,"suffix":""},{"dropping-particle":"","family":"Zawistowski","given":"Christine","non-dropping-particle":"","parse-names":false,"suffix":""},{"dropping-particle":"","family":"Bemis-Dougherty","given":"Anita","non-dropping-particle":"","parse-names":false,"suffix":""},{"dropping-particle":"","family":"Berney","given":"Susan C.","non-dropping-particle":"","parse-names":false,"suffix":""},{"dropping-particle":"","family":"Bienvenu","given":"O. Joseph","non-dropping-particle":"","parse-names":false,"suffix":""},{"dropping-particle":"","family":"Brady","given":"Susan L.","non-dropping-particle":"","parse-names":false,"suffix":""},{"dropping-particle":"","family":"Brodsky","given":"Martin B.","non-dropping-particle":"","parse-names":false,"suffix":""},{"dropping-particle":"","family":"Denehy","given":"Linda","non-dropping-particle":"","parse-names":false,"suffix":""},{"dropping-particle":"","family":"Elliott","given":"Doug","non-dropping-particle":"","parse-names":false,"suffix":""},{"dropping-particle":"","family":"Flatley","given":"Carl","non-dropping-particle":"","parse-names":false,"suffix":""},{"dropping-particle":"","family":"Harabin","given":"Andrea L.","non-dropping-particle":"","parse-names":false,"suffix":""},{"dropping-particle":"","family":"Jones","given":"Christina","non-dropping-particle":"","parse-names":false,"suffix":""},{"dropping-particle":"","family":"Louis","given":"Deborah","non-dropping-particle":"","parse-names":false,"suffix":""},{"dropping-particle":"","family":"Meltzer","given":"Wendy","non-dropping-particle":"","parse-names":false,"suffix":""},{"dropping-particle":"","family":"Muldoon","given":"Sean R.","non-dropping-particle":"","parse-names":false,"suffix":""},{"dropping-particle":"","family":"Palmer","given":"Jeffrey B.","non-dropping-particle":"","parse-names":false,"suffix":""},{"dropping-particle":"","family":"Perme","given":"Christiane","non-dropping-particle":"","parse-names":false,"suffix":""},{"dropping-particle":"","family":"Robinson","given":"Marla","non-dropping-particle":"","parse-names":false,"suffix":""},{"dropping-particle":"","family":"Schmidt","given":"David M.","non-dropping-particle":"","parse-names":false,"suffix":""},{"dropping-particle":"","family":"Scruth","given":"Elizabeth","non-dropping-particle":"","parse-names":false,"suffix":""},{"dropping-particle":"","family":"Spill","given":"Gayle R.","non-dropping-particle":"","parse-names":false,"suffix":""},{"dropping-particle":"","family":"Storey","given":"C. Porter","non-dropping-particle":"","parse-names":false,"suffix":""},{"dropping-particle":"","family":"Render","given":"Marta","non-dropping-particle":"","parse-names":false,"suffix":""},{"dropping-particle":"","family":"Votto","given":"John","non-dropping-particle":"","parse-names":false,"suffix":""},{"dropping-particle":"","family":"Harvey","given":"Maurene A.","non-dropping-particle":"","parse-names":false,"suffix":""}],"container-title":"Critical Care Medicine","id":"ITEM-1","issue":"2","issued":{"date-parts":[["2012"]]},"page":"502-509","title":"Improving long-term outcomes after discharge from intensive care unit: Report from a stakeholders' conference","type":"article-journal","volume":"40"},"uris":["http://www.mendeley.com/documents/?uuid=e10d99bf-c1e6-40c9-aeae-eba7e112b4d3"]}],"mendeley":{"formattedCitation":"(1)","plainTextFormattedCitation":"(1)","previouslyFormattedCitation":"(1)"},"properties":{"noteIndex":0},"schema":"https://github.com/citation-style-language/schema/raw/master/csl-citation.json"}</w:instrText>
      </w:r>
      <w:r w:rsidRPr="00FD0279">
        <w:rPr>
          <w:rFonts w:ascii="Arial" w:hAnsi="Arial" w:cs="Arial"/>
        </w:rPr>
        <w:fldChar w:fldCharType="separate"/>
      </w:r>
      <w:r w:rsidRPr="00FD0279">
        <w:rPr>
          <w:rFonts w:ascii="Arial" w:hAnsi="Arial" w:cs="Arial"/>
          <w:noProof/>
        </w:rPr>
        <w:t>(1)</w:t>
      </w:r>
      <w:r w:rsidRPr="00FD0279">
        <w:rPr>
          <w:rFonts w:ascii="Arial" w:hAnsi="Arial" w:cs="Arial"/>
        </w:rPr>
        <w:fldChar w:fldCharType="end"/>
      </w:r>
      <w:r w:rsidRPr="00FD0279">
        <w:rPr>
          <w:rFonts w:ascii="Arial" w:hAnsi="Arial" w:cs="Arial"/>
        </w:rPr>
        <w:t xml:space="preserve"> es el término usado para describir impedimentos que afectan</w:t>
      </w:r>
      <w:r w:rsidR="0073757A" w:rsidRPr="0073757A">
        <w:rPr>
          <w:rFonts w:ascii="Arial" w:hAnsi="Arial" w:cs="Arial"/>
        </w:rPr>
        <w:t xml:space="preserve"> </w:t>
      </w:r>
      <w:r w:rsidRPr="00FD0279">
        <w:rPr>
          <w:rFonts w:ascii="Arial" w:hAnsi="Arial" w:cs="Arial"/>
        </w:rPr>
        <w:t>el estado de salud</w:t>
      </w:r>
      <w:r w:rsidR="0073757A">
        <w:rPr>
          <w:rFonts w:ascii="Arial" w:hAnsi="Arial" w:cs="Arial"/>
        </w:rPr>
        <w:t xml:space="preserve"> </w:t>
      </w:r>
      <w:r w:rsidRPr="00FD0279">
        <w:rPr>
          <w:rFonts w:ascii="Arial" w:hAnsi="Arial" w:cs="Arial"/>
        </w:rPr>
        <w:t xml:space="preserve">física (respiratorios, neuromusculares o del funcionamiento físico), cognitiva (función ejecutiva, memoria, atención, procesamiento mental rápido, alteraciones visual-espaciales) o </w:t>
      </w:r>
      <w:r w:rsidR="007359DB" w:rsidRPr="00FD0279">
        <w:rPr>
          <w:rFonts w:ascii="Arial" w:hAnsi="Arial" w:cs="Arial"/>
        </w:rPr>
        <w:t xml:space="preserve">emocional </w:t>
      </w:r>
      <w:r w:rsidRPr="00FD0279">
        <w:rPr>
          <w:rFonts w:ascii="Arial" w:hAnsi="Arial" w:cs="Arial"/>
        </w:rPr>
        <w:t>(ansiedad, trastorno de estrés agudo, depresión) que son nuevos o empeoran después de una enfermedad crítica y persisten más allá de la hospitalización por un evento agudo. Dicho t</w:t>
      </w:r>
      <w:r w:rsidR="007359DB" w:rsidRPr="00FD0279">
        <w:rPr>
          <w:rFonts w:ascii="Arial" w:hAnsi="Arial" w:cs="Arial"/>
        </w:rPr>
        <w:t>é</w:t>
      </w:r>
      <w:r w:rsidRPr="00FD0279">
        <w:rPr>
          <w:rFonts w:ascii="Arial" w:hAnsi="Arial" w:cs="Arial"/>
        </w:rPr>
        <w:t>rmino puede ser aplicado tanto para el sobreviviente (PICS) como para el familiar del sobreviviente (PICS-F), el cual también puede sufrir alteraciones mentales, tales como ansiedad, trastorno de estrés agudo, depresión o dolor complicado</w:t>
      </w:r>
      <w:r w:rsidRPr="00FD0279">
        <w:rPr>
          <w:rFonts w:ascii="Arial" w:hAnsi="Arial" w:cs="Arial"/>
        </w:rPr>
        <w:fldChar w:fldCharType="begin" w:fldLock="1"/>
      </w:r>
      <w:r w:rsidRPr="00FD0279">
        <w:rPr>
          <w:rFonts w:ascii="Arial" w:hAnsi="Arial" w:cs="Arial"/>
        </w:rPr>
        <w:instrText>ADDIN CSL_CITATION {"citationItems":[{"id":"ITEM-1","itemData":{"DOI":"10.1097/CCM.0b013e318232da75","ISSN":"00903493","PMID":"21946660","abstract":"Background: Millions of patients are discharged from intensive care units annually. These intensive care survivors and their families frequently report a wide range of impairments in their health status which may last for months and years after hospital discharge. Objectives: To report on a 2-day Society of Critical Care Medicine conference aimed at improving the long-term outcomes after critical illness for patients and their families. Participants: Thirty-one invited stakeholders participated in the conference. Stakeholders represented key professional organizations and groups, predominantly from North America, which are involved in the care of intensive care survivors after hospital discharge. Design: Invited experts and Society of Critical Care Medicine members presented a summary of existing data regarding the potential long-term physical, cognitive and mental health problems after intensive care and the results from studies of postintensive care unit interventions to address these problems. Stakeholders provided reactions, perspectives, concerns and strategies aimed at improving care and mitigating these long-term health problems. Measurements and Main Results; Three major themes emerged from the conference regarding: (1) raising awareness and education, (2) understanding and addressing barriers to practice, and (3) identifying research gaps and resources. Postintensive care syndrome was agreed upon as the recommended term to describe new or worsening problems in physical, cognitive, or mental health status arising after a critical illness and persisting beyond acute care hospitalization. The term could be applied to either a survivor or family member. Conclusions: Improving care for intensive care survivors and their families requires collaboration between practitioners and researchers in both the inpatient and outpatient settings. Strategies were developed to address the major themes arising from the conference to improve outcomes for survivors and families. Copyright © 2012 by the Society of Critical Care Medicine and Lippincott Williams &amp; Wilkins.","author":[{"dropping-particle":"","family":"Needham","given":"Dale M.","non-dropping-particle":"","parse-names":false,"suffix":""},{"dropping-particle":"","family":"Davidson","given":"Judy","non-dropping-particle":"","parse-names":false,"suffix":""},{"dropping-particle":"","family":"Cohen","given":"Henry","non-dropping-particle":"","parse-names":false,"suffix":""},{"dropping-particle":"","family":"Hopkins","given":"Ramona O.","non-dropping-particle":"","parse-names":false,"suffix":""},{"dropping-particle":"","family":"Weinert","given":"Craig","non-dropping-particle":"","parse-names":false,"suffix":""},{"dropping-particle":"","family":"Wunsch","given":"Hannah","non-dropping-particle":"","parse-names":false,"suffix":""},{"dropping-particle":"","family":"Zawistowski","given":"Christine","non-dropping-particle":"","parse-names":false,"suffix":""},{"dropping-particle":"","family":"Bemis-Dougherty","given":"Anita","non-dropping-particle":"","parse-names":false,"suffix":""},{"dropping-particle":"","family":"Berney","given":"Susan C.","non-dropping-particle":"","parse-names":false,"suffix":""},{"dropping-particle":"","family":"Bienvenu","given":"O. Joseph","non-dropping-particle":"","parse-names":false,"suffix":""},{"dropping-particle":"","family":"Brady","given":"Susan L.","non-dropping-particle":"","parse-names":false,"suffix":""},{"dropping-particle":"","family":"Brodsky","given":"Martin B.","non-dropping-particle":"","parse-names":false,"suffix":""},{"dropping-particle":"","family":"Denehy","given":"Linda","non-dropping-particle":"","parse-names":false,"suffix":""},{"dropping-particle":"","family":"Elliott","given":"Doug","non-dropping-particle":"","parse-names":false,"suffix":""},{"dropping-particle":"","family":"Flatley","given":"Carl","non-dropping-particle":"","parse-names":false,"suffix":""},{"dropping-particle":"","family":"Harabin","given":"Andrea L.","non-dropping-particle":"","parse-names":false,"suffix":""},{"dropping-particle":"","family":"Jones","given":"Christina","non-dropping-particle":"","parse-names":false,"suffix":""},{"dropping-particle":"","family":"Louis","given":"Deborah","non-dropping-particle":"","parse-names":false,"suffix":""},{"dropping-particle":"","family":"Meltzer","given":"Wendy","non-dropping-particle":"","parse-names":false,"suffix":""},{"dropping-particle":"","family":"Muldoon","given":"Sean R.","non-dropping-particle":"","parse-names":false,"suffix":""},{"dropping-particle":"","family":"Palmer","given":"Jeffrey B.","non-dropping-particle":"","parse-names":false,"suffix":""},{"dropping-particle":"","family":"Perme","given":"Christiane","non-dropping-particle":"","parse-names":false,"suffix":""},{"dropping-particle":"","family":"Robinson","given":"Marla","non-dropping-particle":"","parse-names":false,"suffix":""},{"dropping-particle":"","family":"Schmidt","given":"David M.","non-dropping-particle":"","parse-names":false,"suffix":""},{"dropping-particle":"","family":"Scruth","given":"Elizabeth","non-dropping-particle":"","parse-names":false,"suffix":""},{"dropping-particle":"","family":"Spill","given":"Gayle R.","non-dropping-particle":"","parse-names":false,"suffix":""},{"dropping-particle":"","family":"Storey","given":"C. Porter","non-dropping-particle":"","parse-names":false,"suffix":""},{"dropping-particle":"","family":"Render","given":"Marta","non-dropping-particle":"","parse-names":false,"suffix":""},{"dropping-particle":"","family":"Votto","given":"John","non-dropping-particle":"","parse-names":false,"suffix":""},{"dropping-particle":"","family":"Harvey","given":"Maurene A.","non-dropping-particle":"","parse-names":false,"suffix":""}],"container-title":"Critical Care Medicine","id":"ITEM-1","issue":"2","issued":{"date-parts":[["2012"]]},"page":"502-509","title":"Improving long-term outcomes after discharge from intensive care unit: Report from a stakeholders' conference","type":"article-journal","volume":"40"},"uris":["http://www.mendeley.com/documents/?uuid=e10d99bf-c1e6-40c9-aeae-eba7e112b4d3"]}],"mendeley":{"formattedCitation":"(1)","plainTextFormattedCitation":"(1)","previouslyFormattedCitation":"(1)"},"properties":{"noteIndex":0},"schema":"https://github.com/citation-style-language/schema/raw/master/csl-citation.json"}</w:instrText>
      </w:r>
      <w:r w:rsidRPr="00FD0279">
        <w:rPr>
          <w:rFonts w:ascii="Arial" w:hAnsi="Arial" w:cs="Arial"/>
        </w:rPr>
        <w:fldChar w:fldCharType="separate"/>
      </w:r>
      <w:r w:rsidRPr="00FD0279">
        <w:rPr>
          <w:rFonts w:ascii="Arial" w:hAnsi="Arial" w:cs="Arial"/>
          <w:noProof/>
        </w:rPr>
        <w:t>(1)</w:t>
      </w:r>
      <w:r w:rsidRPr="00FD0279">
        <w:rPr>
          <w:rFonts w:ascii="Arial" w:hAnsi="Arial" w:cs="Arial"/>
        </w:rPr>
        <w:fldChar w:fldCharType="end"/>
      </w:r>
      <w:r w:rsidRPr="00FD0279">
        <w:rPr>
          <w:rFonts w:ascii="Arial" w:hAnsi="Arial" w:cs="Arial"/>
        </w:rPr>
        <w:t xml:space="preserve">. </w:t>
      </w:r>
    </w:p>
    <w:p w14:paraId="20331F27" w14:textId="16AE4348" w:rsidR="00CF7655" w:rsidRPr="00FD0279" w:rsidRDefault="00CF7655" w:rsidP="00FD0279">
      <w:pPr>
        <w:spacing w:line="480" w:lineRule="auto"/>
        <w:ind w:left="57"/>
        <w:rPr>
          <w:rFonts w:ascii="Arial" w:hAnsi="Arial" w:cs="Arial"/>
          <w:lang w:val="en-GB"/>
        </w:rPr>
      </w:pPr>
      <w:r w:rsidRPr="00FD0279">
        <w:rPr>
          <w:rFonts w:ascii="Arial" w:hAnsi="Arial" w:cs="Arial"/>
        </w:rPr>
        <w:t>En el 2017</w:t>
      </w:r>
      <w:r w:rsidR="007359DB" w:rsidRPr="00FD0279">
        <w:rPr>
          <w:rFonts w:ascii="Arial" w:hAnsi="Arial" w:cs="Arial"/>
        </w:rPr>
        <w:t>,</w:t>
      </w:r>
      <w:r w:rsidRPr="00FD0279">
        <w:rPr>
          <w:rFonts w:ascii="Arial" w:hAnsi="Arial" w:cs="Arial"/>
        </w:rPr>
        <w:t xml:space="preserve"> la Sociedad de Medicina de Cuidados Críticos acordó agrupar diversos procesos asistenciales basados en la evidencia, que pudieran convincentemente liberar a los pacientes de manera eficiente y confiable del daño iatrogénico que les produce la </w:t>
      </w:r>
      <w:r w:rsidR="00E7242A" w:rsidRPr="00FD0279">
        <w:rPr>
          <w:rFonts w:ascii="Arial" w:hAnsi="Arial" w:cs="Arial"/>
        </w:rPr>
        <w:t xml:space="preserve">estadía en una </w:t>
      </w:r>
      <w:r w:rsidRPr="00FD0279">
        <w:rPr>
          <w:rFonts w:ascii="Arial" w:hAnsi="Arial" w:cs="Arial"/>
        </w:rPr>
        <w:t xml:space="preserve">UCI mientras se recuperan de </w:t>
      </w:r>
      <w:r w:rsidR="00E7242A" w:rsidRPr="00FD0279">
        <w:rPr>
          <w:rFonts w:ascii="Arial" w:hAnsi="Arial" w:cs="Arial"/>
        </w:rPr>
        <w:t xml:space="preserve">la </w:t>
      </w:r>
      <w:r w:rsidRPr="00FD0279">
        <w:rPr>
          <w:rFonts w:ascii="Arial" w:hAnsi="Arial" w:cs="Arial"/>
        </w:rPr>
        <w:t xml:space="preserve">enfermedad crítica </w:t>
      </w:r>
      <w:r w:rsidRPr="00FD0279">
        <w:rPr>
          <w:rFonts w:ascii="Arial" w:hAnsi="Arial" w:cs="Arial"/>
          <w:lang w:val="es-ES_tradnl"/>
        </w:rPr>
        <w:fldChar w:fldCharType="begin" w:fldLock="1"/>
      </w:r>
      <w:r w:rsidR="00A4509E" w:rsidRPr="00FD0279">
        <w:rPr>
          <w:rFonts w:ascii="Arial" w:hAnsi="Arial" w:cs="Arial"/>
          <w:lang w:val="es-ES_tradnl"/>
        </w:rPr>
        <w:instrText>ADDIN CSL_CITATION {"citationItems":[{"id":"ITEM-1","itemData":{"DOI":"10.1097/CCM.0000000000002175","ISBN":"0000000000","ISSN":"15300293","abstract":"Over the past 20 years, critical care has matured in a myriad of ways resulting in dramatically higher survival rates for our sickest patients. For millions of new survivors comes de novo suffering and disability called \"the postintensive care syndrome.\" Patients with postintensive care syndrome are robbed of their normal cognitive, emotional, and physical capacity and cannot resume their previous life. The ICU Liberation Collaborative is a real-world quality improvement initiative being implemented across 76 ICUs designed to engage strategically the ABCDEF bundle through team- and evidence-based care. This article explains the science and philosophy of liberating ICU patients and families from harm that is both inherent to critical illness and iatrogenic. ICU liberation is an extensive program designed to facilitate the implementation of the pain, agitation, and delirium guidelines using the evidence-based ABCDEF bundle. Participating ICU teams adapt data from hundreds of peer-reviewed studies to operationalize a systematic and reliable methodology that shifts ICU culture from the harmful inertia of sedation and restraints to an animated ICU filled with patients who are awake, cognitively engaged, and mobile with family members engaged as partners with the ICU team at the bedside. In doing so, patients are \"liberated\" from iatrogenic aspects of care that threaten his or her sense of self-worth and human dignity. The goal of this 2017 plenary lecture at the 47th Society of Critical Care Medicine Congress is to provide clinical ICU teams a synthesis of the literature that led to the creation of ICU liberation philosophy and to explain how this patient- and family-centered, quality improvement program is novel, generalizable, and practice changing.","author":[{"dropping-particle":"","family":"Ely","given":"E. Wesley","non-dropping-particle":"","parse-names":false,"suffix":""}],"container-title":"Critical Care Medicine","id":"ITEM-1","issue":"2","issued":{"date-parts":[["2017"]]},"page":"321-330","title":"The ABCDEF bundle: Science and philosophy of how ICU liberation serves patients and families","type":"article-journal","volume":"45"},"uris":["http://www.mendeley.com/documents/?uuid=6f3a43c0-2e79-44bf-bb79-1663764b7137"]}],"mendeley":{"formattedCitation":"(2)","plainTextFormattedCitation":"(2)","previouslyFormattedCitation":"(2)"},"properties":{"noteIndex":0},"schema":"https://github.com/citation-style-language/schema/raw/master/csl-citation.json"}</w:instrText>
      </w:r>
      <w:r w:rsidRPr="00FD0279">
        <w:rPr>
          <w:rFonts w:ascii="Arial" w:hAnsi="Arial" w:cs="Arial"/>
          <w:lang w:val="es-ES_tradnl"/>
        </w:rPr>
        <w:fldChar w:fldCharType="separate"/>
      </w:r>
      <w:r w:rsidR="00D708CE" w:rsidRPr="00FD0279">
        <w:rPr>
          <w:rFonts w:ascii="Arial" w:hAnsi="Arial" w:cs="Arial"/>
          <w:noProof/>
          <w:lang w:val="es-ES_tradnl"/>
        </w:rPr>
        <w:t>(2)</w:t>
      </w:r>
      <w:r w:rsidRPr="00FD0279">
        <w:rPr>
          <w:rFonts w:ascii="Arial" w:hAnsi="Arial" w:cs="Arial"/>
          <w:lang w:val="es-ES_tradnl"/>
        </w:rPr>
        <w:fldChar w:fldCharType="end"/>
      </w:r>
      <w:r w:rsidRPr="00FD0279">
        <w:rPr>
          <w:rFonts w:ascii="Arial" w:hAnsi="Arial" w:cs="Arial"/>
          <w:lang w:val="es-ES_tradnl"/>
        </w:rPr>
        <w:t xml:space="preserve">. </w:t>
      </w:r>
      <w:r w:rsidRPr="00FD0279">
        <w:rPr>
          <w:rFonts w:ascii="Arial" w:hAnsi="Arial" w:cs="Arial"/>
        </w:rPr>
        <w:t xml:space="preserve">Como resultado se creó el ABCDEF </w:t>
      </w:r>
      <w:r w:rsidR="00AD58D7">
        <w:rPr>
          <w:rFonts w:ascii="Arial" w:hAnsi="Arial" w:cs="Arial"/>
        </w:rPr>
        <w:t>“bundle”</w:t>
      </w:r>
      <w:r w:rsidRPr="00FD0279">
        <w:rPr>
          <w:rFonts w:ascii="Arial" w:hAnsi="Arial" w:cs="Arial"/>
        </w:rPr>
        <w:t xml:space="preserve">, el cual es un conjunto de medidas basadas en la mejor evidencia disponible que incorpora instrumentos válidos y confiables para ser aplicados en todos los pacientes ingresados a la UCI. Su objetivo principal es servir de herramienta de monitoreo diario, dirigido a reducir los síntomas de dolor, agitación y delirium </w:t>
      </w:r>
      <w:r w:rsidRPr="00FD0279">
        <w:rPr>
          <w:rFonts w:ascii="Arial" w:hAnsi="Arial" w:cs="Arial"/>
        </w:rPr>
        <w:lastRenderedPageBreak/>
        <w:t xml:space="preserve">que amenazan el sentido de autoestima y dignidad de los </w:t>
      </w:r>
      <w:r w:rsidRPr="00FD0279">
        <w:rPr>
          <w:rFonts w:ascii="Arial" w:hAnsi="Arial" w:cs="Arial"/>
          <w:lang w:val="uz-Cyrl-UZ"/>
        </w:rPr>
        <w:t xml:space="preserve">pacientes </w:t>
      </w:r>
      <w:r w:rsidRPr="00FD0279">
        <w:rPr>
          <w:rFonts w:ascii="Arial" w:hAnsi="Arial" w:cs="Arial"/>
          <w:lang w:val="es-ES_tradnl"/>
        </w:rPr>
        <w:fldChar w:fldCharType="begin" w:fldLock="1"/>
      </w:r>
      <w:r w:rsidR="00A4509E" w:rsidRPr="00FD0279">
        <w:rPr>
          <w:rFonts w:ascii="Arial" w:hAnsi="Arial" w:cs="Arial"/>
          <w:lang w:val="es-ES_tradnl"/>
        </w:rPr>
        <w:instrText>ADDIN CSL_CITATION {"citationItems":[{"id":"ITEM-1","itemData":{"DOI":"10.1097/CCM.0000000000002175","ISBN":"0000000000","ISSN":"15300293","abstract":"Over the past 20 years, critical care has matured in a myriad of ways resulting in dramatically higher survival rates for our sickest patients. For millions of new survivors comes de novo suffering and disability called \"the postintensive care syndrome.\" Patients with postintensive care syndrome are robbed of their normal cognitive, emotional, and physical capacity and cannot resume their previous life. The ICU Liberation Collaborative is a real-world quality improvement initiative being implemented across 76 ICUs designed to engage strategically the ABCDEF bundle through team- and evidence-based care. This article explains the science and philosophy of liberating ICU patients and families from harm that is both inherent to critical illness and iatrogenic. ICU liberation is an extensive program designed to facilitate the implementation of the pain, agitation, and delirium guidelines using the evidence-based ABCDEF bundle. Participating ICU teams adapt data from hundreds of peer-r</w:instrText>
      </w:r>
      <w:r w:rsidR="00A4509E" w:rsidRPr="00DC122E">
        <w:rPr>
          <w:rFonts w:ascii="Arial" w:hAnsi="Arial" w:cs="Arial"/>
          <w:lang w:val="en-US"/>
        </w:rPr>
        <w:instrText>eviewed studies to operationalize a systematic and reliable methodology that shifts ICU culture from the harmful inertia of sedation and restraints to an a</w:instrText>
      </w:r>
      <w:r w:rsidR="00A4509E" w:rsidRPr="00FD0279">
        <w:rPr>
          <w:rFonts w:ascii="Arial" w:hAnsi="Arial" w:cs="Arial"/>
          <w:lang w:val="en-US"/>
        </w:rPr>
        <w:instrText>nimated ICU filled with patients who are awake, cognitively engaged, and mobile with family members engaged as partners with the ICU team at the bedside. In doing so, patients are \"liberated\" from iatrogenic aspects of care that threaten his or her sense of self-worth and human dignity. The goal of this 2017 plenary lecture at the 47th Society of Critical Care Medicine Congress is to provide clinical ICU teams a synthesis of the literature that led to the creation of ICU liberation philosophy and to explain how this patient- and family-centered, quality improvement program is novel, generalizable, and practice changing.","author":[{"dropping-particle":"","family":"Ely","given":"E. Wesley","non-dropping-particle":"","parse-names":false,"suffix":""}],"container-title":"Critical Care Medicine","id":"ITEM-1","issue":"2","issued":{"date-parts":[["2017"]]},"page":"321-330","title":"The ABCDEF bundle: Science and philosophy of how ICU liberation serves patients and families","type":"article-journal","volume":"45"},"uris":["http://www.mendeley.com/documents/?uuid=6f3a43c0-2e79-44bf-bb79-1663764b7137"]}],"mendeley":{"formattedCitation":"(2)","plainTextFormattedCitation":"(2)","previouslyFormattedCitation":"(2)"},"properties":{"noteIndex":0},"schema":"https://github.com/citation-style-language/schema/raw/master/csl-citation.json"}</w:instrText>
      </w:r>
      <w:r w:rsidRPr="00FD0279">
        <w:rPr>
          <w:rFonts w:ascii="Arial" w:hAnsi="Arial" w:cs="Arial"/>
          <w:lang w:val="es-ES_tradnl"/>
        </w:rPr>
        <w:fldChar w:fldCharType="separate"/>
      </w:r>
      <w:r w:rsidR="00D708CE" w:rsidRPr="00FD0279">
        <w:rPr>
          <w:rFonts w:ascii="Arial" w:hAnsi="Arial" w:cs="Arial"/>
          <w:noProof/>
          <w:lang w:val="en-US"/>
        </w:rPr>
        <w:t>(2)</w:t>
      </w:r>
      <w:r w:rsidRPr="00FD0279">
        <w:rPr>
          <w:rFonts w:ascii="Arial" w:hAnsi="Arial" w:cs="Arial"/>
          <w:lang w:val="es-ES_tradnl"/>
        </w:rPr>
        <w:fldChar w:fldCharType="end"/>
      </w:r>
      <w:r w:rsidRPr="00FD0279">
        <w:rPr>
          <w:rFonts w:ascii="Arial" w:hAnsi="Arial" w:cs="Arial"/>
          <w:lang w:val="en-US"/>
        </w:rPr>
        <w:t xml:space="preserve">. </w:t>
      </w:r>
      <w:proofErr w:type="spellStart"/>
      <w:r w:rsidRPr="00FD0279">
        <w:rPr>
          <w:rFonts w:ascii="Arial" w:hAnsi="Arial" w:cs="Arial"/>
          <w:lang w:val="en-US"/>
        </w:rPr>
        <w:t>Cada</w:t>
      </w:r>
      <w:proofErr w:type="spellEnd"/>
      <w:r w:rsidRPr="00FD0279">
        <w:rPr>
          <w:rFonts w:ascii="Arial" w:hAnsi="Arial" w:cs="Arial"/>
          <w:lang w:val="en-US"/>
        </w:rPr>
        <w:t xml:space="preserve"> </w:t>
      </w:r>
      <w:proofErr w:type="spellStart"/>
      <w:r w:rsidRPr="00FD0279">
        <w:rPr>
          <w:rFonts w:ascii="Arial" w:hAnsi="Arial" w:cs="Arial"/>
          <w:lang w:val="en-US"/>
        </w:rPr>
        <w:t>letra</w:t>
      </w:r>
      <w:proofErr w:type="spellEnd"/>
      <w:r w:rsidRPr="00FD0279">
        <w:rPr>
          <w:rFonts w:ascii="Arial" w:hAnsi="Arial" w:cs="Arial"/>
          <w:lang w:val="en-US"/>
        </w:rPr>
        <w:t xml:space="preserve"> se </w:t>
      </w:r>
      <w:proofErr w:type="spellStart"/>
      <w:r w:rsidRPr="00FD0279">
        <w:rPr>
          <w:rFonts w:ascii="Arial" w:hAnsi="Arial" w:cs="Arial"/>
          <w:lang w:val="en-US"/>
        </w:rPr>
        <w:t>relaciona</w:t>
      </w:r>
      <w:proofErr w:type="spellEnd"/>
      <w:r w:rsidRPr="00FD0279">
        <w:rPr>
          <w:rFonts w:ascii="Arial" w:hAnsi="Arial" w:cs="Arial"/>
          <w:lang w:val="en-US"/>
        </w:rPr>
        <w:t xml:space="preserve"> a un </w:t>
      </w:r>
      <w:proofErr w:type="spellStart"/>
      <w:r w:rsidRPr="00FD0279">
        <w:rPr>
          <w:rFonts w:ascii="Arial" w:hAnsi="Arial" w:cs="Arial"/>
          <w:lang w:val="en-US"/>
        </w:rPr>
        <w:t>proceso</w:t>
      </w:r>
      <w:proofErr w:type="spellEnd"/>
      <w:r w:rsidRPr="00FD0279">
        <w:rPr>
          <w:rFonts w:ascii="Arial" w:hAnsi="Arial" w:cs="Arial"/>
          <w:lang w:val="en-GB"/>
        </w:rPr>
        <w:t>:</w:t>
      </w:r>
      <w:r w:rsidR="00E7242A" w:rsidRPr="00FD0279">
        <w:rPr>
          <w:rFonts w:ascii="Arial" w:hAnsi="Arial" w:cs="Arial"/>
          <w:lang w:val="en-GB"/>
        </w:rPr>
        <w:t xml:space="preserve"> </w:t>
      </w:r>
      <w:r w:rsidRPr="00FD0279">
        <w:rPr>
          <w:rFonts w:ascii="Arial" w:hAnsi="Arial" w:cs="Arial"/>
          <w:lang w:val="en-GB"/>
        </w:rPr>
        <w:t>“A”: “</w:t>
      </w:r>
      <w:r w:rsidRPr="00AE00AB">
        <w:rPr>
          <w:rFonts w:ascii="Arial" w:hAnsi="Arial" w:cs="Arial"/>
          <w:i/>
          <w:iCs/>
          <w:lang w:val="en-GB"/>
        </w:rPr>
        <w:t>Assess, Prevent and Manage Pain</w:t>
      </w:r>
      <w:r w:rsidR="007359DB" w:rsidRPr="00AE00AB">
        <w:rPr>
          <w:rFonts w:ascii="Arial" w:hAnsi="Arial" w:cs="Arial"/>
          <w:i/>
          <w:iCs/>
          <w:lang w:val="en-GB"/>
        </w:rPr>
        <w:t>”</w:t>
      </w:r>
      <w:r w:rsidR="007359DB" w:rsidRPr="00FD0279">
        <w:rPr>
          <w:rFonts w:ascii="Arial" w:hAnsi="Arial" w:cs="Arial"/>
          <w:lang w:val="en-GB"/>
        </w:rPr>
        <w:t xml:space="preserve">; </w:t>
      </w:r>
      <w:r w:rsidRPr="00FD0279">
        <w:rPr>
          <w:rFonts w:ascii="Arial" w:hAnsi="Arial" w:cs="Arial"/>
          <w:lang w:val="en-GB"/>
        </w:rPr>
        <w:t xml:space="preserve">“B”: </w:t>
      </w:r>
      <w:r w:rsidRPr="00AE00AB">
        <w:rPr>
          <w:rFonts w:ascii="Arial" w:hAnsi="Arial" w:cs="Arial"/>
          <w:i/>
          <w:iCs/>
          <w:lang w:val="en-GB"/>
        </w:rPr>
        <w:t>“Both Spontaneous Awakening Trials (SAT), and Spontaneous Breathing Trials (SBT</w:t>
      </w:r>
      <w:r w:rsidR="007359DB" w:rsidRPr="00AE00AB">
        <w:rPr>
          <w:rFonts w:ascii="Arial" w:hAnsi="Arial" w:cs="Arial"/>
          <w:i/>
          <w:iCs/>
          <w:lang w:val="en-GB"/>
        </w:rPr>
        <w:t>)</w:t>
      </w:r>
      <w:r w:rsidR="007359DB" w:rsidRPr="00FD0279">
        <w:rPr>
          <w:rFonts w:ascii="Arial" w:hAnsi="Arial" w:cs="Arial"/>
          <w:lang w:val="en-GB"/>
        </w:rPr>
        <w:t xml:space="preserve">”; </w:t>
      </w:r>
      <w:r w:rsidRPr="00FD0279">
        <w:rPr>
          <w:rFonts w:ascii="Arial" w:hAnsi="Arial" w:cs="Arial"/>
          <w:lang w:val="en-GB"/>
        </w:rPr>
        <w:t>“C”: “</w:t>
      </w:r>
      <w:r w:rsidRPr="00AE00AB">
        <w:rPr>
          <w:rFonts w:ascii="Arial" w:hAnsi="Arial" w:cs="Arial"/>
          <w:i/>
          <w:iCs/>
          <w:lang w:val="en-GB"/>
        </w:rPr>
        <w:t>Choice of Analgesia and Sedation”</w:t>
      </w:r>
      <w:r w:rsidR="007359DB" w:rsidRPr="00AE00AB">
        <w:rPr>
          <w:rFonts w:ascii="Arial" w:hAnsi="Arial" w:cs="Arial"/>
          <w:i/>
          <w:iCs/>
          <w:lang w:val="en-GB"/>
        </w:rPr>
        <w:t>;</w:t>
      </w:r>
      <w:r w:rsidR="00A54467" w:rsidRPr="00AE00AB">
        <w:rPr>
          <w:rFonts w:ascii="Arial" w:hAnsi="Arial" w:cs="Arial"/>
          <w:i/>
          <w:iCs/>
          <w:lang w:val="en-GB"/>
        </w:rPr>
        <w:t xml:space="preserve"> </w:t>
      </w:r>
      <w:r w:rsidRPr="00AE00AB">
        <w:rPr>
          <w:rFonts w:ascii="Arial" w:hAnsi="Arial" w:cs="Arial"/>
          <w:i/>
          <w:iCs/>
          <w:lang w:val="en-GB"/>
        </w:rPr>
        <w:t>“D”: “Delirium, Assess, Prevent and Manage</w:t>
      </w:r>
      <w:r w:rsidRPr="00FD0279">
        <w:rPr>
          <w:rFonts w:ascii="Arial" w:hAnsi="Arial" w:cs="Arial"/>
          <w:lang w:val="en-GB"/>
        </w:rPr>
        <w:t>”</w:t>
      </w:r>
      <w:r w:rsidR="007359DB" w:rsidRPr="00FD0279">
        <w:rPr>
          <w:rFonts w:ascii="Arial" w:hAnsi="Arial" w:cs="Arial"/>
          <w:lang w:val="en-GB"/>
        </w:rPr>
        <w:t>;</w:t>
      </w:r>
      <w:r w:rsidRPr="00FD0279">
        <w:rPr>
          <w:rFonts w:ascii="Arial" w:hAnsi="Arial" w:cs="Arial"/>
          <w:lang w:val="en-GB"/>
        </w:rPr>
        <w:t xml:space="preserve"> “E”: “</w:t>
      </w:r>
      <w:r w:rsidRPr="00AE00AB">
        <w:rPr>
          <w:rFonts w:ascii="Arial" w:hAnsi="Arial" w:cs="Arial"/>
          <w:i/>
          <w:iCs/>
          <w:lang w:val="en-GB"/>
        </w:rPr>
        <w:t>Early Mobility and Exercise</w:t>
      </w:r>
      <w:r w:rsidRPr="00FD0279">
        <w:rPr>
          <w:rFonts w:ascii="Arial" w:hAnsi="Arial" w:cs="Arial"/>
          <w:lang w:val="en-GB"/>
        </w:rPr>
        <w:t>”</w:t>
      </w:r>
      <w:r w:rsidR="007359DB" w:rsidRPr="00FD0279">
        <w:rPr>
          <w:rFonts w:ascii="Arial" w:hAnsi="Arial" w:cs="Arial"/>
          <w:lang w:val="en-GB"/>
        </w:rPr>
        <w:t>;</w:t>
      </w:r>
      <w:r w:rsidRPr="00FD0279">
        <w:rPr>
          <w:rFonts w:ascii="Arial" w:hAnsi="Arial" w:cs="Arial"/>
          <w:lang w:val="en-GB"/>
        </w:rPr>
        <w:t xml:space="preserve"> y</w:t>
      </w:r>
      <w:r w:rsidR="00A54467" w:rsidRPr="00FD0279">
        <w:rPr>
          <w:rFonts w:ascii="Arial" w:hAnsi="Arial" w:cs="Arial"/>
          <w:lang w:val="en-GB"/>
        </w:rPr>
        <w:t xml:space="preserve"> </w:t>
      </w:r>
      <w:r w:rsidRPr="00FD0279">
        <w:rPr>
          <w:rFonts w:ascii="Arial" w:hAnsi="Arial" w:cs="Arial"/>
          <w:lang w:val="en-GB"/>
        </w:rPr>
        <w:t>“F”: “</w:t>
      </w:r>
      <w:r w:rsidRPr="00AE00AB">
        <w:rPr>
          <w:rFonts w:ascii="Arial" w:hAnsi="Arial" w:cs="Arial"/>
          <w:i/>
          <w:iCs/>
          <w:lang w:val="en-GB"/>
        </w:rPr>
        <w:t>Family Engagement and Empowerment</w:t>
      </w:r>
      <w:r w:rsidRPr="00FD0279">
        <w:rPr>
          <w:rFonts w:ascii="Arial" w:hAnsi="Arial" w:cs="Arial"/>
          <w:lang w:val="en-GB"/>
        </w:rPr>
        <w:t>”.</w:t>
      </w:r>
    </w:p>
    <w:p w14:paraId="643EE9EA" w14:textId="09403DDB" w:rsidR="00CF7655" w:rsidRPr="00FD0279" w:rsidRDefault="00CF7655" w:rsidP="00FD0279">
      <w:pPr>
        <w:spacing w:line="480" w:lineRule="auto"/>
        <w:ind w:left="57"/>
        <w:rPr>
          <w:rFonts w:ascii="Arial" w:hAnsi="Arial" w:cs="Arial"/>
          <w:lang w:val="uz-Cyrl-UZ"/>
        </w:rPr>
      </w:pPr>
      <w:r w:rsidRPr="00FD0279">
        <w:rPr>
          <w:rFonts w:ascii="Arial" w:hAnsi="Arial" w:cs="Arial"/>
          <w:lang w:val="uz-Cyrl-UZ"/>
        </w:rPr>
        <w:t>En años posteriores, se ha mostra</w:t>
      </w:r>
      <w:r w:rsidR="00E7242A" w:rsidRPr="00FD0279">
        <w:rPr>
          <w:rFonts w:ascii="Arial" w:hAnsi="Arial" w:cs="Arial"/>
          <w:lang w:val="uz-Cyrl-UZ"/>
        </w:rPr>
        <w:t>do</w:t>
      </w:r>
      <w:r w:rsidRPr="00FD0279">
        <w:rPr>
          <w:rFonts w:ascii="Arial" w:hAnsi="Arial" w:cs="Arial"/>
          <w:lang w:val="uz-Cyrl-UZ"/>
        </w:rPr>
        <w:t xml:space="preserve"> que por cada </w:t>
      </w:r>
      <w:r w:rsidR="00E7242A" w:rsidRPr="00FD0279">
        <w:rPr>
          <w:rFonts w:ascii="Arial" w:hAnsi="Arial" w:cs="Arial"/>
          <w:lang w:val="uz-Cyrl-UZ"/>
        </w:rPr>
        <w:t xml:space="preserve">10% de </w:t>
      </w:r>
      <w:r w:rsidRPr="00FD0279">
        <w:rPr>
          <w:rFonts w:ascii="Arial" w:hAnsi="Arial" w:cs="Arial"/>
          <w:lang w:val="uz-Cyrl-UZ"/>
        </w:rPr>
        <w:t xml:space="preserve">aumento </w:t>
      </w:r>
      <w:r w:rsidR="00E7242A" w:rsidRPr="00FD0279">
        <w:rPr>
          <w:rFonts w:ascii="Arial" w:hAnsi="Arial" w:cs="Arial"/>
          <w:lang w:val="uz-Cyrl-UZ"/>
        </w:rPr>
        <w:t>d</w:t>
      </w:r>
      <w:r w:rsidRPr="00FD0279">
        <w:rPr>
          <w:rFonts w:ascii="Arial" w:hAnsi="Arial" w:cs="Arial"/>
          <w:lang w:val="uz-Cyrl-UZ"/>
        </w:rPr>
        <w:t xml:space="preserve">el cumplimiento total del </w:t>
      </w:r>
      <w:r w:rsidR="00AD58D7">
        <w:rPr>
          <w:rFonts w:ascii="Arial" w:hAnsi="Arial" w:cs="Arial"/>
          <w:lang w:val="uz-Cyrl-UZ"/>
        </w:rPr>
        <w:t>“bundle”</w:t>
      </w:r>
      <w:r w:rsidRPr="00FD0279">
        <w:rPr>
          <w:rFonts w:ascii="Arial" w:hAnsi="Arial" w:cs="Arial"/>
          <w:lang w:val="uz-Cyrl-UZ"/>
        </w:rPr>
        <w:t xml:space="preserve">, los pacientes tienen un 7% más de probabilidades de sobrevivencia hospitalaria (OR, 1.07; </w:t>
      </w:r>
      <w:r w:rsidRPr="00FD0279">
        <w:rPr>
          <w:rFonts w:ascii="Arial" w:hAnsi="Arial" w:cs="Arial"/>
          <w:lang w:val="es-ES"/>
        </w:rPr>
        <w:t>I</w:t>
      </w:r>
      <w:r w:rsidR="007359DB" w:rsidRPr="00FD0279">
        <w:rPr>
          <w:rFonts w:ascii="Arial" w:hAnsi="Arial" w:cs="Arial"/>
          <w:lang w:val="es-ES"/>
        </w:rPr>
        <w:t xml:space="preserve">ntervalo de </w:t>
      </w:r>
      <w:r w:rsidRPr="00FD0279">
        <w:rPr>
          <w:rFonts w:ascii="Arial" w:hAnsi="Arial" w:cs="Arial"/>
          <w:lang w:val="es-ES"/>
        </w:rPr>
        <w:t>C</w:t>
      </w:r>
      <w:r w:rsidR="007359DB" w:rsidRPr="00FD0279">
        <w:rPr>
          <w:rFonts w:ascii="Arial" w:hAnsi="Arial" w:cs="Arial"/>
          <w:lang w:val="es-ES"/>
        </w:rPr>
        <w:t>onfianza (IC)</w:t>
      </w:r>
      <w:r w:rsidRPr="00FD0279">
        <w:rPr>
          <w:rFonts w:ascii="Arial" w:hAnsi="Arial" w:cs="Arial"/>
          <w:lang w:val="uz-Cyrl-UZ"/>
        </w:rPr>
        <w:t xml:space="preserve"> del 95%, 1.04–1.11)</w:t>
      </w:r>
      <w:r w:rsidR="00A4509E" w:rsidRPr="00FD0279">
        <w:rPr>
          <w:rFonts w:ascii="Arial" w:hAnsi="Arial" w:cs="Arial"/>
          <w:lang w:val="es-ES"/>
        </w:rPr>
        <w:t xml:space="preserve"> </w:t>
      </w:r>
      <w:r w:rsidR="00A4509E" w:rsidRPr="00FD0279">
        <w:rPr>
          <w:rFonts w:ascii="Arial" w:hAnsi="Arial" w:cs="Arial"/>
          <w:lang w:val="uz-Cyrl-UZ"/>
        </w:rPr>
        <w:fldChar w:fldCharType="begin" w:fldLock="1"/>
      </w:r>
      <w:r w:rsidR="00A4509E" w:rsidRPr="00FD0279">
        <w:rPr>
          <w:rFonts w:ascii="Arial" w:hAnsi="Arial" w:cs="Arial"/>
          <w:lang w:val="uz-Cyrl-UZ"/>
        </w:rPr>
        <w:instrText>ADDIN CSL_CITATION {"citationItems":[{"id":"ITEM-1","itemData":{"DOI":"10.1097/CCM.0000000000002149","ISBN":"0000000000","ISSN":"15300293","PMID":"27861180","abstract":"Objectives: To track compliance by an interprofessional team with the Awakening and Breathing Coordination, Choice of drugs, Delirium monitoring and management, Early mobility, and Family engagement (ABCDEF) bundle in implementing the Pain, Agitation, and Delirium guidelines. The aim was to study the association between ABCDEF bundle compliance and outcomes including hospital survival and delirium-free and coma-free days in community hospitals. Design: A prospective cohort quality improvement initiative involving ICU patients. Setting: Seven community hospitals within California's Sutter Health System. Patients: Ventilated and nonventilated general medical and surgical ICU patients enrolled between January 1, 2014, and December 31, 2014. Measurements and Main Results: Total and partial bundle compliance were measured daily. Random effects regression was used to determine the association between ABCDEF bundle compliance accounting for total compliance (all or none) or for partial compliance (\"dose\" or number of bundle elements used) and outcomes of hospital survival and delirium-free and coma-free days, after adjusting for age, severity of illness, and presence of mechanical ventilation. Of 6,064 patients, a total of 586 (9.7%) died before hospital discharge. For every 10% increase in total bundle compliance, patients had a 7% higher odds of hospital survival (odds ratio, 1.07; 95% CI, 1.04-1.11; p &lt; 0.001). Likewise, for every 10% increase in partial bundle compliance, patients had a 15% higher hospital survival (odds ratio, 1.15; 95% CI, 1.09-1.22; p &lt; 0.001). These results were even more striking (12% and 23% higher odds of survival per 10% increase in bundle compliance, respectively, p &lt; 0.001) in a sensitivity analysis removing ICU patients identified as receiving palliative care. Patients experienced more days alive and free of delirium and coma with both total bundle compliance (incident rate ratio, 1.02; 95% CI, 1.01-1.04; p = 0.004) and partial bundle compliance (incident rate ratio, 1.15; 95% CI, 1.09-1.22; p &lt; 0.001). Conclusions: The evidence-based ABCDEF bundle was successfully implemented in seven community hospital ICUs using an interprofessional team model to operationalize the Pain, Agitation, and Delirium guidelines. Higher bundle compliance was independently associated with improved survival and more days free of delirium and coma after adjusting for age, severity of illness, and presence of mechanical ventilation.","author":[{"dropping-particle":"","family":"Barnes-Daly","given":"Mary Ann","non-dropping-particle":"","parse-names":false,"suffix":""},{"dropping-particle":"","family":"Phillips","given":"Gary","non-dropping-particle":"","parse-names":false,"suffix":""},{"dropping-particle":"","family":"Ely","given":"E. Wesley","non-dropping-particle":"","parse-names":false,"suffix":""}],"container-title":"Critical Care Medicine","id":"ITEM-1","issue":"2","issued":{"date-parts":[["2017"]]},"page":"171-178","title":"Improving hospital survival and reducing brain dysfunction at Seven California Community Hospitals: Implementing PAD guidelines via the ABCDEF bundle in 6,064 patients","type":"article-journal","volume":"45"},"uris":["http://www.mendeley.com/documents/?uuid=7b15c6a9-e686-4d8e-bc2b-5691a83eb0c4"]}],"mendeley":{"formattedCitation":"(3)","plainTextFormattedCitation":"(3)","previouslyFormattedCitation":"(3)"},"properties":{"noteIndex":0},"schema":"https://github.com/citation-style-language/schema/raw/master/csl-citation.json"}</w:instrText>
      </w:r>
      <w:r w:rsidR="00A4509E" w:rsidRPr="00FD0279">
        <w:rPr>
          <w:rFonts w:ascii="Arial" w:hAnsi="Arial" w:cs="Arial"/>
          <w:lang w:val="uz-Cyrl-UZ"/>
        </w:rPr>
        <w:fldChar w:fldCharType="separate"/>
      </w:r>
      <w:r w:rsidR="00A4509E" w:rsidRPr="00FD0279">
        <w:rPr>
          <w:rFonts w:ascii="Arial" w:hAnsi="Arial" w:cs="Arial"/>
          <w:noProof/>
          <w:lang w:val="uz-Cyrl-UZ"/>
        </w:rPr>
        <w:t>(3)</w:t>
      </w:r>
      <w:r w:rsidR="00A4509E" w:rsidRPr="00FD0279">
        <w:rPr>
          <w:rFonts w:ascii="Arial" w:hAnsi="Arial" w:cs="Arial"/>
          <w:lang w:val="uz-Cyrl-UZ"/>
        </w:rPr>
        <w:fldChar w:fldCharType="end"/>
      </w:r>
      <w:r w:rsidRPr="00FD0279">
        <w:rPr>
          <w:rFonts w:ascii="Arial" w:hAnsi="Arial" w:cs="Arial"/>
          <w:lang w:val="uz-Cyrl-UZ"/>
        </w:rPr>
        <w:t>.</w:t>
      </w:r>
      <w:r w:rsidR="00A4509E" w:rsidRPr="00FD0279">
        <w:rPr>
          <w:rFonts w:ascii="Arial" w:hAnsi="Arial" w:cs="Arial"/>
          <w:lang w:val="es-ES"/>
        </w:rPr>
        <w:t xml:space="preserve"> </w:t>
      </w:r>
      <w:r w:rsidRPr="00FD0279">
        <w:rPr>
          <w:rFonts w:ascii="Arial" w:hAnsi="Arial" w:cs="Arial"/>
          <w:lang w:val="uz-Cyrl-UZ"/>
        </w:rPr>
        <w:t xml:space="preserve">Además, con el cumplimiento total del </w:t>
      </w:r>
      <w:r w:rsidR="00AD58D7">
        <w:rPr>
          <w:rFonts w:ascii="Arial" w:hAnsi="Arial" w:cs="Arial"/>
          <w:lang w:val="uz-Cyrl-UZ"/>
        </w:rPr>
        <w:t>“bundle”</w:t>
      </w:r>
      <w:r w:rsidRPr="00FD0279">
        <w:rPr>
          <w:rFonts w:ascii="Arial" w:hAnsi="Arial" w:cs="Arial"/>
          <w:lang w:val="uz-Cyrl-UZ"/>
        </w:rPr>
        <w:t xml:space="preserve"> los pacientes experimentan más días vivos, libres de delirium y coma (índice de incidencia, 1.02; IC del 95%, 1.01–1.04) </w:t>
      </w:r>
      <w:r w:rsidR="00A4509E" w:rsidRPr="00FD0279">
        <w:rPr>
          <w:rFonts w:ascii="Arial" w:hAnsi="Arial" w:cs="Arial"/>
          <w:lang w:val="uz-Cyrl-UZ"/>
        </w:rPr>
        <w:fldChar w:fldCharType="begin" w:fldLock="1"/>
      </w:r>
      <w:r w:rsidR="00A4509E" w:rsidRPr="00FD0279">
        <w:rPr>
          <w:rFonts w:ascii="Arial" w:hAnsi="Arial" w:cs="Arial"/>
          <w:lang w:val="uz-Cyrl-UZ"/>
        </w:rPr>
        <w:instrText>ADDIN CSL_CITATION {"citationItems":[{"id":"ITEM-1","itemData":{"DOI":"10.1097/CCM.0000000000002149","ISBN":"0000000000","ISSN":"15300293","PMID":"27861180","abstract":"Objectives: To track compliance by an interprofessional team with the Awakening and Breathing Coordination, Choice of drugs, Delirium monitoring and management, Early mobility, and Family engagement (ABCDEF) bundle in implementing the Pain, Agitation, and Delirium guidelines. The aim was to study the association between ABCDEF bundle compliance and outcomes including hospital survival and delirium-free and coma-free days in community hospitals. Design: A prospective cohort quality improvement initiative involving ICU patients. Setting: Seven community hospitals within California's Sutter Health System. Patients: Ventilated and nonventilated general medical and surgical ICU patients enrolled between January 1, 2014, and December 31, 2014. Measurements and Main Results: Total and partial bundle compliance were measured daily. Random effects regression was used to determine the association between ABCDEF bundle compliance accounting for total compliance (all or none) or for partial compliance (\"dose\" or number of bundle elements used) and outcomes of hospital survival and delirium-free and coma-free days, after adjusting for age, severity of illness, and presence of mechanical ventilation. Of 6,064 patients, a total of 586 (9.7%) died before hospital discharge. For every 10% increase in total bundle compliance, patients had a 7% higher odds of hospital survival (odds ratio, 1.07; 95% CI, 1.04-1.11; p &lt; 0.001). Likewise, for every 10% increase in partial bundle compliance, patients had a 15% higher hospital survival (odds ratio, 1.15; 95% CI, 1.09-1.22; p &lt; 0.001). These results were even more striking (12% and 23% higher odds of survival per 10% increase in bundle compliance, respectively, p &lt; 0.001) in a sensitivity analysis removing ICU patients identified as receiving palliative care. Patients experienced more days alive and free of delirium and coma with both total bundle compliance (incident rate ratio, 1.02; 95% CI, 1.01-1.04; p = 0.004) and partial bundle compliance (incident rate ratio, 1.15; 95% CI, 1.09-1.22; p &lt; 0.001). Conclusions: The evidence-based ABCDEF bundle was successfully implemented in seven community hospital ICUs using an interprofessional team model to operationalize the Pain, Agitation, and Delirium guidelines. Higher bundle compliance was independently associated with improved survival and more days free of delirium and coma after adjusting for age, severity of illness, and presence of mechanical ventilation.","author":[{"dropping-particle":"","family":"Barnes-Daly","given":"Mary Ann","non-dropping-particle":"","parse-names":false,"suffix":""},{"dropping-particle":"","family":"Phillips","given":"Gary","non-dropping-particle":"","parse-names":false,"suffix":""},{"dropping-particle":"","family":"Ely","given":"E. Wesley","non-dropping-particle":"","parse-names":false,"suffix":""}],"container-title":"Critical Care Medicine","id":"ITEM-1","issue":"2","issued":{"date-parts":[["2017"]]},"page":"171-178","title":"Improving hospital survival and reducing brain dysfunction at Seven California Community Hospitals: Implementing PAD guidelines via the ABCDEF bundle in 6,064 patients","type":"article-journal","volume":"45"},"uris":["http://www.mendeley.com/documents/?uuid=7b15c6a9-e686-4d8e-bc2b-5691a83eb0c4"]}],"mendeley":{"formattedCitation":"(3)","plainTextFormattedCitation":"(3)","previouslyFormattedCitation":"(3)"},"properties":{"noteIndex":0},"schema":"https://github.com/citation-style-language/schema/raw/master/csl-citation.json"}</w:instrText>
      </w:r>
      <w:r w:rsidR="00A4509E" w:rsidRPr="00FD0279">
        <w:rPr>
          <w:rFonts w:ascii="Arial" w:hAnsi="Arial" w:cs="Arial"/>
          <w:lang w:val="uz-Cyrl-UZ"/>
        </w:rPr>
        <w:fldChar w:fldCharType="separate"/>
      </w:r>
      <w:r w:rsidR="00A4509E" w:rsidRPr="00FD0279">
        <w:rPr>
          <w:rFonts w:ascii="Arial" w:hAnsi="Arial" w:cs="Arial"/>
          <w:noProof/>
          <w:lang w:val="uz-Cyrl-UZ"/>
        </w:rPr>
        <w:t>(3)</w:t>
      </w:r>
      <w:r w:rsidR="00A4509E" w:rsidRPr="00FD0279">
        <w:rPr>
          <w:rFonts w:ascii="Arial" w:hAnsi="Arial" w:cs="Arial"/>
          <w:lang w:val="uz-Cyrl-UZ"/>
        </w:rPr>
        <w:fldChar w:fldCharType="end"/>
      </w:r>
      <w:r w:rsidR="00A4509E" w:rsidRPr="00FD0279">
        <w:rPr>
          <w:rFonts w:ascii="Arial" w:hAnsi="Arial" w:cs="Arial"/>
          <w:lang w:val="uz-Cyrl-UZ"/>
        </w:rPr>
        <w:t>.</w:t>
      </w:r>
      <w:r w:rsidR="00A4509E" w:rsidRPr="00FD0279">
        <w:rPr>
          <w:rFonts w:ascii="Arial" w:hAnsi="Arial" w:cs="Arial"/>
          <w:lang w:val="es-ES"/>
        </w:rPr>
        <w:t xml:space="preserve"> </w:t>
      </w:r>
      <w:r w:rsidR="00237F6C">
        <w:rPr>
          <w:rFonts w:ascii="Arial" w:hAnsi="Arial" w:cs="Arial"/>
          <w:lang w:val="es-ES"/>
        </w:rPr>
        <w:t>Otro estudio, mostró que l</w:t>
      </w:r>
      <w:r w:rsidRPr="00FD0279">
        <w:rPr>
          <w:rFonts w:ascii="Arial" w:hAnsi="Arial" w:cs="Arial"/>
          <w:lang w:val="uz-Cyrl-UZ"/>
        </w:rPr>
        <w:t xml:space="preserve">a implementación de todos los componentes del </w:t>
      </w:r>
      <w:r w:rsidR="00AD58D7">
        <w:rPr>
          <w:rFonts w:ascii="Arial" w:hAnsi="Arial" w:cs="Arial"/>
          <w:lang w:val="es-ES"/>
        </w:rPr>
        <w:t>“</w:t>
      </w:r>
      <w:proofErr w:type="spellStart"/>
      <w:r w:rsidR="00AD58D7">
        <w:rPr>
          <w:rFonts w:ascii="Arial" w:hAnsi="Arial" w:cs="Arial"/>
          <w:lang w:val="es-ES"/>
        </w:rPr>
        <w:t>bundle</w:t>
      </w:r>
      <w:proofErr w:type="spellEnd"/>
      <w:r w:rsidR="00AD58D7">
        <w:rPr>
          <w:rFonts w:ascii="Arial" w:hAnsi="Arial" w:cs="Arial"/>
          <w:lang w:val="es-ES"/>
        </w:rPr>
        <w:t>”</w:t>
      </w:r>
      <w:r w:rsidRPr="00FD0279">
        <w:rPr>
          <w:rFonts w:ascii="Arial" w:hAnsi="Arial" w:cs="Arial"/>
          <w:lang w:val="uz-Cyrl-UZ"/>
        </w:rPr>
        <w:t xml:space="preserve"> se asoci</w:t>
      </w:r>
      <w:proofErr w:type="spellStart"/>
      <w:r w:rsidR="00A4509E" w:rsidRPr="00FD0279">
        <w:rPr>
          <w:rFonts w:ascii="Arial" w:hAnsi="Arial" w:cs="Arial"/>
          <w:lang w:val="es-ES"/>
        </w:rPr>
        <w:t>ó</w:t>
      </w:r>
      <w:proofErr w:type="spellEnd"/>
      <w:r w:rsidRPr="00FD0279">
        <w:rPr>
          <w:rFonts w:ascii="Arial" w:hAnsi="Arial" w:cs="Arial"/>
          <w:lang w:val="uz-Cyrl-UZ"/>
        </w:rPr>
        <w:t xml:space="preserve"> con una menor probabilidad de siete resultados: muerte hospitalaria dentro de los 7 días (</w:t>
      </w:r>
      <w:r w:rsidR="00237F6C">
        <w:rPr>
          <w:rFonts w:ascii="Arial" w:hAnsi="Arial" w:cs="Arial"/>
          <w:lang w:val="es-ES"/>
        </w:rPr>
        <w:t>RR</w:t>
      </w:r>
      <w:r w:rsidRPr="00FD0279">
        <w:rPr>
          <w:rFonts w:ascii="Arial" w:hAnsi="Arial" w:cs="Arial"/>
          <w:lang w:val="uz-Cyrl-UZ"/>
        </w:rPr>
        <w:t xml:space="preserve"> 0,32; IC, 0,17-0,62), ventilación mecánica al día siguiente  [OR], 0,28; IC, 0,22 –0.36), coma (OR, 0.35; CI, 0.22–0.56), delirium (OR, 0.60; CI, 0.49–0.72), restricción física (OR, 0.37; CI, 0.30–0.46), reingreso </w:t>
      </w:r>
      <w:r w:rsidR="009152C8" w:rsidRPr="00FD0279">
        <w:rPr>
          <w:rFonts w:ascii="Arial" w:hAnsi="Arial" w:cs="Arial"/>
          <w:lang w:val="uz-Cyrl-UZ"/>
        </w:rPr>
        <w:t xml:space="preserve">a </w:t>
      </w:r>
      <w:r w:rsidRPr="00FD0279">
        <w:rPr>
          <w:rFonts w:ascii="Arial" w:hAnsi="Arial" w:cs="Arial"/>
          <w:lang w:val="uz-Cyrl-UZ"/>
        </w:rPr>
        <w:t xml:space="preserve">la UCI (AOR, 0.54; IC, 0,37-0,79) y alta </w:t>
      </w:r>
      <w:r w:rsidR="009152C8" w:rsidRPr="00FD0279">
        <w:rPr>
          <w:rFonts w:ascii="Arial" w:hAnsi="Arial" w:cs="Arial"/>
          <w:lang w:val="uz-Cyrl-UZ"/>
        </w:rPr>
        <w:t xml:space="preserve">a </w:t>
      </w:r>
      <w:r w:rsidRPr="00FD0279">
        <w:rPr>
          <w:rFonts w:ascii="Arial" w:hAnsi="Arial" w:cs="Arial"/>
          <w:lang w:val="uz-Cyrl-UZ"/>
        </w:rPr>
        <w:t>un centro que no sea el hogar (OR, 0,64; IC, 0,51-0,80)</w:t>
      </w:r>
      <w:r w:rsidR="00883112">
        <w:rPr>
          <w:rFonts w:ascii="Arial" w:hAnsi="Arial" w:cs="Arial"/>
          <w:lang w:val="es-ES"/>
        </w:rPr>
        <w:t>.</w:t>
      </w:r>
      <w:r w:rsidR="00A4509E" w:rsidRPr="00FD0279">
        <w:rPr>
          <w:rFonts w:ascii="Arial" w:hAnsi="Arial" w:cs="Arial"/>
          <w:lang w:val="es-ES"/>
        </w:rPr>
        <w:t xml:space="preserve"> </w:t>
      </w:r>
      <w:r w:rsidRPr="00FD0279">
        <w:rPr>
          <w:rFonts w:ascii="Arial" w:hAnsi="Arial" w:cs="Arial"/>
          <w:lang w:val="es-ES_tradnl"/>
        </w:rPr>
        <w:fldChar w:fldCharType="begin" w:fldLock="1"/>
      </w:r>
      <w:r w:rsidR="00A4509E" w:rsidRPr="00FD0279">
        <w:rPr>
          <w:rFonts w:ascii="Arial" w:hAnsi="Arial" w:cs="Arial"/>
          <w:lang w:val="es-ES_tradnl"/>
        </w:rPr>
        <w:instrText>ADDIN CSL_CITATION {"citationItems":[{"id":"ITEM-1","itemData":{"DOI":"10.1097/CCM.0000000000003482","ISBN":"0000000000","ISSN":"15300293","abstract":"Objective: Decades-old, common ICU practices including deep sedation, immobilization, and limited family access are being challenged. We endeavoured to evaluate the relationship between ABCDEF bundle performance and patient-centered outcomes in critical care. Design: Prospective, multicenter, cohort study from a national quality improvement collaborative. Setting: 68 academic, community, and federal ICUs collected data during a 20-month period. Patients: 15,226 adults with at least one ICU day. Interventions: We defined ABCDEF bundle performance (our main exposure) in two ways: 1) complete performance (patient received every eligible bundle element on any given day) and 2) proportional performance (percentage of eligible bundle elements performed on any given day). We explored the association between complete and proportional ABCDEF bundle performance and three sets of outcomes: patient-related (mortality, ICU and hospital discharge), symptom-related (mechanical ventilation, coma, delirium, pain, restraint use), and system-related (ICU readmission, discharge destination). All models were adjusted for a minimum of 18 a priori determined potential confounders. Measurements and Results: Complete ABCDEF bundle performance was associated with lower likelihood of seven outcomes: hospital death within 7 days (adjusted hazard ratio, 0.32; CI, 0.17-0.62), next-day mechanical ventilation (adjusted odds ratio [AOR], 0.28; CI, 0.22-0.36), coma (AOR, 0.35; CI, 0.22-0.56), delirium (AOR, 0.60; CI, 0.49-0.72), physical restraint use (AOR, 0.37; CI, 0.30-0.46), ICU readmission (AOR, 0.54; CI, 0.37-0.79), and discharge to a facility other than home (AOR, 0.64; CI, 0.51-0.80). There was a consistent dose-response relationship between higher proportional bundle performance and improvements in each of the above-mentioned clinical outcomes (all p &lt; 0.002). Significant pain was more frequently reported as bundle performance proportionally increased (p = 0.0001). Conclusions: ABCDEF bundle performance showed significant and clinically meaningful improvements in outcomes including survival, mechanical ventilation use, coma, delirium, restraint-free care, ICU readmissions, and post-ICU discharge disposition.","author":[{"dropping-particle":"","family":"Pun","given":"Brenda T.","non-dropping-particle":"","parse-names":false,"suffix":""},{"dropping-particle":"","family":"Balas","given":"Michele C.","non-dropping-particle":"","parse-names":false,"suffix":""},{"dropping-particle":"","family":"Barnes-Daly","given":"Mary Ann","non-dropping-particle":"","parse-names":false,"suffix":""},{"dropping-particle":"","family":"Thompson","given":"Jennifer L.","non-dropping-particle":"","parse-names":false,"suffix":""},{"dropping-particle":"","family":"Aldrich","given":"J. Matthew","non-dropping-particle":"","parse-names":false,"suffix":""},{"dropping-particle":"","family":"Barr","given":"Juliana","non-dropping-particle":"","parse-names":false,"suffix":""},{"dropping-particle":"","family":"Byrum","given":"Diane","non-dropping-particle":"","parse-names":false,"suffix":""},{"dropping-particle":"","family":"Carson","given":"Shannon S.","non-dropping-particle":"","parse-names":false,"suffix":""},{"dropping-particle":"","family":"Devlin","given":"John W.","non-dropping-particle":"","parse-names":false,"suffix":""},{"dropping-particle":"","family":"Engel","given":"Heidi J.","non-dropping-particle":"","parse-names":false,"suffix":""},{"dropping-particle":"","family":"Esbrook","given":"Cheryl L.","non-dropping-particle":"","parse-names":false,"suffix":""},{"dropping-particle":"","family":"Hargett","given":"Ken D.","non-dropping-particle":"","parse-names":false,"suffix":""},{"dropping-particle":"","family":"Harmon","given":"Lori","non-dropping-particle":"","parse-names":false,"suffix":""},{"dropping-particle":"","family":"Hielsberg","given":"Christina","non-dropping-particle":"","parse-names":false,"suffix":""},{"dropping-particle":"","family":"Jackson","given":"James C.","non-dropping-particle":"","parse-names":false,"suffix":""},{"dropping-particle":"","family":"Kelly","given":"Tamra L.","non-dropping-particle":"","parse-names":false,"suffix":""},{"dropping-particle":"","family":"Kumar","given":"Vishakha","non-dropping-particle":"","parse-names":false,"suffix":""},{"dropping-particle":"","family":"Millner","given":"Lawson","non-dropping-particle":"","parse-names":false,"suffix":""},{"dropping-particle":"","family":"Morse","given":"Alexandra","non-dropping-particle":"","parse-names":false,"suffix":""},{"dropping-particle":"","family":"Perme","given":"Christiane S.","non-dropping-particle":"","parse-nam</w:instrText>
      </w:r>
      <w:r w:rsidR="00A4509E" w:rsidRPr="00883112">
        <w:rPr>
          <w:rFonts w:ascii="Arial" w:hAnsi="Arial" w:cs="Arial"/>
        </w:rPr>
        <w:instrText>es":false,"suffix":""},{"dropping-particle":"","family":"Posa","given":"Patricia J.","non-dropping-particle":"","parse-names":false,"suffix":""},{"dropping-particle":"","family":"Puntillo","given":"Kathleen A.","non-dropping-particle":"","parse-names":false,"suffix":""},{"dropping-particle":"","family":"Schweickert","given":"William D.","non-dropping-particle":"","parse-names":false,"suffix":""},{"dropping-particle":"","family":"Stollings","given":"Joanna L.","non-dropping-particle":"","parse-names":false,"suffix":""},{"dropping-particle":"","family":"Tan","given":"Alai","non-dropping-particle":"","parse-names":false,"suffix":""},{"dropping-particle":"","family":"D'Agostino McGowan","given":"Lucy","non-dropping-particle":"","parse-names":false,"suffix":""},{"dropping-particle":"","family":"Ely","given":"E. Wesley","non-dropping-particle":"","parse-names":false,"suffix":""}],"container-title":"Critical Care Medicine","id":"ITEM-1","issue":"1","issued":{"date-parts":[["2019"]]},"page":"3-14","title":"Caring for Critically Ill Patients with the ABCDEF Bundle: Results of the ICU Liberation Collaborative in Over 15,000 Adults","type":"article-journal","volume":"47"},"uris":["http://www.mendeley.com/documents/?uuid=c8708401-f3f9-4bfd-896c-b1ccb17bbdaa"]}],"mendeley":{"formattedCitation":"(4)","plainTextFormattedCitation":"(4)","previouslyFormattedCitation":"(4)"},"properties":{"noteIndex":0},"schema":"https://github.com/citation-style-language/schema/raw/master/csl-citation.json"}</w:instrText>
      </w:r>
      <w:r w:rsidRPr="00FD0279">
        <w:rPr>
          <w:rFonts w:ascii="Arial" w:hAnsi="Arial" w:cs="Arial"/>
          <w:lang w:val="es-ES_tradnl"/>
        </w:rPr>
        <w:fldChar w:fldCharType="separate"/>
      </w:r>
      <w:r w:rsidR="00A4509E" w:rsidRPr="00883112">
        <w:rPr>
          <w:rFonts w:ascii="Arial" w:hAnsi="Arial" w:cs="Arial"/>
          <w:noProof/>
        </w:rPr>
        <w:t>(4)</w:t>
      </w:r>
      <w:r w:rsidRPr="00FD0279">
        <w:rPr>
          <w:rFonts w:ascii="Arial" w:hAnsi="Arial" w:cs="Arial"/>
          <w:lang w:val="es-ES_tradnl"/>
        </w:rPr>
        <w:fldChar w:fldCharType="end"/>
      </w:r>
    </w:p>
    <w:p w14:paraId="5CA0B28A" w14:textId="6F33DADD" w:rsidR="00CF7655" w:rsidRPr="006F33AE" w:rsidRDefault="00CF7655" w:rsidP="00FD0279">
      <w:pPr>
        <w:spacing w:line="480" w:lineRule="auto"/>
        <w:ind w:left="57"/>
        <w:rPr>
          <w:rFonts w:ascii="Arial" w:hAnsi="Arial" w:cs="Arial"/>
        </w:rPr>
      </w:pPr>
      <w:r w:rsidRPr="00FD0279">
        <w:rPr>
          <w:rFonts w:ascii="Arial" w:hAnsi="Arial" w:cs="Arial"/>
          <w:lang w:val="uz-Cyrl-UZ"/>
        </w:rPr>
        <w:t>A pesar de los buenos resultados reportados en la literatura, su conocimiento e implementación en la práctica es variable.</w:t>
      </w:r>
      <w:r w:rsidR="00F0171F">
        <w:rPr>
          <w:rFonts w:ascii="Arial" w:hAnsi="Arial" w:cs="Arial"/>
          <w:lang w:val="es-ES"/>
        </w:rPr>
        <w:t xml:space="preserve"> Una encuesta mundial relacionada al  </w:t>
      </w:r>
      <w:r w:rsidR="00AD58D7">
        <w:rPr>
          <w:rFonts w:ascii="Arial" w:hAnsi="Arial" w:cs="Arial"/>
          <w:lang w:val="es-ES"/>
        </w:rPr>
        <w:t>“</w:t>
      </w:r>
      <w:proofErr w:type="spellStart"/>
      <w:r w:rsidR="00AD58D7">
        <w:rPr>
          <w:rFonts w:ascii="Arial" w:hAnsi="Arial" w:cs="Arial"/>
          <w:lang w:val="es-ES"/>
        </w:rPr>
        <w:t>bundle</w:t>
      </w:r>
      <w:proofErr w:type="spellEnd"/>
      <w:r w:rsidR="00AD58D7">
        <w:rPr>
          <w:rFonts w:ascii="Arial" w:hAnsi="Arial" w:cs="Arial"/>
          <w:lang w:val="es-ES"/>
        </w:rPr>
        <w:t>”</w:t>
      </w:r>
      <w:r w:rsidR="00F0171F">
        <w:rPr>
          <w:rFonts w:ascii="Arial" w:hAnsi="Arial" w:cs="Arial"/>
          <w:lang w:val="es-ES"/>
        </w:rPr>
        <w:t xml:space="preserve"> </w:t>
      </w:r>
      <w:r w:rsidR="00C677F9">
        <w:rPr>
          <w:rFonts w:ascii="Arial" w:hAnsi="Arial" w:cs="Arial"/>
          <w:lang w:val="es-ES"/>
        </w:rPr>
        <w:t xml:space="preserve">mostró que el </w:t>
      </w:r>
      <w:r w:rsidR="00AC3392" w:rsidRPr="00F0171F">
        <w:rPr>
          <w:rFonts w:ascii="Arial" w:hAnsi="Arial" w:cs="Arial"/>
        </w:rPr>
        <w:t xml:space="preserve">57% de 1.521 profesionales encuestados reportaron </w:t>
      </w:r>
      <w:r w:rsidR="00AC3392" w:rsidRPr="00F0171F">
        <w:rPr>
          <w:rFonts w:ascii="Arial" w:hAnsi="Arial" w:cs="Arial"/>
        </w:rPr>
        <w:lastRenderedPageBreak/>
        <w:t xml:space="preserve">implementar el </w:t>
      </w:r>
      <w:r w:rsidR="006F33AE">
        <w:rPr>
          <w:rFonts w:ascii="Arial" w:hAnsi="Arial" w:cs="Arial"/>
          <w:i/>
          <w:iCs/>
        </w:rPr>
        <w:t>“bundle”</w:t>
      </w:r>
      <w:r w:rsidRPr="00F0171F">
        <w:rPr>
          <w:rFonts w:ascii="Arial" w:hAnsi="Arial" w:cs="Arial"/>
        </w:rPr>
        <w:t xml:space="preserve">, </w:t>
      </w:r>
      <w:r w:rsidR="00AC3392" w:rsidRPr="00F0171F">
        <w:rPr>
          <w:rFonts w:ascii="Arial" w:hAnsi="Arial" w:cs="Arial"/>
        </w:rPr>
        <w:t>sin embargo</w:t>
      </w:r>
      <w:r w:rsidR="00D254BF" w:rsidRPr="00F0171F">
        <w:rPr>
          <w:rFonts w:ascii="Arial" w:hAnsi="Arial" w:cs="Arial"/>
        </w:rPr>
        <w:t>,</w:t>
      </w:r>
      <w:r w:rsidR="00AC3392" w:rsidRPr="00F0171F">
        <w:rPr>
          <w:rFonts w:ascii="Arial" w:hAnsi="Arial" w:cs="Arial"/>
        </w:rPr>
        <w:t xml:space="preserve"> </w:t>
      </w:r>
      <w:r w:rsidRPr="00F0171F">
        <w:rPr>
          <w:rFonts w:ascii="Arial" w:hAnsi="Arial" w:cs="Arial"/>
        </w:rPr>
        <w:t>el grado de cumplimiento fue variable</w:t>
      </w:r>
      <w:r w:rsidR="00AC3392" w:rsidRPr="00F0171F">
        <w:rPr>
          <w:rFonts w:ascii="Arial" w:hAnsi="Arial" w:cs="Arial"/>
        </w:rPr>
        <w:t xml:space="preserve"> por continente</w:t>
      </w:r>
      <w:r w:rsidRPr="00F0171F">
        <w:rPr>
          <w:rFonts w:ascii="Arial" w:hAnsi="Arial" w:cs="Arial"/>
        </w:rPr>
        <w:t xml:space="preserve">. El 83% utilizó una </w:t>
      </w:r>
      <w:r w:rsidRPr="00FD0279">
        <w:rPr>
          <w:rFonts w:ascii="Arial" w:hAnsi="Arial" w:cs="Arial"/>
          <w:lang w:val="es-ES_tradnl"/>
        </w:rPr>
        <w:t>escala para evaluar el dolor, las pruebas de despertar espontáneo y de respiración espontánea se realiza</w:t>
      </w:r>
      <w:r w:rsidR="00AC3392" w:rsidRPr="00FD0279">
        <w:rPr>
          <w:rFonts w:ascii="Arial" w:hAnsi="Arial" w:cs="Arial"/>
          <w:lang w:val="es-ES_tradnl"/>
        </w:rPr>
        <w:t>ro</w:t>
      </w:r>
      <w:r w:rsidRPr="00FD0279">
        <w:rPr>
          <w:rFonts w:ascii="Arial" w:hAnsi="Arial" w:cs="Arial"/>
          <w:lang w:val="es-ES_tradnl"/>
        </w:rPr>
        <w:t xml:space="preserve">n en 66% y 67% de las UCI que respondieron, respectivamente, mientras que la monitorización del </w:t>
      </w:r>
      <w:r w:rsidR="004D2D19">
        <w:rPr>
          <w:rFonts w:ascii="Arial" w:hAnsi="Arial" w:cs="Arial"/>
          <w:lang w:val="es-ES_tradnl"/>
        </w:rPr>
        <w:t>delirio</w:t>
      </w:r>
      <w:r w:rsidRPr="00FD0279">
        <w:rPr>
          <w:rFonts w:ascii="Arial" w:hAnsi="Arial" w:cs="Arial"/>
          <w:lang w:val="es-ES_tradnl"/>
        </w:rPr>
        <w:t xml:space="preserve"> se implementó en el 70% de las UCI, pero solo el 42% utilizó una herramienta validada en su evaluación. Del mismo modo, la movilización temprana fue prescrita </w:t>
      </w:r>
      <w:r w:rsidR="00693E84" w:rsidRPr="00FD0279">
        <w:rPr>
          <w:rFonts w:ascii="Arial" w:hAnsi="Arial" w:cs="Arial"/>
          <w:lang w:val="es-ES_tradnl"/>
        </w:rPr>
        <w:t>por el 82%</w:t>
      </w:r>
      <w:r w:rsidRPr="00FD0279">
        <w:rPr>
          <w:rFonts w:ascii="Arial" w:hAnsi="Arial" w:cs="Arial"/>
          <w:lang w:val="es-ES_tradnl"/>
        </w:rPr>
        <w:t xml:space="preserve">, pero el 69% no tenía equipo para implementar la movilidad de los pacientes y el 79% no usa escala de movilidad formal para prescribir y evaluar el progreso. </w:t>
      </w:r>
      <w:r w:rsidR="00AC3392" w:rsidRPr="00FD0279">
        <w:rPr>
          <w:rFonts w:ascii="Arial" w:hAnsi="Arial" w:cs="Arial"/>
          <w:lang w:val="es-ES_tradnl"/>
        </w:rPr>
        <w:t xml:space="preserve">Sólo </w:t>
      </w:r>
      <w:r w:rsidRPr="00FD0279">
        <w:rPr>
          <w:rFonts w:ascii="Arial" w:hAnsi="Arial" w:cs="Arial"/>
          <w:lang w:val="es-ES_tradnl"/>
        </w:rPr>
        <w:t xml:space="preserve">el 36% de los encuestados evaluó </w:t>
      </w:r>
      <w:r w:rsidR="00D254BF" w:rsidRPr="00FD0279">
        <w:rPr>
          <w:rFonts w:ascii="Arial" w:hAnsi="Arial" w:cs="Arial"/>
          <w:lang w:val="es-ES_tradnl"/>
        </w:rPr>
        <w:t>d</w:t>
      </w:r>
      <w:r w:rsidR="00AC3392" w:rsidRPr="00FD0279">
        <w:rPr>
          <w:rFonts w:ascii="Arial" w:hAnsi="Arial" w:cs="Arial"/>
          <w:lang w:val="es-ES_tradnl"/>
        </w:rPr>
        <w:t xml:space="preserve">ebilidad </w:t>
      </w:r>
      <w:r w:rsidR="00D254BF" w:rsidRPr="00FD0279">
        <w:rPr>
          <w:rFonts w:ascii="Arial" w:hAnsi="Arial" w:cs="Arial"/>
          <w:lang w:val="es-ES_tradnl"/>
        </w:rPr>
        <w:t>a</w:t>
      </w:r>
      <w:r w:rsidR="00AC3392" w:rsidRPr="00FD0279">
        <w:rPr>
          <w:rFonts w:ascii="Arial" w:hAnsi="Arial" w:cs="Arial"/>
          <w:lang w:val="es-ES_tradnl"/>
        </w:rPr>
        <w:t xml:space="preserve">dquirida en </w:t>
      </w:r>
      <w:r w:rsidRPr="00FD0279">
        <w:rPr>
          <w:rFonts w:ascii="Arial" w:hAnsi="Arial" w:cs="Arial"/>
          <w:lang w:val="es-ES_tradnl"/>
        </w:rPr>
        <w:t>UCI</w:t>
      </w:r>
      <w:r w:rsidR="00AC3392" w:rsidRPr="00FD0279">
        <w:rPr>
          <w:rFonts w:ascii="Arial" w:hAnsi="Arial" w:cs="Arial"/>
          <w:lang w:val="es-ES_tradnl"/>
        </w:rPr>
        <w:t xml:space="preserve"> (DA-UCI)</w:t>
      </w:r>
      <w:r w:rsidRPr="00FD0279">
        <w:rPr>
          <w:rFonts w:ascii="Arial" w:hAnsi="Arial" w:cs="Arial"/>
          <w:lang w:val="es-ES_tradnl"/>
        </w:rPr>
        <w:t>. Los miembros de la familia participaron activamente en el 67% de las UCI; sin embargo, solo el 33% utilizó personal dedicado para apoyar a las familias y solo el 35% informó que su unidad estaba abierta las 24 horas al día para visitas familiares</w:t>
      </w:r>
      <w:r w:rsidR="00D254BF" w:rsidRPr="00FD0279">
        <w:rPr>
          <w:rFonts w:ascii="Arial" w:hAnsi="Arial" w:cs="Arial"/>
          <w:lang w:val="es-ES_tradnl"/>
        </w:rPr>
        <w:t xml:space="preserve">. </w:t>
      </w:r>
      <w:r w:rsidRPr="00FD0279">
        <w:rPr>
          <w:rFonts w:ascii="Arial" w:hAnsi="Arial" w:cs="Arial"/>
          <w:lang w:val="es-ES_tradnl"/>
        </w:rPr>
        <w:fldChar w:fldCharType="begin" w:fldLock="1"/>
      </w:r>
      <w:r w:rsidR="00A4509E" w:rsidRPr="00FD0279">
        <w:rPr>
          <w:rFonts w:ascii="Arial" w:hAnsi="Arial" w:cs="Arial"/>
          <w:lang w:val="es-ES_tradnl"/>
        </w:rPr>
        <w:instrText>ADDIN CSL_CITATION {"citationItems":[{"id":"ITEM-1","itemData":{"DOI":"10.1097/CCM.0000000000002640","ISBN":"0000000000","ISSN":"15300293","PMID":"28787293","abstract":"OBJECTIVES: To assess the knowledge and use of the Assessment, prevention, and management of pain; spontaneous awakening and breathing trials; Choice of analgesia and sedation; Delirium assessment; Early mobility and exercise; and Family engagement and empowerment (ABCDEF) bundle to implement the Pain, Agitation, Delirium guidelines.\nDESIGN: Worldwide online survey.\nSETTING: Intensive care.\nINTERVENTION: A cross-sectional online survey using the Delphi method was administered to intensivists worldwide, to assess the knowledge and use of all aspects of the ABCDEF bundle.\nMEASUREMENT AND MAIN RESULTS: There were 1,521 respondents from 47 countries, 57% had implemented the ABCDEF bundle, with varying degrees of compliance across continents. Most of the respondents (83%) used a scale to evaluate pain. Spontaneous awakening trials and spontaneous breathing trials are performed in 66% and 67% of the responder ICUs, respectively. Sedation scale was used in 89% of ICUs. Delirium monitoring was implemented in 70% of ICUs, but only 42% used a validated delirium tool. Likewise, early mobilization was \"prescribed\" by most, but 69% had no mobility team and 79% used no formal mobility scale. Only 36% of the respondents assessed ICU-acquired weakness. Family members were actively involved in 67% of ICUs; however, only 33% used dedicated staff to support families and only 35% reported that their unit was open 24 hr/d for family visits.\nCONCLUSIONS: The current implementation of the ABCDEF bundle varies across individual components and regions. We identified specific targets for quality improvement and adoption of the ABCDEF bundle. Our data reflect a significant but incomplete shift toward patient- and family-centered ICU care in accordance with the Pain, Agitation, Delirium guidelines.","author":[{"dropping-particle":"","family":"Morandi","given":"Alessandro","non-dropping-particle":"","parse-names":false,"suffix":""},{"dropping-particle":"","family":"Piva","given":"Simone","non-dropping-particle":"","parse-names":false,"suffix":""},{"dropping-particle":"","family":"Ely","given":"E. Wesley","non-dropping-particle":"","parse-names":false,"suffix":""},{"dropping-particle":"","family":"Myatra","given":"Sheila Nainan","non-dropping-particle":"","parse-names":false,"suffix":""},{"dropping-particle":"","family":"Salluh","given":"Jorge I.F.","non-dropping-particle":"","parse-names":false,"suffix":""},{"dropping-particle":"","family":"Amare","given":"Dawit","non-dropping-particle":"","parse-names":false,"suffix":""},{"dropping-particle":"","family":"Azoulay","given":"Elie","non-dropping-particle":"","parse-names":false,"suffix":""},{"dropping-particle":"","family":"Bellelli","given":"Giuseppe","non-dropping-particle":"","parse-names":false,"suffix":""},{"dropping-particle":"","family":"Csomos","given":"Akos","non-dropping-particle":"","parse-names":false,"suffix":""},{"dropping-particle":"","family":"Fan","given":"Eddy","non-dropping-particle":"","parse-names":false,"suffix":""},{"dropping-particle":"","family":"Fagoni","given":"Nazzareno","non-dropping-particle":"","parse-names":false,"suffix":""},{"dropping-particle":"","family":"Girard","given":"Timothy D.","non-dropping-particle":"","parse-names":false,"suffix":""},{"dropping-particle":"","family":"Heras La Calle","given":"Gabriel","non-dropping-particle":"","parse-names":false,"suffix":""},{"dropping-particle":"","family":"Inoue","given":"Shigeaki","non-dropping-particle":"","parse-names":false,"suffix":""},{"dropping-particle":"","family":"Lim","given":"Chae Man","non-dropping-particle":"","parse-names":false,"suffix":""},{"dropping-particle":"","family":"Kaps","given":"Rafael","non-dropping-particle":"","parse-names":false,"suffix":""},{"dropping-particle":"","family":"Kotfis","given":"Katarzyna","non-dropping-particle":"","parse-names":false,"suffix":""},{"dropping-particle":"","family":"Koh","given":"Younsuck","non-dropping-particle":"","parse-names":false,"suffix":""},{"dropping-particle":"","family":"Misango","given":"David","non-dropping-particle":"","parse-names":false,"suffix":""},{"dropping-particle":"","family":"Pandharipande","given":"Pratik P.","non-dropping-particle":"","parse-names":false,"suffix":""},{"dropping-particle":"","family":"Permpikul","given":"Chairat","non-dropping-particle":"","parse-names":false,"suffix":""},{"dropping-particle":"","family":"Cheng Tan","given":"Cheng","non-dropping-particle":"","parse-names":false,"suffix":""},{"dropping-particle":"","family":"Wang","given":"Dong Xin","non-dropping-particle":"","parse-names":false,"suffix":""},{"dropping-particle":"","family":"Sharshar","given":"Tarek","non-dropping-particle":"","parse-names":false,"suffix":""},{"dropping-particle":"","family":"Shehabi","</w:instrText>
      </w:r>
      <w:r w:rsidR="00A4509E" w:rsidRPr="006F33AE">
        <w:rPr>
          <w:rFonts w:ascii="Arial" w:hAnsi="Arial" w:cs="Arial"/>
        </w:rPr>
        <w:instrText>given":"Yahya","non-dropping-particle":"","parse-names":false,"suffix":""},{"dropping-particle":"","family":"Skrobik","given":"Yoanna","non-dropping-particle":"","parse-names":false,"suffix":""},{"dropping-particle":"","family":"Singh","given":"Jeffrey M.","non-dropping-particle":"","parse-names":false,"suffix":""},{"dropping-particle":"","family":"Slooter","given":"Arjen","non-dropping-particle":"","parse-names":false,"suffix":""},{"dropping-particle":"","family":"Smith","given":"Martin","non-dropping-particle":"","parse-names":false,"suffix":""},{"dropping-particle":"","family":"Tsuruta","given":"Ryosuke","non-dropping-particle":"","parse-names":false,"suffix":""},{"dropping-particle":"","family":"Latronico","given":"Nicola","non-dropping-particle":"","parse-names":false,"suffix":""}],"container-title":"Critical care medicine","id":"ITEM-1","issue":"11","issued":{"date-parts":[["2017"]]},"page":"e1111-e1122","title":"Worldwide Survey of the \"Assessing Pain, Both Spontaneous Awakening and Breathing Trials, Choice of Drugs, Delirium Monitoring/Management, Early Exercise/Mobility, and Family Empowerment\" (ABCDEF) Bundle","type":"article-journal","volume":"45"},"uris":["http://www.mendeley.com/documents/?uuid=6be811e5-a302-4e06-ad2d-d3575dfbec0f"]}],"mendeley":{"formattedCitation":"(5)","plainTextFormattedCitation":"(5)","previouslyFormattedCitation":"(5)"},"properties":{"noteIndex":0},"schema":"https://github.com/citation-style-language/schema/raw/master/csl-citation.json"}</w:instrText>
      </w:r>
      <w:r w:rsidRPr="00FD0279">
        <w:rPr>
          <w:rFonts w:ascii="Arial" w:hAnsi="Arial" w:cs="Arial"/>
          <w:lang w:val="es-ES_tradnl"/>
        </w:rPr>
        <w:fldChar w:fldCharType="separate"/>
      </w:r>
      <w:r w:rsidR="00A4509E" w:rsidRPr="006F33AE">
        <w:rPr>
          <w:rFonts w:ascii="Arial" w:hAnsi="Arial" w:cs="Arial"/>
          <w:noProof/>
        </w:rPr>
        <w:t>(5)</w:t>
      </w:r>
      <w:r w:rsidRPr="00FD0279">
        <w:rPr>
          <w:rFonts w:ascii="Arial" w:hAnsi="Arial" w:cs="Arial"/>
          <w:lang w:val="es-ES_tradnl"/>
        </w:rPr>
        <w:fldChar w:fldCharType="end"/>
      </w:r>
    </w:p>
    <w:p w14:paraId="1BEE2DA1" w14:textId="26309EE3" w:rsidR="00CF7655" w:rsidRPr="00FD0279" w:rsidRDefault="00CF7655" w:rsidP="00FD0279">
      <w:pPr>
        <w:spacing w:line="480" w:lineRule="auto"/>
        <w:ind w:left="57"/>
        <w:rPr>
          <w:rFonts w:ascii="Arial" w:hAnsi="Arial" w:cs="Arial"/>
          <w:lang w:val="es-ES_tradnl"/>
        </w:rPr>
      </w:pPr>
      <w:r w:rsidRPr="006F33AE">
        <w:rPr>
          <w:rFonts w:ascii="Arial" w:hAnsi="Arial" w:cs="Arial"/>
        </w:rPr>
        <w:t xml:space="preserve">Las causas que podrían explicar el </w:t>
      </w:r>
      <w:r w:rsidR="00A4509E" w:rsidRPr="006F33AE">
        <w:rPr>
          <w:rFonts w:ascii="Arial" w:hAnsi="Arial" w:cs="Arial"/>
        </w:rPr>
        <w:t>variado</w:t>
      </w:r>
      <w:r w:rsidRPr="006F33AE">
        <w:rPr>
          <w:rFonts w:ascii="Arial" w:hAnsi="Arial" w:cs="Arial"/>
        </w:rPr>
        <w:t xml:space="preserve"> cumplimiento del </w:t>
      </w:r>
      <w:r w:rsidR="006F33AE">
        <w:rPr>
          <w:rFonts w:ascii="Arial" w:hAnsi="Arial" w:cs="Arial"/>
          <w:i/>
          <w:iCs/>
        </w:rPr>
        <w:t>“bundle”</w:t>
      </w:r>
      <w:r w:rsidRPr="006F33AE">
        <w:rPr>
          <w:rFonts w:ascii="Arial" w:hAnsi="Arial" w:cs="Arial"/>
        </w:rPr>
        <w:t xml:space="preserve"> son complejas. Una revisión sistemática sobre las barreras y facilitadores de la implementación del </w:t>
      </w:r>
      <w:r w:rsidR="006F33AE">
        <w:rPr>
          <w:rFonts w:ascii="Arial" w:hAnsi="Arial" w:cs="Arial"/>
          <w:i/>
          <w:iCs/>
        </w:rPr>
        <w:t>“bundle”</w:t>
      </w:r>
      <w:r w:rsidR="004D2D19" w:rsidRPr="006F33AE">
        <w:rPr>
          <w:rFonts w:ascii="Arial" w:hAnsi="Arial" w:cs="Arial"/>
          <w:i/>
          <w:iCs/>
        </w:rPr>
        <w:t xml:space="preserve"> </w:t>
      </w:r>
      <w:r w:rsidRPr="006F33AE">
        <w:rPr>
          <w:rFonts w:ascii="Arial" w:hAnsi="Arial" w:cs="Arial"/>
        </w:rPr>
        <w:t xml:space="preserve">encontró que </w:t>
      </w:r>
      <w:r w:rsidR="00105895" w:rsidRPr="006F33AE">
        <w:rPr>
          <w:rFonts w:ascii="Arial" w:hAnsi="Arial" w:cs="Arial"/>
        </w:rPr>
        <w:t xml:space="preserve">existen </w:t>
      </w:r>
      <w:r w:rsidRPr="006F33AE">
        <w:rPr>
          <w:rFonts w:ascii="Arial" w:hAnsi="Arial" w:cs="Arial"/>
        </w:rPr>
        <w:t xml:space="preserve">barreras relacionadas a los protocolos, al paciente, al clínico y al contexto de la unidad </w:t>
      </w:r>
      <w:r w:rsidRPr="00FD0279">
        <w:rPr>
          <w:rFonts w:ascii="Arial" w:hAnsi="Arial" w:cs="Arial"/>
        </w:rPr>
        <w:fldChar w:fldCharType="begin" w:fldLock="1"/>
      </w:r>
      <w:r w:rsidR="00A4509E" w:rsidRPr="006F33AE">
        <w:rPr>
          <w:rFonts w:ascii="Arial" w:hAnsi="Arial" w:cs="Arial"/>
        </w:rPr>
        <w:instrText>ADDIN CSL_CITATION {"citationItems":[{</w:instrText>
      </w:r>
      <w:r w:rsidR="00A4509E" w:rsidRPr="00FD0279">
        <w:rPr>
          <w:rFonts w:ascii="Arial" w:hAnsi="Arial" w:cs="Arial"/>
        </w:rPr>
        <w:instrText>"id":"ITEM-1","itemData":{"DOI":"10.1016/j.chest.2017.03.054","ISSN":"19313543","abstract":"Background Improved outcomes are associated with the Awakening and Breathing Coordination, Delirium, and Early exercise/mobility bundle (ABCDE); however, implementation issues are common. As yet, no study has integrated the barriers to ABCDE to provide an overview of reasons for less successful efforts. The purpose of this review was to identify and catalog the barriers to ABCDE delivery based on a widely used implementation framework, and to provide a resource to guide clinicians in overcoming barriers to implementation. Methods We searched MEDLINE via PubMed, CINAHL, and Scopus for original research articles from January 1, 2007, to August 31, 2016, that identified barriers to ABCDE implementation for adult patients in the ICU. Two reviewers independently reviewed studies, extracted barriers, and conducted thematic content analysis of the barriers, guided by the Consolidated Framework for Implementation Research. Discrepancies were discussed, and consensus was achieved. Results Our electronic search yielded 1,908 articles. After applying our inclusion/exclusion criteria, we included 49 studies. We conducted thematic content analysis of the 107 barriers and identified four classes of ABCDE barriers: (1) patient-related (ie, patient instability and safety concerns); (2) clinician-related (ie, lack of knowledge, staff safety concerns); (3) protocol-related (ie, unclear protocol criteria, cumbersome protocols to use); and, not previously identified in past reviews, (4) ICU contextual barriers (ie, interprofessional team care coordination). Conclusions We provide the first, to our knowledge, systematic differential diagnosis of barriers to ABCDE delivery, moving beyond the conventional focus on patient-level factors. Our analysis offers a differential diagnosis checklist for clinicians planning ABCDE implementation to improve patient care and outcomes.","author":[{"dropping-particle":"","family":"Costa","given":"Deena Kelly","non-dropping-particle":"","parse-names":false,"suffix":""},{"dropping-particle":"","family":"White","given":"Matthew R.","non-dropping-particle":"","parse-names":false,"suffix":""},{"dropping-particle":"","family":"Ginier","given":"Emily","non-dropping-particle":"","parse-names":false,"suffix":""},{"dropping-particle":"","family":"Manojlovich","given":"Milisa","non-dropping-particle":"","parse-names":false,"suffix":""},{"dropping-particle":"","family":"Govindan","given":"Sushant","non-dropping-particle":"","parse-names":false,"suffix":""},{"dropping-particle":"","family":"Iwashyna","given":"Theodore J.","non-dropping-particle":"","parse-names":false,"suffix":""},{"dropping-particle":"","family":"Sales","given":"Anne E.","non-dropping-particle":"","parse-names":false,"suffix":""}],"container-title":"Chest","id":"ITEM-1","issue":"2","issued":{"date-parts":[["2017"]]},"page":"304-311","publisher":"Elsevier Inc","title":"Identifying Barriers to Delivering the Awakening and Breathing Coordination, Delirium, and Early Exercise/Mobility Bundle to Minimize Adverse Outcomes for Mechanically Ventilated Patients: A Systematic Review","type":"article-journal","volume":"152"},"uris":["http://www.mendeley.com/documents/?uuid=88764705-1586-4907-b70b-01047454baf5"]}],"mendeley":{"formattedCitation":"(6)","plainTextFormattedCitation":"(6)","previouslyFormattedCitation":"(6)"},"properties":{"noteIndex":0},"schema":"https://github.com/citation-style-language/schema/raw/master/csl-citation.json"}</w:instrText>
      </w:r>
      <w:r w:rsidRPr="00FD0279">
        <w:rPr>
          <w:rFonts w:ascii="Arial" w:hAnsi="Arial" w:cs="Arial"/>
        </w:rPr>
        <w:fldChar w:fldCharType="separate"/>
      </w:r>
      <w:r w:rsidR="00A4509E" w:rsidRPr="00FD0279">
        <w:rPr>
          <w:rFonts w:ascii="Arial" w:hAnsi="Arial" w:cs="Arial"/>
          <w:noProof/>
        </w:rPr>
        <w:t>(6)</w:t>
      </w:r>
      <w:r w:rsidRPr="00FD0279">
        <w:rPr>
          <w:rFonts w:ascii="Arial" w:hAnsi="Arial" w:cs="Arial"/>
        </w:rPr>
        <w:fldChar w:fldCharType="end"/>
      </w:r>
      <w:r w:rsidRPr="00FD0279">
        <w:rPr>
          <w:rFonts w:ascii="Arial" w:hAnsi="Arial" w:cs="Arial"/>
        </w:rPr>
        <w:t xml:space="preserve">. </w:t>
      </w:r>
      <w:r w:rsidRPr="00FD0279">
        <w:rPr>
          <w:rFonts w:ascii="Arial" w:hAnsi="Arial" w:cs="Arial"/>
          <w:lang w:val="es-ES_tradnl"/>
        </w:rPr>
        <w:t xml:space="preserve">Barnes-Daly </w:t>
      </w:r>
      <w:r w:rsidR="006F7965" w:rsidRPr="00FD0279">
        <w:rPr>
          <w:rFonts w:ascii="Arial" w:hAnsi="Arial" w:cs="Arial"/>
          <w:lang w:val="es-ES_tradnl"/>
        </w:rPr>
        <w:t>y cols</w:t>
      </w:r>
      <w:r w:rsidRPr="00FD0279">
        <w:rPr>
          <w:rFonts w:ascii="Arial" w:hAnsi="Arial" w:cs="Arial"/>
          <w:lang w:val="es-ES_tradnl"/>
        </w:rPr>
        <w:t xml:space="preserve">. (2018) sugieren que la comunicación, el trabajo en equipo y un ambiente laboral saludable favorecen la implementación del </w:t>
      </w:r>
      <w:r w:rsidR="006F33AE">
        <w:rPr>
          <w:rFonts w:ascii="Arial" w:hAnsi="Arial" w:cs="Arial"/>
          <w:i/>
          <w:iCs/>
          <w:lang w:val="es-ES_tradnl"/>
        </w:rPr>
        <w:t>“bundle”</w:t>
      </w:r>
      <w:r w:rsidR="00D254BF" w:rsidRPr="00FD0279" w:rsidDel="00D254BF">
        <w:rPr>
          <w:rFonts w:ascii="Arial" w:hAnsi="Arial" w:cs="Arial"/>
          <w:lang w:val="es-ES_tradnl"/>
        </w:rPr>
        <w:t xml:space="preserve"> </w:t>
      </w:r>
      <w:r w:rsidRPr="00FD0279">
        <w:rPr>
          <w:rFonts w:ascii="Arial" w:hAnsi="Arial" w:cs="Arial"/>
          <w:lang w:val="es-ES_tradnl"/>
        </w:rPr>
        <w:t>(20).</w:t>
      </w:r>
      <w:r w:rsidRPr="001D6262">
        <w:rPr>
          <w:rFonts w:ascii="Arial" w:hAnsi="Arial" w:cs="Arial"/>
          <w:strike/>
          <w:lang w:val="es-ES_tradnl"/>
        </w:rPr>
        <w:t xml:space="preserve"> </w:t>
      </w:r>
    </w:p>
    <w:p w14:paraId="1DB180F1" w14:textId="77777777" w:rsidR="00A4509E" w:rsidRPr="00FD0279" w:rsidRDefault="00A4509E" w:rsidP="00FD0279">
      <w:pPr>
        <w:spacing w:line="480" w:lineRule="auto"/>
        <w:ind w:left="57"/>
        <w:rPr>
          <w:rFonts w:ascii="Arial" w:hAnsi="Arial" w:cs="Arial"/>
          <w:lang w:val="es-ES_tradnl"/>
        </w:rPr>
      </w:pPr>
    </w:p>
    <w:p w14:paraId="2736810A" w14:textId="160EE825" w:rsidR="00022FB0" w:rsidRDefault="0099428E" w:rsidP="008B6388">
      <w:pPr>
        <w:spacing w:line="480" w:lineRule="auto"/>
        <w:ind w:left="57"/>
        <w:rPr>
          <w:rFonts w:ascii="Arial" w:hAnsi="Arial" w:cs="Arial"/>
          <w:lang w:val="es-ES"/>
        </w:rPr>
      </w:pPr>
      <w:r w:rsidRPr="00FD0279">
        <w:rPr>
          <w:rFonts w:ascii="Arial" w:hAnsi="Arial" w:cs="Arial"/>
          <w:lang w:val="es-ES_tradnl"/>
        </w:rPr>
        <w:t xml:space="preserve">A nivel global y local se han realizado múltiples esfuerzos para la facilitar la implementación del </w:t>
      </w:r>
      <w:r w:rsidR="006F33AE">
        <w:rPr>
          <w:rFonts w:ascii="Arial" w:hAnsi="Arial" w:cs="Arial"/>
          <w:i/>
          <w:iCs/>
          <w:lang w:val="es-ES_tradnl"/>
        </w:rPr>
        <w:t>“bundle”</w:t>
      </w:r>
      <w:r w:rsidRPr="00FD0279">
        <w:rPr>
          <w:rFonts w:ascii="Arial" w:hAnsi="Arial" w:cs="Arial"/>
          <w:lang w:val="es-ES_tradnl"/>
        </w:rPr>
        <w:t xml:space="preserve"> por parte de los profesionales sanitarios que </w:t>
      </w:r>
      <w:r w:rsidRPr="00FD0279">
        <w:rPr>
          <w:rFonts w:ascii="Arial" w:hAnsi="Arial" w:cs="Arial"/>
          <w:lang w:val="es-ES_tradnl"/>
        </w:rPr>
        <w:lastRenderedPageBreak/>
        <w:t xml:space="preserve">trabajan en UCI. </w:t>
      </w:r>
      <w:r w:rsidRPr="00FD0279">
        <w:rPr>
          <w:rFonts w:ascii="Arial" w:hAnsi="Arial" w:cs="Arial"/>
        </w:rPr>
        <w:t xml:space="preserve">Las </w:t>
      </w:r>
      <w:r w:rsidR="003034D8" w:rsidRPr="00FD0279">
        <w:rPr>
          <w:rFonts w:ascii="Arial" w:hAnsi="Arial" w:cs="Arial"/>
        </w:rPr>
        <w:t>guías</w:t>
      </w:r>
      <w:r w:rsidRPr="00FD0279">
        <w:rPr>
          <w:rFonts w:ascii="Arial" w:hAnsi="Arial" w:cs="Arial"/>
        </w:rPr>
        <w:t xml:space="preserve"> PADIS 2018 </w:t>
      </w:r>
      <w:r w:rsidRPr="00FD0279">
        <w:rPr>
          <w:rFonts w:ascii="Arial" w:hAnsi="Arial" w:cs="Arial"/>
        </w:rPr>
        <w:fldChar w:fldCharType="begin" w:fldLock="1"/>
      </w:r>
      <w:r w:rsidR="00105895" w:rsidRPr="00FD0279">
        <w:rPr>
          <w:rFonts w:ascii="Arial" w:hAnsi="Arial" w:cs="Arial"/>
        </w:rPr>
        <w:instrText>ADDIN CSL_CITATION {"citationItems":[{"id":"ITEM-1","itemData":{"DOI":"10.1097/CCM.0000000000003299","ISBN":"0000000000","ISSN":"15300293","abstract":"OBJECTIVE: To update and expand the 2013 Clinical Practice Guidelines for the Management of Pain, Agitation, and Delirium in Adult Patients in the ICU. DESIGN: Thirty-two international experts, four methodologists, and four critical illness survivors met virtually at least monthly. All section groups gathered face-to-face at annual Society of Critical Care Medicine congresses; virtual connections included those unable to attend. A formal conflict of interest policy was developed a priori and enforced throughout the process. Teleconferences and electronic discussions among subgroups and whole panel were part of the guidelines' development. A general content review was completed face-to-face by all panel members in January 2017. METHODS: Content experts, methodologists, and ICU survivors were represented in each of the five sections of the guidelines: Pain, Agitation/sedation, Delirium, Immobility (mobilization/rehabilitation), and Sleep (disruption). Each section created Population, Intervention, Comparison, and Outcome, and nonactionable, descriptive questions based on perceived clinical relevance. The guideline group then voted their ranking, and patients prioritized their importance. For each Population, Intervention, Comparison, and Outcome question, sections searched the best available evidence, determined its quality, and formulated recommendations as \"strong,\" \"conditional,\" or \"good\" practice statements based on Grading of Recommendations Assessment, Development and Evaluation principles. In addition, evidence gaps and clinical caveats were explicitly identified. RESULTS: The Pain, Agitation/Sedation, Delirium, Immobility (mobilization/rehabilitation), and Sleep (disruption) panel issued 37 recommendations (three strong and 34 conditional), two good practice statements, and 32 ungraded, nonactionable statements. Three questions from the patient-centered prioritized question list remained without recommendation. CONCLUSIONS: We found substantial agreement among a large, interdisciplinary cohort of international experts regarding evidence supporting recommendations, and the remaining literature gaps in the assessment, prevention, and treatment of Pain, Agitation/sedation, Delirium, Immobility (mobilization/rehabilitation), and Sleep (disruption) in critically ill adults. Highlighting this evidence and the research needs will improve Pain, Agitation/sedation, Delirium, Immobility (mobilization/rehabilitation), and Sleep (disruption) management and p…","author":[{"dropping-particle":"","family":"Devlin","given":"John W.","non-dropping-particle":"","parse-names":false,"suffix":""},{"dropping-particle":"","family":"Skrobik","given":"Yoanna","non-dropping-particle":"","parse-names":false,"suffix":""},{"dropping-particle":"","family":"Gélinas","given":"Céline","non-dropping-particle":"","parse-names":false,"suffix":""},{"dropping-particle":"","family":"Needham","given":"Dale M.","non-dropping-particle":"","parse-names":false,"suffix":""},{"dropping-particle":"","family":"Slooter","given":"Arjen J.C.","non-dropping-particle":"","parse-names":false,"suffix":""},{"dropping-particle":"","family":"Pandharipande","given":"Pratik P.","non-dropping-particle":"","parse-names":false,"suffix":""},{"dropping-particle":"","family":"Watson","given":"Paula L.","non-dropping-particle":"","parse-names":false,"suffix":""},{"dropping-particle":"","family":"Weinhouse","given":"Gerald L.","non-dropping-particle":"","parse-names":false,"suffix":""},{"dropping-particle":"","family":"Nunnally","given":"Mark E.","non-dropping-particle":"","parse-names":false,"suffix":""},{"dropping-particle":"","family":"Rochwerg","given":"Bram","non-dropping-particle":"","parse-names":false,"suffix":""},{"dropping-particle":"","family":"Balas","given":"Michele C.","non-dropping-particle":"","parse-names":false,"suffix":""},{"dropping-particle":"","family":"Boogaard","given":"Mark","non-dropping-particle":"van den","parse-names":false,"suffix":""},{"dropping-particle":"","family":"Bosma","given":"Karen J.","non-dropping-particle":"","parse-names":false,"suffix":""},{"dropping-particle":"","family":"Brummel","given":"Nathaniel E.","non-dropping-particle":"","parse-names":false,"suffix":""},{"dropping-particle":"","family":"Chanques","given":"Gerald","non-dropping-particle":"","parse-names":false,"suffix":""},{"dropping-particle":"","family":"Denehy","given":"Linda","non-dropping-particle":"","parse-names":false,"suffix":""},{"dropping-particle":"","family":"Drouot","given":"Xavier","non-dropping-particle":"","parse-names":false,"suffix":""},{"dropping-particle":"","family":"Fraser","given":"Gilles L.","non-dropping-particle":"","parse-names":false,"suffix":""},{"dropping-particle":"","family":"Harris","given":"Jocelyn E.","non-dropping-particle":"","parse-names":false,"suffix":""},{"dropping-particle":"","family":"Joffe","given":"Aaron M.","non-dropping-particle":"","parse-names":false,"suffix":""},{"dropping-particle":"","family":"Kho","given":"Michelle E.","non-dropping-particle":"","parse-names":false,"suffix":""},{"dropping-particle":"","family":"Kress","given":"John P.","non-dropping-particle":"","parse-names":false,"suffix":""},{"dropping-particle":"","family":"Lanphere","given":"Julie A.","non-dropping-particle":"","parse-names":false,"suffix":""},{"dropping-particle":"","family":"McKinley","given":"Sharon","non-dropping-particle":"","parse-names":false,"suffix":""},{"dropping-particle":"","family":"Neufeld","given":"Karin J.","non-dropping-particle":"","parse-names":false,"suffix":""},{"dropping-particle":"","family":"Pisani","given":"Margaret A.","non-dropping-particle":"","parse-names":false,"suffix":""},{"dropping-particle":"","family":"Payen","given":"Jean Francois","non-dropping-particle":"","parse-names":false,"suffix":""},{"dropping-particle":"","family":"Pun","given":"Brenda T.","non-dropping-particle":"","parse-names":false,"suffix":""},{"dropping-particle":"","family":"Puntillo","given":"Kathleen A.","non-dropping-particle":"","parse-names":false,"suffix":""},{"dropping-particle":"","family":"Riker","given":"Richard R.","non-dropping-particle":"","parse-names":false,"suffix":""},{"dropping-particle":"","family":"Robinson","given":"Bryce R.H.","non-dropping-particle":"","parse-names":false,"suffix":""},{"dropping-particle":"","family":"Shehabi","given":"Yahya","non-dropping-particle":"","parse-names":false,"suffix":""},{"dropping-particle":"","family":"Szumita","given":"Paul M.","non-dropping-particle":"","parse-names":false,"suffix":""},{"dropping-particle":"","family":"Winkelman","given":"Chris","non-dropping-particle":"","parse-names":false,"suffix":""},{"dropping-particle":"","family":"Centofanti","given":"John E.","non-dropping-particle":"","parse-names":false,"suffix":""},{"dropping-particle":"","family":"Price","given":"Carrie","non-dropping-particle":"","parse-names":false,"suffix":""},{"dropping-particle":"","family":"Nikayin","given":"Sina","non-dropping-particle":"","parse-names":false,"suffix":""},{"dropping-particle":"","family":"Misak","given":"Cheryl J.","non-dropping-particle":"","parse-names":false,"suffix":""},{"dropping-particle":"","family":"Flood","given":"Pamela D.","non-dropping-particle":"","parse-names":false,"suffix":""},{"dropping-particle":"","family":"Kiedrowski","given":"Ken","non-dropping-particle":"","parse-names":false,"suffix":""},{"dropping-particle":"","family":"Alhazzani","given":"Waleed","non-dropping-particle":"","parse-names":false,"suffix":""}],"container-title":"Critical care medicine","id":"ITEM-1","issue":"9","issued":{"date-parts":[["2018"]]},"number-of-pages":"e825-e873","title":"Clinical Practice Guidelines for the Prevention and Management of Pain, Agitation/Sedation, Delirium, Immobility, and Sleep Disruption in Adult Patients in the ICU","type":"book","volume":"46"},"uris":["http://www.mendeley.com/documents/?uuid=76002d16-e1b1-4bbc-8d7b-5fb69bd6063e"]}],"mendeley":{"formattedCitation":"(7)","plainTextFormattedCitation":"(7)","previouslyFormattedCitation":"(7)"},"properties":{"noteIndex":0},"schema":"https://github.com/citation-style-language/schema/raw/master/csl-citation.json"}</w:instrText>
      </w:r>
      <w:r w:rsidRPr="00FD0279">
        <w:rPr>
          <w:rFonts w:ascii="Arial" w:hAnsi="Arial" w:cs="Arial"/>
        </w:rPr>
        <w:fldChar w:fldCharType="separate"/>
      </w:r>
      <w:r w:rsidR="00693E84" w:rsidRPr="00FD0279">
        <w:rPr>
          <w:rFonts w:ascii="Arial" w:hAnsi="Arial" w:cs="Arial"/>
          <w:noProof/>
        </w:rPr>
        <w:t>(7)</w:t>
      </w:r>
      <w:r w:rsidRPr="00FD0279">
        <w:rPr>
          <w:rFonts w:ascii="Arial" w:hAnsi="Arial" w:cs="Arial"/>
        </w:rPr>
        <w:fldChar w:fldCharType="end"/>
      </w:r>
      <w:r w:rsidRPr="00FD0279">
        <w:rPr>
          <w:rFonts w:ascii="Arial" w:hAnsi="Arial" w:cs="Arial"/>
        </w:rPr>
        <w:t xml:space="preserve">, disponibles en inglés, francés, japonés, portugués y español </w:t>
      </w:r>
      <w:r w:rsidRPr="00FD0279">
        <w:rPr>
          <w:rFonts w:ascii="Arial" w:hAnsi="Arial" w:cs="Arial"/>
        </w:rPr>
        <w:fldChar w:fldCharType="begin" w:fldLock="1"/>
      </w:r>
      <w:r w:rsidR="00105895" w:rsidRPr="00FD0279">
        <w:rPr>
          <w:rFonts w:ascii="Arial" w:hAnsi="Arial" w:cs="Arial"/>
        </w:rPr>
        <w:instrText>ADDIN CSL_CITATION {"citationItems":[{"id":"ITEM-1","itemData":{"URL":"https://www.sccm.org/ICULiberation/Guidelines","accessed":{"date-parts":[["2020","11","27"]]},"id":"ITEM-1","issued":{"date-parts":[["0"]]},"title":"SCCM | Clinical Practice Guidelines","type":"webpage"},"uris":["http://www.mendeley.com/documents/?uuid=c57e0e5d-f043-3570-8dde-7ea78c395961"]}],"mendeley":{"formattedCitation":"(8)","plainTextFormattedCitation":"(8)","previouslyFormattedCitation":"(8)"},"properties":{"noteIndex":0},"schema":"https://github.com/citation-style-language/schema/raw/master/csl-citation.json"}</w:instrText>
      </w:r>
      <w:r w:rsidRPr="00FD0279">
        <w:rPr>
          <w:rFonts w:ascii="Arial" w:hAnsi="Arial" w:cs="Arial"/>
        </w:rPr>
        <w:fldChar w:fldCharType="separate"/>
      </w:r>
      <w:r w:rsidR="00693E84" w:rsidRPr="00FD0279">
        <w:rPr>
          <w:rFonts w:ascii="Arial" w:hAnsi="Arial" w:cs="Arial"/>
          <w:noProof/>
        </w:rPr>
        <w:t>(8)</w:t>
      </w:r>
      <w:r w:rsidRPr="00FD0279">
        <w:rPr>
          <w:rFonts w:ascii="Arial" w:hAnsi="Arial" w:cs="Arial"/>
        </w:rPr>
        <w:fldChar w:fldCharType="end"/>
      </w:r>
      <w:r w:rsidRPr="00FD0279">
        <w:rPr>
          <w:rFonts w:ascii="Arial" w:hAnsi="Arial" w:cs="Arial"/>
        </w:rPr>
        <w:t>, buscan optimizar la implementación del</w:t>
      </w:r>
      <w:r w:rsidR="00D254BF" w:rsidRPr="00FD0279">
        <w:rPr>
          <w:rFonts w:ascii="Arial" w:hAnsi="Arial" w:cs="Arial"/>
        </w:rPr>
        <w:t xml:space="preserve"> </w:t>
      </w:r>
      <w:r w:rsidR="006F33AE">
        <w:rPr>
          <w:rFonts w:ascii="Arial" w:hAnsi="Arial" w:cs="Arial"/>
          <w:i/>
          <w:iCs/>
          <w:lang w:val="es-ES_tradnl"/>
        </w:rPr>
        <w:t>“bundle”</w:t>
      </w:r>
      <w:r w:rsidRPr="00FD0279">
        <w:rPr>
          <w:rFonts w:ascii="Arial" w:hAnsi="Arial" w:cs="Arial"/>
        </w:rPr>
        <w:t xml:space="preserve"> ABCDEF en las UCI. Por otra parte, la Sociedad Chilena de Medicina Intensiva de Chile </w:t>
      </w:r>
      <w:r w:rsidRPr="00FD0279">
        <w:rPr>
          <w:rFonts w:ascii="Arial" w:hAnsi="Arial" w:cs="Arial"/>
          <w:lang w:val="es-ES"/>
        </w:rPr>
        <w:t>publicó el año 2019 las recomendaciones para la analgesia, sedación, delirium y bloqueo neuromuscular en pacientes críticos médico-quirúrgicos adultos</w:t>
      </w:r>
      <w:r w:rsidR="00693E84" w:rsidRPr="00FD0279">
        <w:rPr>
          <w:rFonts w:ascii="Arial" w:hAnsi="Arial" w:cs="Arial"/>
          <w:lang w:val="es-ES"/>
        </w:rPr>
        <w:t xml:space="preserve"> </w:t>
      </w:r>
      <w:r w:rsidR="00693E84" w:rsidRPr="00FD0279">
        <w:rPr>
          <w:rFonts w:ascii="Arial" w:hAnsi="Arial" w:cs="Arial"/>
          <w:lang w:val="es-ES"/>
        </w:rPr>
        <w:fldChar w:fldCharType="begin" w:fldLock="1"/>
      </w:r>
      <w:r w:rsidR="00105895" w:rsidRPr="00FD0279">
        <w:rPr>
          <w:rFonts w:ascii="Arial" w:hAnsi="Arial" w:cs="Arial"/>
          <w:lang w:val="es-ES"/>
        </w:rPr>
        <w:instrText>ADDIN CSL_CITATION {"citationItems":[{"id":"ITEM-1","itemData":{"DOI":"10.4272/978-84-96667-39-6.ch15","abstract":"La ventilación asistida ajustada neuronalmente (NAVA) es un nuevo modo de ventilación mecánica asistida basado en la utilización de la señal obtenida de actividad eléctrica diafragmática (Edi) para el control del ventilador. La Edi representa directamente el impulso ventilatorio central y refleja la duración y la intensidad con que el paciente desea ventilar.","author":[{"dropping-particle":"","family":"Tobar","given":"Eduardo","non-dropping-particle":"","parse-names":false,"suffix":""},{"dropping-particle":"","family":"Rojas","given":"Verónica","non-dropping-particle":"","parse-names":false,"suffix":""},{"dropping-particle":"","family":"Álvarez","given":"Evelyn","non-dropping-particle":"","parse-names":false,"suffix":""},{"dropping-particle":"","family":"Romero","given":"Carlos","non-dropping-particle":"","parse-names":false,"suffix":""},{"dropping-particle":"","family":"Sepúlveda","given":"Idalia","non-dropping-particle":"","parse-names":false,"suffix":""},{"dropping-particle":"","family":"Cariqueo","given":"Marcial","non-dropping-particle":"","parse-names":false,"suffix":""},{"dropping-particle":"","family":"Martínez","given":"Felipe","non-dropping-particle":"","parse-names":false,"suffix":""},{"dropping-particle":"","family":"Aranda","given":"Rolando","non-dropping-particle":"","parse-names":false,"suffix":""},{"dropping-particle":"","family":"Sánchez","given":"Juan Eduardo","non-dropping-particle":"","parse-names":false,"suffix":""},{"dropping-particle":"","family":"Vidal","given":"Félix","non-dropping-particle":"","parse-names":false,"suffix":""},{"dropping-particle":"","family":"Bugedo","given":"Guillermo","non-dropping-particle":"","parse-names":false,"suffix":""}],"container-title":"Revista Chilena de Medicina Intensiva","id":"ITEM-1","issued":{"date-parts":[["2019"]]},"page":"255-290","title":"Recomendaciones de la Sociedad Chilena de Medicina Intensiva para la analgesia, sedación, delírium y bloqueo neuromuscular en pacientes críticos médico-quirúrgicos adultos","type":"article-journal"},"uris":["http://www.mendeley.com/documents/?uuid=3566babe-c97d-4dcf-aadb-9fa2a42dbba8"]}],"mendeley":{"formattedCitation":"(9)","plainTextFormattedCitation":"(9)","previouslyFormattedCitation":"(9)"},"properties":{"noteIndex":0},"schema":"https://github.com/citation-style-language/schema/raw/master/csl-citation.json"}</w:instrText>
      </w:r>
      <w:r w:rsidR="00693E84" w:rsidRPr="00FD0279">
        <w:rPr>
          <w:rFonts w:ascii="Arial" w:hAnsi="Arial" w:cs="Arial"/>
          <w:lang w:val="es-ES"/>
        </w:rPr>
        <w:fldChar w:fldCharType="separate"/>
      </w:r>
      <w:r w:rsidR="00693E84" w:rsidRPr="00FD0279">
        <w:rPr>
          <w:rFonts w:ascii="Arial" w:hAnsi="Arial" w:cs="Arial"/>
          <w:noProof/>
          <w:lang w:val="es-ES"/>
        </w:rPr>
        <w:t>(9)</w:t>
      </w:r>
      <w:r w:rsidR="00693E84" w:rsidRPr="00FD0279">
        <w:rPr>
          <w:rFonts w:ascii="Arial" w:hAnsi="Arial" w:cs="Arial"/>
        </w:rPr>
        <w:fldChar w:fldCharType="end"/>
      </w:r>
      <w:r w:rsidRPr="00FD0279">
        <w:rPr>
          <w:rFonts w:ascii="Arial" w:hAnsi="Arial" w:cs="Arial"/>
          <w:lang w:val="es-ES"/>
        </w:rPr>
        <w:t xml:space="preserve">. Sin embargo, </w:t>
      </w:r>
      <w:r w:rsidR="008B6388" w:rsidRPr="00FD0279">
        <w:rPr>
          <w:rFonts w:ascii="Arial" w:hAnsi="Arial" w:cs="Arial"/>
          <w:lang w:val="es-ES_tradnl"/>
        </w:rPr>
        <w:t>no existe información reportada</w:t>
      </w:r>
      <w:r w:rsidR="00052723">
        <w:rPr>
          <w:rFonts w:ascii="Arial" w:hAnsi="Arial" w:cs="Arial"/>
          <w:lang w:val="es-ES"/>
        </w:rPr>
        <w:t xml:space="preserve"> sobre el grado de cumplimiento del </w:t>
      </w:r>
      <w:r w:rsidR="006F33AE">
        <w:rPr>
          <w:rFonts w:ascii="Arial" w:hAnsi="Arial" w:cs="Arial"/>
          <w:lang w:val="es-ES"/>
        </w:rPr>
        <w:t>“</w:t>
      </w:r>
      <w:proofErr w:type="spellStart"/>
      <w:r w:rsidR="006F33AE">
        <w:rPr>
          <w:rFonts w:ascii="Arial" w:hAnsi="Arial" w:cs="Arial"/>
          <w:lang w:val="es-ES"/>
        </w:rPr>
        <w:t>bundle</w:t>
      </w:r>
      <w:proofErr w:type="spellEnd"/>
      <w:r w:rsidR="006F33AE">
        <w:rPr>
          <w:rFonts w:ascii="Arial" w:hAnsi="Arial" w:cs="Arial"/>
          <w:lang w:val="es-ES"/>
        </w:rPr>
        <w:t>”</w:t>
      </w:r>
      <w:r w:rsidR="00052723">
        <w:rPr>
          <w:rFonts w:ascii="Arial" w:hAnsi="Arial" w:cs="Arial"/>
          <w:lang w:val="es-ES"/>
        </w:rPr>
        <w:t xml:space="preserve"> ABCDEF en una UCI que no lo tiene incorporado en su práctica diaria</w:t>
      </w:r>
      <w:r w:rsidR="008B6388">
        <w:rPr>
          <w:rFonts w:ascii="Arial" w:hAnsi="Arial" w:cs="Arial"/>
          <w:lang w:val="es-ES"/>
        </w:rPr>
        <w:t xml:space="preserve">. </w:t>
      </w:r>
    </w:p>
    <w:p w14:paraId="6123AD18" w14:textId="14C0CBDA" w:rsidR="0099428E" w:rsidRDefault="0099428E" w:rsidP="008B6388">
      <w:pPr>
        <w:spacing w:line="480" w:lineRule="auto"/>
        <w:ind w:left="57"/>
        <w:rPr>
          <w:rFonts w:ascii="Arial" w:hAnsi="Arial" w:cs="Arial"/>
          <w:color w:val="000000" w:themeColor="text1"/>
        </w:rPr>
      </w:pPr>
      <w:r w:rsidRPr="00FD0279">
        <w:rPr>
          <w:rFonts w:ascii="Arial" w:hAnsi="Arial" w:cs="Arial"/>
          <w:lang w:val="es-ES_tradnl"/>
        </w:rPr>
        <w:t xml:space="preserve">Por lo tanto, se </w:t>
      </w:r>
      <w:r w:rsidR="001D6262">
        <w:rPr>
          <w:rFonts w:ascii="Arial" w:hAnsi="Arial" w:cs="Arial"/>
          <w:lang w:val="es-ES_tradnl"/>
        </w:rPr>
        <w:t>realizó</w:t>
      </w:r>
      <w:r w:rsidRPr="00FD0279">
        <w:rPr>
          <w:rFonts w:ascii="Arial" w:hAnsi="Arial" w:cs="Arial"/>
          <w:lang w:val="es-ES_tradnl"/>
        </w:rPr>
        <w:t xml:space="preserve"> </w:t>
      </w:r>
      <w:r w:rsidR="001D6262">
        <w:rPr>
          <w:rFonts w:ascii="Arial" w:hAnsi="Arial" w:cs="Arial"/>
          <w:lang w:val="es-ES_tradnl"/>
        </w:rPr>
        <w:t>este</w:t>
      </w:r>
      <w:r w:rsidRPr="00FD0279">
        <w:rPr>
          <w:rFonts w:ascii="Arial" w:hAnsi="Arial" w:cs="Arial"/>
          <w:lang w:val="es-ES_tradnl"/>
        </w:rPr>
        <w:t xml:space="preserve"> estudio retrospectivo con el objetivo de </w:t>
      </w:r>
      <w:r w:rsidR="00105895" w:rsidRPr="00FD0279">
        <w:rPr>
          <w:rFonts w:ascii="Arial" w:hAnsi="Arial" w:cs="Arial"/>
          <w:color w:val="000000" w:themeColor="text1"/>
        </w:rPr>
        <w:t>identificar</w:t>
      </w:r>
      <w:r w:rsidRPr="00FD0279">
        <w:rPr>
          <w:rFonts w:ascii="Arial" w:hAnsi="Arial" w:cs="Arial"/>
          <w:color w:val="000000" w:themeColor="text1"/>
        </w:rPr>
        <w:t xml:space="preserve"> </w:t>
      </w:r>
      <w:r w:rsidRPr="00FD0279">
        <w:rPr>
          <w:rFonts w:ascii="Arial" w:hAnsi="Arial" w:cs="Arial"/>
          <w:lang w:val="es-ES_tradnl"/>
        </w:rPr>
        <w:t xml:space="preserve">el grado de cumplimiento diario del </w:t>
      </w:r>
      <w:r w:rsidR="006F33AE">
        <w:rPr>
          <w:rFonts w:ascii="Arial" w:hAnsi="Arial" w:cs="Arial"/>
          <w:i/>
          <w:iCs/>
          <w:lang w:val="es-ES_tradnl"/>
        </w:rPr>
        <w:t>“bundle”</w:t>
      </w:r>
      <w:r w:rsidR="00D254BF" w:rsidRPr="00FD0279">
        <w:rPr>
          <w:rFonts w:ascii="Arial" w:hAnsi="Arial" w:cs="Arial"/>
          <w:i/>
          <w:iCs/>
          <w:lang w:val="es-ES_tradnl"/>
        </w:rPr>
        <w:t xml:space="preserve"> </w:t>
      </w:r>
      <w:r w:rsidRPr="00FD0279">
        <w:rPr>
          <w:rFonts w:ascii="Arial" w:hAnsi="Arial" w:cs="Arial"/>
          <w:lang w:val="es-ES_tradnl"/>
        </w:rPr>
        <w:t>ABCDEF en el registro clínico de</w:t>
      </w:r>
      <w:r w:rsidRPr="00FD0279">
        <w:rPr>
          <w:rFonts w:ascii="Arial" w:hAnsi="Arial" w:cs="Arial"/>
          <w:color w:val="000000" w:themeColor="text1"/>
        </w:rPr>
        <w:t xml:space="preserve"> los médicos, enfermeros y kinesiólogos de una UCI quirúrgica adulto.</w:t>
      </w:r>
    </w:p>
    <w:p w14:paraId="699410F5" w14:textId="705B7260" w:rsidR="00022FB0" w:rsidRDefault="00022FB0" w:rsidP="008B6388">
      <w:pPr>
        <w:spacing w:line="480" w:lineRule="auto"/>
        <w:ind w:left="57"/>
        <w:rPr>
          <w:rFonts w:ascii="Arial" w:hAnsi="Arial" w:cs="Arial"/>
          <w:lang w:val="es-ES"/>
        </w:rPr>
      </w:pPr>
    </w:p>
    <w:p w14:paraId="7F3FB1E0" w14:textId="4997D8E2" w:rsidR="00022FB0" w:rsidRDefault="00022FB0" w:rsidP="008B6388">
      <w:pPr>
        <w:spacing w:line="480" w:lineRule="auto"/>
        <w:ind w:left="57"/>
        <w:rPr>
          <w:rFonts w:ascii="Arial" w:hAnsi="Arial" w:cs="Arial"/>
          <w:lang w:val="es-ES"/>
        </w:rPr>
      </w:pPr>
    </w:p>
    <w:p w14:paraId="61682F57" w14:textId="7DA12E04" w:rsidR="00022FB0" w:rsidRDefault="00022FB0" w:rsidP="008B6388">
      <w:pPr>
        <w:spacing w:line="480" w:lineRule="auto"/>
        <w:ind w:left="57"/>
        <w:rPr>
          <w:rFonts w:ascii="Arial" w:hAnsi="Arial" w:cs="Arial"/>
          <w:lang w:val="es-ES"/>
        </w:rPr>
      </w:pPr>
    </w:p>
    <w:p w14:paraId="2B6F59EC" w14:textId="69D97FFC" w:rsidR="00022FB0" w:rsidRDefault="00022FB0" w:rsidP="008B6388">
      <w:pPr>
        <w:spacing w:line="480" w:lineRule="auto"/>
        <w:ind w:left="57"/>
        <w:rPr>
          <w:rFonts w:ascii="Arial" w:hAnsi="Arial" w:cs="Arial"/>
          <w:lang w:val="es-ES"/>
        </w:rPr>
      </w:pPr>
    </w:p>
    <w:p w14:paraId="580FCACD" w14:textId="70E3F5A8" w:rsidR="00022FB0" w:rsidRDefault="00022FB0" w:rsidP="008B6388">
      <w:pPr>
        <w:spacing w:line="480" w:lineRule="auto"/>
        <w:ind w:left="57"/>
        <w:rPr>
          <w:rFonts w:ascii="Arial" w:hAnsi="Arial" w:cs="Arial"/>
          <w:lang w:val="es-ES"/>
        </w:rPr>
      </w:pPr>
    </w:p>
    <w:p w14:paraId="74543067" w14:textId="5CD1E1B8" w:rsidR="00022FB0" w:rsidRDefault="00022FB0" w:rsidP="008B6388">
      <w:pPr>
        <w:spacing w:line="480" w:lineRule="auto"/>
        <w:ind w:left="57"/>
        <w:rPr>
          <w:rFonts w:ascii="Arial" w:hAnsi="Arial" w:cs="Arial"/>
          <w:lang w:val="es-ES"/>
        </w:rPr>
      </w:pPr>
    </w:p>
    <w:p w14:paraId="7ACD24E2" w14:textId="2B0CF886" w:rsidR="00022FB0" w:rsidRDefault="00022FB0" w:rsidP="008B6388">
      <w:pPr>
        <w:spacing w:line="480" w:lineRule="auto"/>
        <w:ind w:left="57"/>
        <w:rPr>
          <w:rFonts w:ascii="Arial" w:hAnsi="Arial" w:cs="Arial"/>
          <w:lang w:val="es-ES"/>
        </w:rPr>
      </w:pPr>
    </w:p>
    <w:p w14:paraId="2BA7016D" w14:textId="1F51BA14" w:rsidR="00022FB0" w:rsidRDefault="00022FB0" w:rsidP="008B6388">
      <w:pPr>
        <w:spacing w:line="480" w:lineRule="auto"/>
        <w:ind w:left="57"/>
        <w:rPr>
          <w:rFonts w:ascii="Arial" w:hAnsi="Arial" w:cs="Arial"/>
          <w:lang w:val="es-ES"/>
        </w:rPr>
      </w:pPr>
    </w:p>
    <w:p w14:paraId="1D5C42B9" w14:textId="381674D8" w:rsidR="00022FB0" w:rsidRDefault="00022FB0" w:rsidP="008B6388">
      <w:pPr>
        <w:spacing w:line="480" w:lineRule="auto"/>
        <w:ind w:left="57"/>
        <w:rPr>
          <w:rFonts w:ascii="Arial" w:hAnsi="Arial" w:cs="Arial"/>
          <w:lang w:val="es-ES"/>
        </w:rPr>
      </w:pPr>
    </w:p>
    <w:p w14:paraId="508D418F" w14:textId="77777777" w:rsidR="00022FB0" w:rsidRPr="008B6388" w:rsidRDefault="00022FB0" w:rsidP="008B6388">
      <w:pPr>
        <w:spacing w:line="480" w:lineRule="auto"/>
        <w:ind w:left="57"/>
        <w:rPr>
          <w:rFonts w:ascii="Arial" w:hAnsi="Arial" w:cs="Arial"/>
          <w:lang w:val="es-ES"/>
        </w:rPr>
      </w:pPr>
    </w:p>
    <w:p w14:paraId="15CF91B5" w14:textId="109BCCAC" w:rsidR="00CF7655" w:rsidRDefault="00CF7655" w:rsidP="00CF7655">
      <w:pPr>
        <w:spacing w:line="480" w:lineRule="auto"/>
        <w:rPr>
          <w:lang w:val="es-ES_tradnl"/>
        </w:rPr>
      </w:pPr>
    </w:p>
    <w:p w14:paraId="57157E95" w14:textId="478FB2C5" w:rsidR="00CF7655" w:rsidRDefault="00632BAC" w:rsidP="000F4730">
      <w:pPr>
        <w:rPr>
          <w:rFonts w:ascii="Arial" w:hAnsi="Arial" w:cs="Arial"/>
          <w:b/>
        </w:rPr>
      </w:pPr>
      <w:r>
        <w:rPr>
          <w:lang w:val="es-ES_tradnl"/>
        </w:rPr>
        <w:br w:type="page"/>
      </w:r>
      <w:r w:rsidR="00CF7655" w:rsidRPr="008B6388">
        <w:rPr>
          <w:rFonts w:ascii="Arial" w:hAnsi="Arial" w:cs="Arial"/>
          <w:b/>
        </w:rPr>
        <w:lastRenderedPageBreak/>
        <w:t>MATERIALES Y MÉTODOS</w:t>
      </w:r>
    </w:p>
    <w:p w14:paraId="6ECA0BF3" w14:textId="77777777" w:rsidR="000F4730" w:rsidRPr="000F4730" w:rsidRDefault="000F4730" w:rsidP="000F4730">
      <w:pPr>
        <w:rPr>
          <w:lang w:val="es-ES_tradnl"/>
        </w:rPr>
      </w:pPr>
    </w:p>
    <w:p w14:paraId="3A2DC5B6" w14:textId="3FCD61F5" w:rsidR="00C20FCC" w:rsidRPr="008B6388" w:rsidRDefault="00CF7655" w:rsidP="004C4FD0">
      <w:pPr>
        <w:spacing w:line="480" w:lineRule="auto"/>
        <w:ind w:left="57"/>
        <w:rPr>
          <w:rFonts w:ascii="Arial" w:hAnsi="Arial" w:cs="Arial"/>
        </w:rPr>
      </w:pPr>
      <w:r w:rsidRPr="008B6388">
        <w:rPr>
          <w:rFonts w:ascii="Arial" w:hAnsi="Arial" w:cs="Arial"/>
        </w:rPr>
        <w:t>Estudio</w:t>
      </w:r>
      <w:r w:rsidR="000208AA" w:rsidRPr="008B6388">
        <w:rPr>
          <w:rFonts w:ascii="Arial" w:hAnsi="Arial" w:cs="Arial"/>
        </w:rPr>
        <w:t xml:space="preserve"> </w:t>
      </w:r>
      <w:r w:rsidR="001D46FC" w:rsidRPr="008B6388">
        <w:rPr>
          <w:rFonts w:ascii="Arial" w:hAnsi="Arial" w:cs="Arial"/>
        </w:rPr>
        <w:t xml:space="preserve">cuantitativo </w:t>
      </w:r>
      <w:r w:rsidR="000208AA" w:rsidRPr="008B6388">
        <w:rPr>
          <w:rFonts w:ascii="Arial" w:hAnsi="Arial" w:cs="Arial"/>
        </w:rPr>
        <w:t>observacional retrospectivo</w:t>
      </w:r>
      <w:r w:rsidRPr="008B6388">
        <w:rPr>
          <w:rFonts w:ascii="Arial" w:hAnsi="Arial" w:cs="Arial"/>
        </w:rPr>
        <w:t xml:space="preserve"> en una UCI quirúrgica adulto</w:t>
      </w:r>
      <w:r w:rsidR="00883FEA" w:rsidRPr="008B6388">
        <w:rPr>
          <w:rFonts w:ascii="Arial" w:hAnsi="Arial" w:cs="Arial"/>
        </w:rPr>
        <w:t xml:space="preserve"> de</w:t>
      </w:r>
      <w:r w:rsidRPr="008B6388">
        <w:rPr>
          <w:rFonts w:ascii="Arial" w:hAnsi="Arial" w:cs="Arial"/>
        </w:rPr>
        <w:t xml:space="preserve"> </w:t>
      </w:r>
      <w:r w:rsidR="00883FEA" w:rsidRPr="008B6388">
        <w:rPr>
          <w:rFonts w:ascii="Arial" w:hAnsi="Arial" w:cs="Arial"/>
        </w:rPr>
        <w:t xml:space="preserve">8 camas de un centro </w:t>
      </w:r>
      <w:r w:rsidR="0099428E" w:rsidRPr="008B6388">
        <w:rPr>
          <w:rFonts w:ascii="Arial" w:hAnsi="Arial" w:cs="Arial"/>
        </w:rPr>
        <w:t xml:space="preserve">académico </w:t>
      </w:r>
      <w:r w:rsidRPr="008B6388">
        <w:rPr>
          <w:rFonts w:ascii="Arial" w:hAnsi="Arial" w:cs="Arial"/>
        </w:rPr>
        <w:t>privad</w:t>
      </w:r>
      <w:r w:rsidR="00883FEA" w:rsidRPr="008B6388">
        <w:rPr>
          <w:rFonts w:ascii="Arial" w:hAnsi="Arial" w:cs="Arial"/>
        </w:rPr>
        <w:t xml:space="preserve">o </w:t>
      </w:r>
      <w:r w:rsidRPr="008B6388">
        <w:rPr>
          <w:rFonts w:ascii="Arial" w:hAnsi="Arial" w:cs="Arial"/>
        </w:rPr>
        <w:t>en Santiago de Chile</w:t>
      </w:r>
      <w:r w:rsidR="00883FEA" w:rsidRPr="008B6388">
        <w:rPr>
          <w:rFonts w:ascii="Arial" w:hAnsi="Arial" w:cs="Arial"/>
        </w:rPr>
        <w:t xml:space="preserve">. Esta UCI cuenta con </w:t>
      </w:r>
      <w:r w:rsidRPr="008B6388">
        <w:rPr>
          <w:rFonts w:ascii="Arial" w:hAnsi="Arial" w:cs="Arial"/>
        </w:rPr>
        <w:t xml:space="preserve">cobertura profesional las 24 hrs </w:t>
      </w:r>
      <w:r w:rsidR="00883FEA" w:rsidRPr="008B6388">
        <w:rPr>
          <w:rFonts w:ascii="Arial" w:hAnsi="Arial" w:cs="Arial"/>
        </w:rPr>
        <w:t xml:space="preserve">al </w:t>
      </w:r>
      <w:r w:rsidRPr="008B6388">
        <w:rPr>
          <w:rFonts w:ascii="Arial" w:hAnsi="Arial" w:cs="Arial"/>
        </w:rPr>
        <w:t>día</w:t>
      </w:r>
      <w:r w:rsidR="000208AA" w:rsidRPr="008B6388">
        <w:rPr>
          <w:rFonts w:ascii="Arial" w:hAnsi="Arial" w:cs="Arial"/>
        </w:rPr>
        <w:t>. Por turno, el equipo lo conforman</w:t>
      </w:r>
      <w:r w:rsidRPr="008B6388">
        <w:rPr>
          <w:rFonts w:ascii="Arial" w:hAnsi="Arial" w:cs="Arial"/>
        </w:rPr>
        <w:t xml:space="preserve"> 1 médico</w:t>
      </w:r>
      <w:r w:rsidR="000208AA" w:rsidRPr="008B6388">
        <w:rPr>
          <w:rFonts w:ascii="Arial" w:hAnsi="Arial" w:cs="Arial"/>
        </w:rPr>
        <w:t xml:space="preserve"> en turno por 24 hrs</w:t>
      </w:r>
      <w:r w:rsidR="00A4509E" w:rsidRPr="008B6388">
        <w:rPr>
          <w:rFonts w:ascii="Arial" w:hAnsi="Arial" w:cs="Arial"/>
        </w:rPr>
        <w:t xml:space="preserve">; </w:t>
      </w:r>
      <w:r w:rsidR="000208AA" w:rsidRPr="008B6388">
        <w:rPr>
          <w:rFonts w:ascii="Arial" w:hAnsi="Arial" w:cs="Arial"/>
        </w:rPr>
        <w:t xml:space="preserve">y 3 enfermeras, 1 kinesiólogo y 3 técnicos </w:t>
      </w:r>
      <w:r w:rsidR="0092041F" w:rsidRPr="008B6388">
        <w:rPr>
          <w:rFonts w:ascii="Arial" w:hAnsi="Arial" w:cs="Arial"/>
        </w:rPr>
        <w:t xml:space="preserve">de enfermería </w:t>
      </w:r>
      <w:r w:rsidR="000208AA" w:rsidRPr="008B6388">
        <w:rPr>
          <w:rFonts w:ascii="Arial" w:hAnsi="Arial" w:cs="Arial"/>
        </w:rPr>
        <w:t xml:space="preserve">nivel superior </w:t>
      </w:r>
      <w:r w:rsidR="0092041F" w:rsidRPr="008B6388">
        <w:rPr>
          <w:rFonts w:ascii="Arial" w:hAnsi="Arial" w:cs="Arial"/>
        </w:rPr>
        <w:t>e</w:t>
      </w:r>
      <w:r w:rsidR="00A4509E" w:rsidRPr="008B6388">
        <w:rPr>
          <w:rFonts w:ascii="Arial" w:hAnsi="Arial" w:cs="Arial"/>
        </w:rPr>
        <w:t>n turnos de</w:t>
      </w:r>
      <w:r w:rsidRPr="008B6388">
        <w:rPr>
          <w:rFonts w:ascii="Arial" w:hAnsi="Arial" w:cs="Arial"/>
        </w:rPr>
        <w:t xml:space="preserve"> 12 hrs. El kinesiólogo de UCI es aquel profesional que se encarga de los cuidados respiratorios y neuromusculoesquelético</w:t>
      </w:r>
      <w:r w:rsidR="00883FEA" w:rsidRPr="008B6388">
        <w:rPr>
          <w:rFonts w:ascii="Arial" w:hAnsi="Arial" w:cs="Arial"/>
        </w:rPr>
        <w:t>s</w:t>
      </w:r>
      <w:r w:rsidRPr="008B6388">
        <w:rPr>
          <w:rFonts w:ascii="Arial" w:hAnsi="Arial" w:cs="Arial"/>
        </w:rPr>
        <w:t xml:space="preserve"> del paciente crítico. La unidad posee protocolos internos de movilización temprana, administración de sedación-analgesia y de destete de la </w:t>
      </w:r>
      <w:r w:rsidR="00A831E2" w:rsidRPr="008B6388">
        <w:rPr>
          <w:rFonts w:ascii="Arial" w:hAnsi="Arial" w:cs="Arial"/>
        </w:rPr>
        <w:t>VM</w:t>
      </w:r>
      <w:r w:rsidRPr="008B6388">
        <w:rPr>
          <w:rFonts w:ascii="Arial" w:hAnsi="Arial" w:cs="Arial"/>
        </w:rPr>
        <w:t xml:space="preserve">. Todos los procedimientos realizados </w:t>
      </w:r>
      <w:r w:rsidR="00883FEA" w:rsidRPr="008B6388">
        <w:rPr>
          <w:rFonts w:ascii="Arial" w:hAnsi="Arial" w:cs="Arial"/>
        </w:rPr>
        <w:t xml:space="preserve">por los profesionales </w:t>
      </w:r>
      <w:r w:rsidRPr="008B6388">
        <w:rPr>
          <w:rFonts w:ascii="Arial" w:hAnsi="Arial" w:cs="Arial"/>
        </w:rPr>
        <w:t xml:space="preserve">son </w:t>
      </w:r>
      <w:r w:rsidR="00883FEA" w:rsidRPr="008B6388">
        <w:rPr>
          <w:rFonts w:ascii="Arial" w:hAnsi="Arial" w:cs="Arial"/>
        </w:rPr>
        <w:t>documentados en</w:t>
      </w:r>
      <w:r w:rsidRPr="008B6388">
        <w:rPr>
          <w:rFonts w:ascii="Arial" w:hAnsi="Arial" w:cs="Arial"/>
        </w:rPr>
        <w:t xml:space="preserve"> </w:t>
      </w:r>
      <w:r w:rsidR="00883FEA" w:rsidRPr="008B6388">
        <w:rPr>
          <w:rFonts w:ascii="Arial" w:hAnsi="Arial" w:cs="Arial"/>
        </w:rPr>
        <w:t xml:space="preserve">el </w:t>
      </w:r>
      <w:r w:rsidRPr="008B6388">
        <w:rPr>
          <w:rFonts w:ascii="Arial" w:hAnsi="Arial" w:cs="Arial"/>
        </w:rPr>
        <w:t>registro clínico electrónico</w:t>
      </w:r>
      <w:r w:rsidR="00A4509E" w:rsidRPr="008B6388">
        <w:rPr>
          <w:rFonts w:ascii="Arial" w:hAnsi="Arial" w:cs="Arial"/>
        </w:rPr>
        <w:t>, pero su frecuencia es variable. El profesional que más registra es el enfermero de UCI</w:t>
      </w:r>
      <w:r w:rsidR="00D9216B" w:rsidRPr="008B6388">
        <w:rPr>
          <w:rFonts w:ascii="Arial" w:hAnsi="Arial" w:cs="Arial"/>
        </w:rPr>
        <w:t>,</w:t>
      </w:r>
      <w:r w:rsidR="00A4509E" w:rsidRPr="008B6388">
        <w:rPr>
          <w:rFonts w:ascii="Arial" w:hAnsi="Arial" w:cs="Arial"/>
        </w:rPr>
        <w:t xml:space="preserve"> ya que evalúa de forma continua y por horario al paciente</w:t>
      </w:r>
      <w:r w:rsidR="00C20FCC" w:rsidRPr="008B6388">
        <w:rPr>
          <w:rFonts w:ascii="Arial" w:hAnsi="Arial" w:cs="Arial"/>
        </w:rPr>
        <w:t>. E</w:t>
      </w:r>
      <w:r w:rsidR="00A4509E" w:rsidRPr="008B6388">
        <w:rPr>
          <w:rFonts w:ascii="Arial" w:hAnsi="Arial" w:cs="Arial"/>
        </w:rPr>
        <w:t>l médico en general registra una evolución al día con la opción de escribir cambios significativos durante l</w:t>
      </w:r>
      <w:r w:rsidR="00C20FCC" w:rsidRPr="008B6388">
        <w:rPr>
          <w:rFonts w:ascii="Arial" w:hAnsi="Arial" w:cs="Arial"/>
        </w:rPr>
        <w:t>a</w:t>
      </w:r>
      <w:r w:rsidR="00A4509E" w:rsidRPr="008B6388">
        <w:rPr>
          <w:rFonts w:ascii="Arial" w:hAnsi="Arial" w:cs="Arial"/>
        </w:rPr>
        <w:t xml:space="preserve"> jornada, mientras que el kinesiólogo registra las veces que atendió al paciente, que podría ser </w:t>
      </w:r>
      <w:r w:rsidR="00C20FCC" w:rsidRPr="008B6388">
        <w:rPr>
          <w:rFonts w:ascii="Arial" w:hAnsi="Arial" w:cs="Arial"/>
        </w:rPr>
        <w:t>2</w:t>
      </w:r>
      <w:r w:rsidR="00A4509E" w:rsidRPr="008B6388">
        <w:rPr>
          <w:rFonts w:ascii="Arial" w:hAnsi="Arial" w:cs="Arial"/>
        </w:rPr>
        <w:t xml:space="preserve"> o </w:t>
      </w:r>
      <w:r w:rsidR="00C20FCC" w:rsidRPr="008B6388">
        <w:rPr>
          <w:rFonts w:ascii="Arial" w:hAnsi="Arial" w:cs="Arial"/>
        </w:rPr>
        <w:t>3</w:t>
      </w:r>
      <w:r w:rsidR="00A4509E" w:rsidRPr="008B6388">
        <w:rPr>
          <w:rFonts w:ascii="Arial" w:hAnsi="Arial" w:cs="Arial"/>
        </w:rPr>
        <w:t xml:space="preserve"> veces al día</w:t>
      </w:r>
      <w:r w:rsidRPr="008B6388">
        <w:rPr>
          <w:rFonts w:ascii="Arial" w:hAnsi="Arial" w:cs="Arial"/>
        </w:rPr>
        <w:t xml:space="preserve">. </w:t>
      </w:r>
    </w:p>
    <w:p w14:paraId="258DCBC8" w14:textId="0802B782" w:rsidR="00D708CE" w:rsidRPr="008B6388" w:rsidRDefault="0099428E" w:rsidP="004C4FD0">
      <w:pPr>
        <w:spacing w:line="480" w:lineRule="auto"/>
        <w:ind w:left="57"/>
        <w:rPr>
          <w:rFonts w:ascii="Arial" w:hAnsi="Arial" w:cs="Arial"/>
        </w:rPr>
      </w:pPr>
      <w:r w:rsidRPr="008B6388">
        <w:rPr>
          <w:rFonts w:ascii="Arial" w:hAnsi="Arial" w:cs="Arial"/>
        </w:rPr>
        <w:t>Este estudio fue</w:t>
      </w:r>
      <w:r w:rsidR="00CF7655" w:rsidRPr="008B6388">
        <w:rPr>
          <w:rFonts w:ascii="Arial" w:hAnsi="Arial" w:cs="Arial"/>
        </w:rPr>
        <w:t xml:space="preserve"> aproba</w:t>
      </w:r>
      <w:r w:rsidRPr="008B6388">
        <w:rPr>
          <w:rFonts w:ascii="Arial" w:hAnsi="Arial" w:cs="Arial"/>
        </w:rPr>
        <w:t>do</w:t>
      </w:r>
      <w:r w:rsidR="00CF7655" w:rsidRPr="008B6388">
        <w:rPr>
          <w:rFonts w:ascii="Arial" w:hAnsi="Arial" w:cs="Arial"/>
        </w:rPr>
        <w:t xml:space="preserve"> por el Comité Etico Científico de la Facultad de Medicina Clínica Alemana Universidad del Desarrollo (Acta 2020-40)</w:t>
      </w:r>
      <w:r w:rsidR="00A4509E" w:rsidRPr="008B6388">
        <w:rPr>
          <w:rFonts w:ascii="Arial" w:hAnsi="Arial" w:cs="Arial"/>
        </w:rPr>
        <w:t xml:space="preserve">, </w:t>
      </w:r>
      <w:r w:rsidRPr="008B6388">
        <w:rPr>
          <w:rFonts w:ascii="Arial" w:hAnsi="Arial" w:cs="Arial"/>
        </w:rPr>
        <w:t>y autorizado por el jefe de la unidad y la Dirección Médica de la institución. Dado el carácter de la investigación, el comité de ética aprobó</w:t>
      </w:r>
      <w:r w:rsidR="00A4509E" w:rsidRPr="008B6388">
        <w:rPr>
          <w:rFonts w:ascii="Arial" w:hAnsi="Arial" w:cs="Arial"/>
        </w:rPr>
        <w:t xml:space="preserve"> </w:t>
      </w:r>
      <w:r w:rsidRPr="008B6388">
        <w:rPr>
          <w:rFonts w:ascii="Arial" w:hAnsi="Arial" w:cs="Arial"/>
        </w:rPr>
        <w:t>el acceso retrospectivo a datos de los pacientes sin firma de un c</w:t>
      </w:r>
      <w:r w:rsidR="00A4509E" w:rsidRPr="008B6388">
        <w:rPr>
          <w:rFonts w:ascii="Arial" w:hAnsi="Arial" w:cs="Arial"/>
        </w:rPr>
        <w:t>onsentimiento informado.</w:t>
      </w:r>
    </w:p>
    <w:p w14:paraId="2E72C8C8" w14:textId="5E04EBBB" w:rsidR="00D708CE" w:rsidRPr="008B6388" w:rsidRDefault="00D708CE" w:rsidP="00CF7655">
      <w:pPr>
        <w:spacing w:line="480" w:lineRule="auto"/>
        <w:rPr>
          <w:rFonts w:ascii="Arial" w:hAnsi="Arial" w:cs="Arial"/>
          <w:b/>
          <w:bCs/>
          <w:lang w:val="es-ES_tradnl"/>
        </w:rPr>
      </w:pPr>
      <w:r w:rsidRPr="008B6388">
        <w:rPr>
          <w:rFonts w:ascii="Arial" w:hAnsi="Arial" w:cs="Arial"/>
          <w:b/>
          <w:bCs/>
          <w:lang w:val="es-ES_tradnl"/>
        </w:rPr>
        <w:lastRenderedPageBreak/>
        <w:t xml:space="preserve">Mediciones y </w:t>
      </w:r>
      <w:r w:rsidR="00A4509E" w:rsidRPr="008B6388">
        <w:rPr>
          <w:rFonts w:ascii="Arial" w:hAnsi="Arial" w:cs="Arial"/>
          <w:b/>
          <w:bCs/>
          <w:lang w:val="es-ES_tradnl"/>
        </w:rPr>
        <w:t>resultados principales</w:t>
      </w:r>
    </w:p>
    <w:p w14:paraId="7DD44AC2" w14:textId="271BA2C2" w:rsidR="000208AA" w:rsidRPr="008B6388" w:rsidRDefault="000208AA" w:rsidP="004C4FD0">
      <w:pPr>
        <w:spacing w:line="480" w:lineRule="auto"/>
        <w:ind w:left="57"/>
        <w:rPr>
          <w:rFonts w:ascii="Arial" w:hAnsi="Arial" w:cs="Arial"/>
          <w:lang w:val="es-ES_tradnl"/>
        </w:rPr>
      </w:pPr>
      <w:r w:rsidRPr="008B6388">
        <w:rPr>
          <w:rFonts w:ascii="Arial" w:hAnsi="Arial" w:cs="Arial"/>
          <w:lang w:val="es-ES_tradnl"/>
        </w:rPr>
        <w:t xml:space="preserve">Se consideraron todas las atenciones realizadas por </w:t>
      </w:r>
      <w:r w:rsidRPr="008B6388">
        <w:rPr>
          <w:rFonts w:ascii="Arial" w:hAnsi="Arial" w:cs="Arial"/>
        </w:rPr>
        <w:t xml:space="preserve">el equipo multidisciplinario (médicos, enfermeros y kinesiólogos) y registradas en la ficha clínica electrónica de los pacientes entre los meses de marzo y agosto del año 2019. Los criterios de elegibilidad y el protocolo de extracción de datos se encuentran en el </w:t>
      </w:r>
      <w:r w:rsidR="000F29EA">
        <w:rPr>
          <w:rFonts w:ascii="Arial" w:hAnsi="Arial" w:cs="Arial"/>
          <w:b/>
        </w:rPr>
        <w:t>ANEXO</w:t>
      </w:r>
      <w:r w:rsidRPr="008B6388">
        <w:rPr>
          <w:rFonts w:ascii="Arial" w:hAnsi="Arial" w:cs="Arial"/>
          <w:b/>
        </w:rPr>
        <w:t xml:space="preserve"> Método</w:t>
      </w:r>
      <w:r w:rsidRPr="008B6388">
        <w:rPr>
          <w:rFonts w:ascii="Arial" w:hAnsi="Arial" w:cs="Arial"/>
        </w:rPr>
        <w:t>.</w:t>
      </w:r>
    </w:p>
    <w:p w14:paraId="048D619F" w14:textId="052E7705" w:rsidR="00D708CE" w:rsidRPr="008B6388" w:rsidRDefault="00CF7655" w:rsidP="004C4FD0">
      <w:pPr>
        <w:spacing w:line="480" w:lineRule="auto"/>
        <w:ind w:left="57"/>
        <w:rPr>
          <w:rFonts w:ascii="Arial" w:hAnsi="Arial" w:cs="Arial"/>
        </w:rPr>
      </w:pPr>
      <w:r w:rsidRPr="008B6388">
        <w:rPr>
          <w:rFonts w:ascii="Arial" w:hAnsi="Arial" w:cs="Arial"/>
        </w:rPr>
        <w:t xml:space="preserve">El cumplimiento del </w:t>
      </w:r>
      <w:r w:rsidR="006F33AE">
        <w:rPr>
          <w:rFonts w:ascii="Arial" w:hAnsi="Arial" w:cs="Arial"/>
          <w:i/>
          <w:iCs/>
          <w:lang w:val="es-ES_tradnl"/>
        </w:rPr>
        <w:t>“bundle”</w:t>
      </w:r>
      <w:r w:rsidR="001F3C6F">
        <w:rPr>
          <w:rFonts w:ascii="Arial" w:hAnsi="Arial" w:cs="Arial"/>
          <w:i/>
          <w:iCs/>
          <w:lang w:val="es-ES_tradnl"/>
        </w:rPr>
        <w:t xml:space="preserve"> </w:t>
      </w:r>
      <w:r w:rsidRPr="008B6388">
        <w:rPr>
          <w:rFonts w:ascii="Arial" w:hAnsi="Arial" w:cs="Arial"/>
        </w:rPr>
        <w:t xml:space="preserve">se operacionalizó de forma similar a lo realizado por Pun y colaboradores </w:t>
      </w:r>
      <w:r w:rsidRPr="008B6388">
        <w:rPr>
          <w:rFonts w:ascii="Arial" w:hAnsi="Arial" w:cs="Arial"/>
          <w:lang w:val="es-ES_tradnl"/>
        </w:rPr>
        <w:fldChar w:fldCharType="begin" w:fldLock="1"/>
      </w:r>
      <w:r w:rsidR="00A4509E" w:rsidRPr="008B6388">
        <w:rPr>
          <w:rFonts w:ascii="Arial" w:hAnsi="Arial" w:cs="Arial"/>
          <w:lang w:val="es-ES_tradnl"/>
        </w:rPr>
        <w:instrText>ADDIN CSL_CITATION {"citationItems":[{"id":"ITEM-1","itemData":{"DOI":"10.1111/wvn.12290","ISSN":"17416787","abstract":"Background: Patients admitted to intensive care units (ICUs) often experience pain, oversedation, prolonged mechanical ventilation, delirium, and weakness. These conditions are important in that they often lead to protracted physical, neurocognitive, and mental health sequelae now termed postintensive care syndrome. Changing current ICU practice will not only require the adoption of evidence-based interventions but the development of effective and reliable teams to support these new practices. Objectives: To build on the success of bundled care and bridge an ongoing evidence-practice gap, the Society of Critical Care Medicine (SCCM) recently launched the ICU Liberation ABCDEF Bundle Improvement Collaborative. The Collaborative aimed to foster the bedside application of the SCCM's Pain, Agitation, and Delirium Guidelines via the ABCDEF bundle. The purpose of this paper is to describe the history of the Collaborative, the evidence-based implementation strategies used to foster change and teamwork, and the performance and outcome metrics used to monitor progress. Methods: Collaborative participants were required to attend four in-person meetings, monthly colearning calls, database training sessions, an e-Community listserv, and select in-person site visits. Teams submitted patient-level data and completed pre- and postimplementation questionnaires focused on the assessment of teamwork and collaboration, work environment, and overall ICU care. Faculty shared the evidence used to derive each bundle element as well as team-based implementation strategies for improvement and sustainment. Results: Retention in the Collaborative was high, with 67 of 69 adult and eight of nine pediatric ICUs fully completing the program. Baseline and prospective data were collected on over 17,000 critically ill patients. A variety of evidence-based professional behavioral change interventions and novel implementation techniques were utilized and shared among Collaborative members. Linking Evidence to Action: Hospitals and health systems can use the Collaborative structure, strategies, and tools described in this paper to help successfully implement the ABCDEF bundle in their ICUs.","author":[{"dropping-particle":"","family":"Barnes-Daly","given":"Mary Ann","non-dropping-particle":"","parse-names":false,"suffix":""},{"dropping-particle":"","family":"Pun","given":"Brenda T.","non-dropping-particle":"","parse-names":false,"suffix":""},{"dropping-particle":"","family":"Harmon","given":"Lori A.","non-dropping-particle":"","parse-names":false,"suffix":""},{"dropping-particle":"","family":"Byrum","given":"Diane G.","non-dropping-particle":"","parse-names":false,"suffix":""},{"dropping-particle":"","family":"Kumar","given":"Vishakha K.","non-dropping-particle":"","parse-names":false,"suffix":""},{"dropping-particle":"","family":"Devlin","given":"John W.","non-dropping-particle":"","parse-names":false,"suffix":""},{"dropping-particle":"","family":"Stollings","given":"Joanna L.","non-dropping-particle":"","parse-names":false,"suffix":""},{"dropping-particle":"","family":"Puntillo","given":"Kathleen A.","non-dropping-particle":"","parse-names":false,"suffix":""},{"dropping-particle":"","family":"Engel","given":"Heidi J.","non-dropping-particle":"","parse-names":false,"suffix":""},{"dropping-particle":"","family":"Posa","given":"Patricia J.","non-dropping-particle":"","parse-names":false,"suffix":""},{"dropping-particle":"","family":"Barr","given":"Juliana","non-dropping-particle":"","parse-names":false,"suffix":""},{"dropping-particle":"","family":"Schweickert","given":"William D.","non-dropping-particle":"","parse-names":false,"suffix":""},{"dropping-particle":"","family":"Esbrook","given":"Cheryl L.","non-dropping-particle":"","parse-names":false,"suffix":""},{"dropping-particle":"","family":"Hargett","given":"Ken D.","non-dropping-particle":"","parse-names":false,"suffix":""},{"dropping-particle":"","family":"Carson","given":"Shannon S.","non-dropping-particle":"","parse-names":false,"suffix":""},{"dropping-particle":"","family":"Aldrich","given":"J. Matthew","non-dropping-particle":"","parse-names":false,"suffix":""},{"dropping-particle":"","family":"Ely","given":"E. Wesley","non-dropping-particle":"","parse-names":false,"suffix":""},{"dropping-particle":"","family":"Balas","given":"Michele C.","non-dropping-particle":"","parse-names":false,"suffix":""}],"container-title":"Worldviews on Evidence-Based Nursing","id":"ITEM-1","issue":"3","issued":{"date-parts":[["2018"]]},"page":"206-216","title":"Improving Health Care for Critically Ill Patients Using an Evidence-Based Collaborative Approach to ABCDEF Bundle Dissemination and Implementation","type":"article-journal","volume":"15"},"uris":["http://www.mendeley.com/documents/?uuid=7b71dfed-70a7-4f79-b94c-bf5ffdcbe1c6"]}],"mendeley":{"formattedCitation":"(10)","plainTextFormattedCitation":"(10)","previouslyFormattedCitation":"(10)"},"properties":{"noteIndex":0},"schema":"https://github.com/citation-style-language/schema/raw/master/csl-citation.json"}</w:instrText>
      </w:r>
      <w:r w:rsidRPr="008B6388">
        <w:rPr>
          <w:rFonts w:ascii="Arial" w:hAnsi="Arial" w:cs="Arial"/>
          <w:lang w:val="es-ES_tradnl"/>
        </w:rPr>
        <w:fldChar w:fldCharType="separate"/>
      </w:r>
      <w:r w:rsidR="00A4509E" w:rsidRPr="008B6388">
        <w:rPr>
          <w:rFonts w:ascii="Arial" w:hAnsi="Arial" w:cs="Arial"/>
          <w:noProof/>
          <w:lang w:val="es-ES_tradnl"/>
        </w:rPr>
        <w:t>(10)</w:t>
      </w:r>
      <w:r w:rsidRPr="008B6388">
        <w:rPr>
          <w:rFonts w:ascii="Arial" w:hAnsi="Arial" w:cs="Arial"/>
        </w:rPr>
        <w:fldChar w:fldCharType="end"/>
      </w:r>
      <w:r w:rsidRPr="008B6388">
        <w:rPr>
          <w:rFonts w:ascii="Arial" w:hAnsi="Arial" w:cs="Arial"/>
          <w:lang w:val="es-ES_tradnl"/>
        </w:rPr>
        <w:t xml:space="preserve">. El detalle se encuentra en </w:t>
      </w:r>
      <w:r w:rsidRPr="008B6388">
        <w:rPr>
          <w:rFonts w:ascii="Arial" w:hAnsi="Arial" w:cs="Arial"/>
        </w:rPr>
        <w:t xml:space="preserve">el </w:t>
      </w:r>
      <w:r w:rsidR="000F29EA">
        <w:rPr>
          <w:rFonts w:ascii="Arial" w:hAnsi="Arial" w:cs="Arial"/>
          <w:b/>
        </w:rPr>
        <w:t>ANEXO</w:t>
      </w:r>
      <w:r w:rsidR="00DC122E">
        <w:rPr>
          <w:rFonts w:ascii="Arial" w:hAnsi="Arial" w:cs="Arial"/>
          <w:b/>
        </w:rPr>
        <w:t xml:space="preserve"> </w:t>
      </w:r>
      <w:bookmarkStart w:id="0" w:name="_GoBack"/>
      <w:bookmarkEnd w:id="0"/>
      <w:r w:rsidR="00DC122E" w:rsidRPr="006F33AE">
        <w:rPr>
          <w:rFonts w:ascii="Arial" w:hAnsi="Arial" w:cs="Arial"/>
          <w:b/>
        </w:rPr>
        <w:t xml:space="preserve">Definiciones operacionales del cumplimiento del “bundle”ABCDEF </w:t>
      </w:r>
      <w:r w:rsidRPr="008B6388">
        <w:rPr>
          <w:rFonts w:ascii="Arial" w:hAnsi="Arial" w:cs="Arial"/>
          <w:b/>
        </w:rPr>
        <w:t>.</w:t>
      </w:r>
      <w:r w:rsidR="00D708CE" w:rsidRPr="008B6388">
        <w:rPr>
          <w:rFonts w:ascii="Arial" w:hAnsi="Arial" w:cs="Arial"/>
          <w:b/>
        </w:rPr>
        <w:t xml:space="preserve"> </w:t>
      </w:r>
      <w:r w:rsidR="00D708CE" w:rsidRPr="008B6388">
        <w:rPr>
          <w:rFonts w:ascii="Arial" w:hAnsi="Arial" w:cs="Arial"/>
        </w:rPr>
        <w:t xml:space="preserve">Se consideró como cumplimiento por elemento, </w:t>
      </w:r>
      <w:r w:rsidR="00A4509E" w:rsidRPr="008B6388">
        <w:rPr>
          <w:rFonts w:ascii="Arial" w:hAnsi="Arial" w:cs="Arial"/>
        </w:rPr>
        <w:t xml:space="preserve">el registro de </w:t>
      </w:r>
      <w:r w:rsidR="00D708CE" w:rsidRPr="008B6388">
        <w:rPr>
          <w:rFonts w:ascii="Arial" w:hAnsi="Arial" w:cs="Arial"/>
        </w:rPr>
        <w:t>al menos una intervención por día-paciente</w:t>
      </w:r>
      <w:r w:rsidR="00105895" w:rsidRPr="008B6388">
        <w:rPr>
          <w:rFonts w:ascii="Arial" w:hAnsi="Arial" w:cs="Arial"/>
        </w:rPr>
        <w:t>.</w:t>
      </w:r>
    </w:p>
    <w:p w14:paraId="3EE6D6BF" w14:textId="77777777" w:rsidR="00D708CE" w:rsidRPr="008B6388" w:rsidRDefault="00D708CE" w:rsidP="00CF7655">
      <w:pPr>
        <w:spacing w:line="480" w:lineRule="auto"/>
        <w:rPr>
          <w:rFonts w:ascii="Arial" w:hAnsi="Arial" w:cs="Arial"/>
          <w:b/>
        </w:rPr>
      </w:pPr>
    </w:p>
    <w:p w14:paraId="38C929E4" w14:textId="77777777" w:rsidR="00CF7655" w:rsidRPr="008B6388" w:rsidRDefault="00CF7655" w:rsidP="00CF7655">
      <w:pPr>
        <w:spacing w:line="480" w:lineRule="auto"/>
        <w:rPr>
          <w:rFonts w:ascii="Arial" w:hAnsi="Arial" w:cs="Arial"/>
          <w:b/>
        </w:rPr>
      </w:pPr>
      <w:r w:rsidRPr="008B6388">
        <w:rPr>
          <w:rFonts w:ascii="Arial" w:hAnsi="Arial" w:cs="Arial"/>
          <w:b/>
        </w:rPr>
        <w:t>Encuesta administrativa</w:t>
      </w:r>
    </w:p>
    <w:p w14:paraId="1858D4C4" w14:textId="038EBB52" w:rsidR="00CF7655" w:rsidRPr="008B6388" w:rsidRDefault="00CF7655" w:rsidP="004C4FD0">
      <w:pPr>
        <w:spacing w:line="480" w:lineRule="auto"/>
        <w:ind w:left="57"/>
        <w:rPr>
          <w:rFonts w:ascii="Arial" w:hAnsi="Arial" w:cs="Arial"/>
        </w:rPr>
      </w:pPr>
      <w:r w:rsidRPr="008B6388">
        <w:rPr>
          <w:rFonts w:ascii="Arial" w:hAnsi="Arial" w:cs="Arial"/>
        </w:rPr>
        <w:t xml:space="preserve">Para complementar los resultados del cumplimiento del </w:t>
      </w:r>
      <w:r w:rsidR="006F33AE" w:rsidRPr="001F3C6F">
        <w:rPr>
          <w:rFonts w:ascii="Arial" w:hAnsi="Arial" w:cs="Arial"/>
        </w:rPr>
        <w:t>“bundle”</w:t>
      </w:r>
      <w:r w:rsidRPr="001F3C6F">
        <w:rPr>
          <w:rFonts w:ascii="Arial" w:hAnsi="Arial" w:cs="Arial"/>
        </w:rPr>
        <w:t>,</w:t>
      </w:r>
      <w:r w:rsidRPr="008B6388">
        <w:rPr>
          <w:rFonts w:ascii="Arial" w:hAnsi="Arial" w:cs="Arial"/>
        </w:rPr>
        <w:t xml:space="preserve"> se solicitó a la jefatura de la unidad, los resultados de una encuesta administrativa aplicada a los profesionales</w:t>
      </w:r>
      <w:r w:rsidR="00D708CE" w:rsidRPr="008B6388">
        <w:rPr>
          <w:rFonts w:ascii="Arial" w:hAnsi="Arial" w:cs="Arial"/>
          <w:b/>
          <w:lang w:val="es-ES"/>
        </w:rPr>
        <w:t xml:space="preserve">. </w:t>
      </w:r>
      <w:r w:rsidR="00D708CE" w:rsidRPr="008B6388">
        <w:rPr>
          <w:rFonts w:ascii="Arial" w:hAnsi="Arial" w:cs="Arial"/>
          <w:lang w:val="es-ES"/>
        </w:rPr>
        <w:t xml:space="preserve">El detalle se encuentra en </w:t>
      </w:r>
      <w:r w:rsidR="00A44659">
        <w:rPr>
          <w:rFonts w:ascii="Arial" w:hAnsi="Arial" w:cs="Arial"/>
          <w:b/>
          <w:lang w:val="es-ES"/>
        </w:rPr>
        <w:t>AXEXO</w:t>
      </w:r>
      <w:r w:rsidR="00D708CE" w:rsidRPr="008B6388">
        <w:rPr>
          <w:rFonts w:ascii="Arial" w:hAnsi="Arial" w:cs="Arial"/>
          <w:b/>
          <w:lang w:val="es-ES"/>
        </w:rPr>
        <w:t xml:space="preserve"> Resultado</w:t>
      </w:r>
      <w:r w:rsidRPr="008B6388">
        <w:rPr>
          <w:rFonts w:ascii="Arial" w:hAnsi="Arial" w:cs="Arial"/>
        </w:rPr>
        <w:t>.</w:t>
      </w:r>
    </w:p>
    <w:p w14:paraId="22E71AE0" w14:textId="77777777" w:rsidR="00CF7655" w:rsidRPr="008B6388" w:rsidRDefault="00CF7655" w:rsidP="00CF7655">
      <w:pPr>
        <w:spacing w:line="480" w:lineRule="auto"/>
        <w:rPr>
          <w:rFonts w:ascii="Arial" w:hAnsi="Arial" w:cs="Arial"/>
        </w:rPr>
      </w:pPr>
    </w:p>
    <w:p w14:paraId="16FEDBA5" w14:textId="77777777" w:rsidR="00CF7655" w:rsidRPr="008B6388" w:rsidRDefault="00CF7655" w:rsidP="00CF7655">
      <w:pPr>
        <w:spacing w:line="480" w:lineRule="auto"/>
        <w:rPr>
          <w:rFonts w:ascii="Arial" w:hAnsi="Arial" w:cs="Arial"/>
          <w:b/>
        </w:rPr>
      </w:pPr>
      <w:r w:rsidRPr="008B6388">
        <w:rPr>
          <w:rFonts w:ascii="Arial" w:hAnsi="Arial" w:cs="Arial"/>
          <w:b/>
        </w:rPr>
        <w:t>Análisis estadístico</w:t>
      </w:r>
    </w:p>
    <w:p w14:paraId="4A3CFB5E" w14:textId="2DD58436" w:rsidR="00D708CE" w:rsidRPr="008B6388" w:rsidRDefault="00D708CE" w:rsidP="004C4FD0">
      <w:pPr>
        <w:spacing w:line="480" w:lineRule="auto"/>
        <w:ind w:left="57"/>
        <w:rPr>
          <w:rFonts w:ascii="Arial" w:hAnsi="Arial" w:cs="Arial"/>
        </w:rPr>
      </w:pPr>
      <w:r w:rsidRPr="008B6388">
        <w:rPr>
          <w:rFonts w:ascii="Arial" w:hAnsi="Arial" w:cs="Arial"/>
        </w:rPr>
        <w:t xml:space="preserve">Las variables </w:t>
      </w:r>
      <w:r w:rsidR="000208AA" w:rsidRPr="008B6388">
        <w:rPr>
          <w:rFonts w:ascii="Arial" w:hAnsi="Arial" w:cs="Arial"/>
        </w:rPr>
        <w:t xml:space="preserve">clínicas y sociodemográficas </w:t>
      </w:r>
      <w:r w:rsidRPr="008B6388">
        <w:rPr>
          <w:rFonts w:ascii="Arial" w:hAnsi="Arial" w:cs="Arial"/>
        </w:rPr>
        <w:t>numéricas</w:t>
      </w:r>
      <w:r w:rsidR="00A54467" w:rsidRPr="008B6388">
        <w:rPr>
          <w:rFonts w:ascii="Arial" w:hAnsi="Arial" w:cs="Arial"/>
        </w:rPr>
        <w:t xml:space="preserve"> </w:t>
      </w:r>
      <w:r w:rsidR="001F5CD8" w:rsidRPr="008B6388">
        <w:rPr>
          <w:rFonts w:ascii="Arial" w:hAnsi="Arial" w:cs="Arial"/>
        </w:rPr>
        <w:t xml:space="preserve">son </w:t>
      </w:r>
      <w:r w:rsidRPr="008B6388">
        <w:rPr>
          <w:rFonts w:ascii="Arial" w:hAnsi="Arial" w:cs="Arial"/>
        </w:rPr>
        <w:t xml:space="preserve">presentadas en mediana y rango intercuarílico, mientras que las nominales en frecuencia absoluta y relativa. </w:t>
      </w:r>
      <w:r w:rsidR="00BC7C94" w:rsidRPr="008B6388">
        <w:rPr>
          <w:rFonts w:ascii="Arial" w:hAnsi="Arial" w:cs="Arial"/>
        </w:rPr>
        <w:t>Con respecto a</w:t>
      </w:r>
      <w:r w:rsidRPr="008B6388">
        <w:rPr>
          <w:rFonts w:ascii="Arial" w:hAnsi="Arial" w:cs="Arial"/>
        </w:rPr>
        <w:t xml:space="preserve"> las variables relacionadas al </w:t>
      </w:r>
      <w:r w:rsidR="006F33AE">
        <w:rPr>
          <w:rFonts w:ascii="Arial" w:hAnsi="Arial" w:cs="Arial"/>
          <w:b/>
        </w:rPr>
        <w:t>“bundle”</w:t>
      </w:r>
      <w:r w:rsidRPr="008B6388">
        <w:rPr>
          <w:rFonts w:ascii="Arial" w:hAnsi="Arial" w:cs="Arial"/>
        </w:rPr>
        <w:t>, las variable</w:t>
      </w:r>
      <w:r w:rsidR="000208AA" w:rsidRPr="008B6388">
        <w:rPr>
          <w:rFonts w:ascii="Arial" w:hAnsi="Arial" w:cs="Arial"/>
        </w:rPr>
        <w:t>s</w:t>
      </w:r>
      <w:r w:rsidRPr="008B6388">
        <w:rPr>
          <w:rFonts w:ascii="Arial" w:hAnsi="Arial" w:cs="Arial"/>
        </w:rPr>
        <w:t xml:space="preserve">: </w:t>
      </w:r>
      <w:r w:rsidRPr="008B6388">
        <w:rPr>
          <w:rFonts w:ascii="Arial" w:hAnsi="Arial" w:cs="Arial"/>
          <w:i/>
        </w:rPr>
        <w:t>número de evaluaciones al día</w:t>
      </w:r>
      <w:r w:rsidRPr="008B6388">
        <w:rPr>
          <w:rFonts w:ascii="Arial" w:hAnsi="Arial" w:cs="Arial"/>
        </w:rPr>
        <w:t xml:space="preserve"> para el elemento “A”, “C” y “D”, </w:t>
      </w:r>
      <w:r w:rsidRPr="008B6388">
        <w:rPr>
          <w:rFonts w:ascii="Arial" w:hAnsi="Arial" w:cs="Arial"/>
          <w:i/>
        </w:rPr>
        <w:lastRenderedPageBreak/>
        <w:t>número de sesiones al día</w:t>
      </w:r>
      <w:r w:rsidRPr="008B6388">
        <w:rPr>
          <w:rFonts w:ascii="Arial" w:hAnsi="Arial" w:cs="Arial"/>
        </w:rPr>
        <w:t xml:space="preserve"> para el elemento “E” y el </w:t>
      </w:r>
      <w:r w:rsidRPr="008B6388">
        <w:rPr>
          <w:rFonts w:ascii="Arial" w:hAnsi="Arial" w:cs="Arial"/>
          <w:i/>
        </w:rPr>
        <w:t>resultado de la escala</w:t>
      </w:r>
      <w:r w:rsidRPr="008B6388">
        <w:rPr>
          <w:rFonts w:ascii="Arial" w:hAnsi="Arial" w:cs="Arial"/>
        </w:rPr>
        <w:t xml:space="preserve"> para el elemento “A” y “C” </w:t>
      </w:r>
      <w:r w:rsidR="001F5CD8" w:rsidRPr="008B6388">
        <w:rPr>
          <w:rFonts w:ascii="Arial" w:hAnsi="Arial" w:cs="Arial"/>
        </w:rPr>
        <w:t xml:space="preserve">se </w:t>
      </w:r>
      <w:r w:rsidRPr="008B6388">
        <w:rPr>
          <w:rFonts w:ascii="Arial" w:hAnsi="Arial" w:cs="Arial"/>
        </w:rPr>
        <w:t>presenta</w:t>
      </w:r>
      <w:r w:rsidR="001F5CD8" w:rsidRPr="008B6388">
        <w:rPr>
          <w:rFonts w:ascii="Arial" w:hAnsi="Arial" w:cs="Arial"/>
        </w:rPr>
        <w:t>n</w:t>
      </w:r>
      <w:r w:rsidRPr="008B6388">
        <w:rPr>
          <w:rFonts w:ascii="Arial" w:hAnsi="Arial" w:cs="Arial"/>
        </w:rPr>
        <w:t xml:space="preserve"> en mediana y rango intercuartílico, mientras que el resto de </w:t>
      </w:r>
      <w:r w:rsidR="000208AA" w:rsidRPr="008B6388">
        <w:rPr>
          <w:rFonts w:ascii="Arial" w:hAnsi="Arial" w:cs="Arial"/>
        </w:rPr>
        <w:t xml:space="preserve">las </w:t>
      </w:r>
      <w:r w:rsidRPr="008B6388">
        <w:rPr>
          <w:rFonts w:ascii="Arial" w:hAnsi="Arial" w:cs="Arial"/>
        </w:rPr>
        <w:t>variables se presenta en frecuencia absoluta y relativa.</w:t>
      </w:r>
      <w:r w:rsidR="00BC7C94" w:rsidRPr="008B6388">
        <w:rPr>
          <w:rFonts w:ascii="Arial" w:hAnsi="Arial" w:cs="Arial"/>
        </w:rPr>
        <w:t xml:space="preserve"> El elemento “A”, “C”, “D” y “E” se presentan </w:t>
      </w:r>
      <w:r w:rsidR="001F5CD8" w:rsidRPr="008B6388">
        <w:rPr>
          <w:rFonts w:ascii="Arial" w:hAnsi="Arial" w:cs="Arial"/>
        </w:rPr>
        <w:t xml:space="preserve">en </w:t>
      </w:r>
      <w:r w:rsidR="00BC7C94" w:rsidRPr="008B6388">
        <w:rPr>
          <w:rFonts w:ascii="Arial" w:hAnsi="Arial" w:cs="Arial"/>
        </w:rPr>
        <w:t xml:space="preserve">tablas comparativas </w:t>
      </w:r>
      <w:r w:rsidR="000208AA" w:rsidRPr="008B6388">
        <w:rPr>
          <w:rFonts w:ascii="Arial" w:hAnsi="Arial" w:cs="Arial"/>
        </w:rPr>
        <w:t xml:space="preserve">de </w:t>
      </w:r>
      <w:r w:rsidR="00BC7C94" w:rsidRPr="008B6388">
        <w:rPr>
          <w:rFonts w:ascii="Arial" w:hAnsi="Arial" w:cs="Arial"/>
        </w:rPr>
        <w:t xml:space="preserve">días-paciente con y sin </w:t>
      </w:r>
      <w:r w:rsidR="00A44659">
        <w:rPr>
          <w:rFonts w:ascii="Arial" w:hAnsi="Arial" w:cs="Arial"/>
        </w:rPr>
        <w:t>VMI</w:t>
      </w:r>
      <w:r w:rsidR="00BC7C94" w:rsidRPr="008B6388">
        <w:rPr>
          <w:rFonts w:ascii="Arial" w:hAnsi="Arial" w:cs="Arial"/>
        </w:rPr>
        <w:t>.</w:t>
      </w:r>
      <w:r w:rsidR="00105895" w:rsidRPr="008B6388">
        <w:rPr>
          <w:rFonts w:ascii="Arial" w:hAnsi="Arial" w:cs="Arial"/>
        </w:rPr>
        <w:t xml:space="preserve"> Cómo los criterios de elegibilidad difieren por cada elemento del </w:t>
      </w:r>
      <w:r w:rsidR="006F33AE" w:rsidRPr="00D64D91">
        <w:rPr>
          <w:rFonts w:ascii="Arial" w:hAnsi="Arial" w:cs="Arial"/>
        </w:rPr>
        <w:t>“bundle”</w:t>
      </w:r>
      <w:r w:rsidR="00105895" w:rsidRPr="00D64D91">
        <w:rPr>
          <w:rFonts w:ascii="Arial" w:hAnsi="Arial" w:cs="Arial"/>
        </w:rPr>
        <w:t>,</w:t>
      </w:r>
      <w:r w:rsidR="00105895" w:rsidRPr="008B6388">
        <w:rPr>
          <w:rFonts w:ascii="Arial" w:hAnsi="Arial" w:cs="Arial"/>
        </w:rPr>
        <w:t xml:space="preserve"> la cantidad de días-paciente elegibles por elemento varía entre ellos.</w:t>
      </w:r>
    </w:p>
    <w:p w14:paraId="2084285B" w14:textId="77777777" w:rsidR="00CF7655" w:rsidRPr="006F33AE" w:rsidRDefault="00CF7655" w:rsidP="00CF7655">
      <w:pPr>
        <w:spacing w:line="480" w:lineRule="auto"/>
        <w:rPr>
          <w:rFonts w:ascii="Arial" w:hAnsi="Arial" w:cs="Arial"/>
          <w:b/>
        </w:rPr>
      </w:pPr>
    </w:p>
    <w:p w14:paraId="090CF16C" w14:textId="622A6B47" w:rsidR="00CF7655" w:rsidRPr="006F33AE" w:rsidRDefault="00C26035" w:rsidP="00CF7655">
      <w:pPr>
        <w:spacing w:line="480" w:lineRule="auto"/>
        <w:rPr>
          <w:rFonts w:ascii="Arial" w:hAnsi="Arial" w:cs="Arial"/>
          <w:b/>
        </w:rPr>
      </w:pPr>
      <w:r w:rsidRPr="006F33AE">
        <w:rPr>
          <w:rFonts w:ascii="Arial" w:hAnsi="Arial" w:cs="Arial"/>
          <w:b/>
        </w:rPr>
        <w:t>RESULTADOS</w:t>
      </w:r>
    </w:p>
    <w:p w14:paraId="50965EDA" w14:textId="77777777" w:rsidR="00CF7655" w:rsidRPr="006F33AE" w:rsidRDefault="00CF7655" w:rsidP="00CF7655">
      <w:pPr>
        <w:spacing w:line="480" w:lineRule="auto"/>
        <w:rPr>
          <w:rFonts w:ascii="Arial" w:hAnsi="Arial" w:cs="Arial"/>
          <w:b/>
          <w:lang w:val="es-ES"/>
        </w:rPr>
      </w:pPr>
      <w:r w:rsidRPr="006F33AE">
        <w:rPr>
          <w:rFonts w:ascii="Arial" w:hAnsi="Arial" w:cs="Arial"/>
          <w:b/>
          <w:lang w:val="es-ES"/>
        </w:rPr>
        <w:t>Características sociodemográficas de los sujetos.</w:t>
      </w:r>
    </w:p>
    <w:p w14:paraId="33C1A7E3" w14:textId="68BC2BA7" w:rsidR="00CF7655" w:rsidRDefault="00CF7655" w:rsidP="004C4FD0">
      <w:pPr>
        <w:spacing w:line="480" w:lineRule="auto"/>
        <w:ind w:left="57"/>
        <w:rPr>
          <w:rFonts w:ascii="Arial" w:hAnsi="Arial" w:cs="Arial"/>
          <w:lang w:val="es-ES"/>
        </w:rPr>
      </w:pPr>
      <w:r w:rsidRPr="006F33AE">
        <w:rPr>
          <w:rFonts w:ascii="Arial" w:hAnsi="Arial" w:cs="Arial"/>
          <w:lang w:val="es-ES"/>
        </w:rPr>
        <w:t xml:space="preserve">Durante el período de reclutamiento ingresaron 183 pacientes, de los cuales 133 </w:t>
      </w:r>
      <w:r w:rsidR="00493B7B" w:rsidRPr="006F33AE">
        <w:rPr>
          <w:rFonts w:ascii="Arial" w:hAnsi="Arial" w:cs="Arial"/>
          <w:lang w:val="es-ES"/>
        </w:rPr>
        <w:t xml:space="preserve">fueron </w:t>
      </w:r>
      <w:r w:rsidRPr="006F33AE">
        <w:rPr>
          <w:rFonts w:ascii="Arial" w:hAnsi="Arial" w:cs="Arial"/>
          <w:lang w:val="es-ES"/>
        </w:rPr>
        <w:t xml:space="preserve">elegibles. </w:t>
      </w:r>
      <w:r w:rsidRPr="006F33AE">
        <w:rPr>
          <w:rFonts w:ascii="Arial" w:hAnsi="Arial" w:cs="Arial"/>
          <w:bCs/>
          <w:lang w:val="es-ES"/>
        </w:rPr>
        <w:t>La</w:t>
      </w:r>
      <w:r w:rsidRPr="006F33AE">
        <w:rPr>
          <w:rFonts w:ascii="Arial" w:hAnsi="Arial" w:cs="Arial"/>
          <w:b/>
          <w:lang w:val="es-ES"/>
        </w:rPr>
        <w:t xml:space="preserve"> </w:t>
      </w:r>
      <w:r w:rsidR="00493B7B" w:rsidRPr="006F33AE">
        <w:rPr>
          <w:rFonts w:ascii="Arial" w:hAnsi="Arial" w:cs="Arial"/>
          <w:b/>
          <w:lang w:val="es-ES"/>
        </w:rPr>
        <w:t>T</w:t>
      </w:r>
      <w:r w:rsidRPr="006F33AE">
        <w:rPr>
          <w:rFonts w:ascii="Arial" w:hAnsi="Arial" w:cs="Arial"/>
          <w:b/>
          <w:lang w:val="es-ES"/>
        </w:rPr>
        <w:t>abla 1</w:t>
      </w:r>
      <w:r w:rsidRPr="006F33AE">
        <w:rPr>
          <w:rFonts w:ascii="Arial" w:hAnsi="Arial" w:cs="Arial"/>
          <w:lang w:val="es-ES"/>
        </w:rPr>
        <w:t xml:space="preserve"> muestra las características clínicas y </w:t>
      </w:r>
      <w:r w:rsidR="00493B7B" w:rsidRPr="006F33AE">
        <w:rPr>
          <w:rFonts w:ascii="Arial" w:hAnsi="Arial" w:cs="Arial"/>
          <w:lang w:val="es-ES"/>
        </w:rPr>
        <w:t>socio</w:t>
      </w:r>
      <w:r w:rsidRPr="006F33AE">
        <w:rPr>
          <w:rFonts w:ascii="Arial" w:hAnsi="Arial" w:cs="Arial"/>
          <w:lang w:val="es-ES"/>
        </w:rPr>
        <w:t xml:space="preserve">demográficas de estos pacientes. Se </w:t>
      </w:r>
      <w:r w:rsidR="00425CB2" w:rsidRPr="006F33AE">
        <w:rPr>
          <w:rFonts w:ascii="Arial" w:hAnsi="Arial" w:cs="Arial"/>
          <w:lang w:val="es-ES"/>
        </w:rPr>
        <w:t xml:space="preserve">seleccionaron </w:t>
      </w:r>
      <w:r w:rsidRPr="006F33AE">
        <w:rPr>
          <w:rFonts w:ascii="Arial" w:hAnsi="Arial" w:cs="Arial"/>
          <w:lang w:val="es-ES"/>
        </w:rPr>
        <w:t>1</w:t>
      </w:r>
      <w:r w:rsidR="001745BB" w:rsidRPr="006F33AE">
        <w:rPr>
          <w:rFonts w:ascii="Arial" w:hAnsi="Arial" w:cs="Arial"/>
          <w:lang w:val="es-ES"/>
        </w:rPr>
        <w:t>.</w:t>
      </w:r>
      <w:r w:rsidRPr="006F33AE">
        <w:rPr>
          <w:rFonts w:ascii="Arial" w:hAnsi="Arial" w:cs="Arial"/>
          <w:lang w:val="es-ES"/>
        </w:rPr>
        <w:t xml:space="preserve">134 días-paciente, </w:t>
      </w:r>
      <w:r w:rsidR="00864820" w:rsidRPr="006F33AE">
        <w:rPr>
          <w:rFonts w:ascii="Arial" w:hAnsi="Arial" w:cs="Arial"/>
          <w:lang w:val="es-ES"/>
        </w:rPr>
        <w:t xml:space="preserve">en los cuales se identificó el cumplimiento del </w:t>
      </w:r>
      <w:r w:rsidR="00AD58D7" w:rsidRPr="006F33AE">
        <w:rPr>
          <w:rFonts w:ascii="Arial" w:hAnsi="Arial" w:cs="Arial"/>
          <w:lang w:val="es-ES"/>
        </w:rPr>
        <w:t>“</w:t>
      </w:r>
      <w:proofErr w:type="spellStart"/>
      <w:r w:rsidR="00AD58D7" w:rsidRPr="006F33AE">
        <w:rPr>
          <w:rFonts w:ascii="Arial" w:hAnsi="Arial" w:cs="Arial"/>
          <w:lang w:val="es-ES"/>
        </w:rPr>
        <w:t>bundle</w:t>
      </w:r>
      <w:proofErr w:type="spellEnd"/>
      <w:r w:rsidR="00AD58D7" w:rsidRPr="006F33AE">
        <w:rPr>
          <w:rFonts w:ascii="Arial" w:hAnsi="Arial" w:cs="Arial"/>
          <w:lang w:val="es-ES"/>
        </w:rPr>
        <w:t>”</w:t>
      </w:r>
      <w:r w:rsidR="009F6B81" w:rsidRPr="006F33AE">
        <w:rPr>
          <w:rFonts w:ascii="Arial" w:hAnsi="Arial" w:cs="Arial"/>
          <w:lang w:val="es-ES"/>
        </w:rPr>
        <w:t>. E</w:t>
      </w:r>
      <w:r w:rsidR="00864820" w:rsidRPr="006F33AE">
        <w:rPr>
          <w:rFonts w:ascii="Arial" w:hAnsi="Arial" w:cs="Arial"/>
          <w:lang w:val="es-ES"/>
        </w:rPr>
        <w:t xml:space="preserve">l cumplimiento por ítem </w:t>
      </w:r>
      <w:r w:rsidR="009F6B81" w:rsidRPr="006F33AE">
        <w:rPr>
          <w:rFonts w:ascii="Arial" w:hAnsi="Arial" w:cs="Arial"/>
          <w:lang w:val="es-ES"/>
        </w:rPr>
        <w:t xml:space="preserve">se </w:t>
      </w:r>
      <w:r w:rsidR="00DB7219" w:rsidRPr="006F33AE">
        <w:rPr>
          <w:rFonts w:ascii="Arial" w:hAnsi="Arial" w:cs="Arial"/>
          <w:lang w:val="es-ES"/>
        </w:rPr>
        <w:t>presenta en comparación al reportado por la literatura</w:t>
      </w:r>
      <w:r w:rsidR="009F6B81" w:rsidRPr="006F33AE">
        <w:rPr>
          <w:rFonts w:ascii="Arial" w:hAnsi="Arial" w:cs="Arial"/>
          <w:lang w:val="es-ES"/>
        </w:rPr>
        <w:t xml:space="preserve"> </w:t>
      </w:r>
      <w:r w:rsidR="006F7965" w:rsidRPr="006F33AE">
        <w:rPr>
          <w:rFonts w:ascii="Arial" w:hAnsi="Arial" w:cs="Arial"/>
          <w:lang w:val="es-ES"/>
        </w:rPr>
        <w:t xml:space="preserve">(Ver </w:t>
      </w:r>
      <w:r w:rsidR="006F7965" w:rsidRPr="006F33AE">
        <w:rPr>
          <w:rFonts w:ascii="Arial" w:hAnsi="Arial" w:cs="Arial"/>
          <w:b/>
          <w:lang w:val="es-ES"/>
        </w:rPr>
        <w:t>Figura 1</w:t>
      </w:r>
      <w:r w:rsidR="006F7965" w:rsidRPr="006F33AE">
        <w:rPr>
          <w:rFonts w:ascii="Arial" w:hAnsi="Arial" w:cs="Arial"/>
          <w:lang w:val="es-ES"/>
        </w:rPr>
        <w:t>)</w:t>
      </w:r>
      <w:r w:rsidRPr="006F33AE">
        <w:rPr>
          <w:rFonts w:ascii="Arial" w:hAnsi="Arial" w:cs="Arial"/>
          <w:lang w:val="es-ES"/>
        </w:rPr>
        <w:t>.</w:t>
      </w:r>
    </w:p>
    <w:tbl>
      <w:tblPr>
        <w:tblStyle w:val="Tablanormal51"/>
        <w:tblpPr w:leftFromText="141" w:rightFromText="141" w:vertAnchor="page" w:horzAnchor="margin" w:tblpXSpec="center" w:tblpY="2476"/>
        <w:tblW w:w="8926" w:type="dxa"/>
        <w:tblLook w:val="04A0" w:firstRow="1" w:lastRow="0" w:firstColumn="1" w:lastColumn="0" w:noHBand="0" w:noVBand="1"/>
      </w:tblPr>
      <w:tblGrid>
        <w:gridCol w:w="5428"/>
        <w:gridCol w:w="3498"/>
      </w:tblGrid>
      <w:tr w:rsidR="00DA6CC5" w:rsidRPr="00F91352" w14:paraId="2A2431DC" w14:textId="77777777" w:rsidTr="00CF4276">
        <w:trPr>
          <w:cnfStyle w:val="100000000000" w:firstRow="1" w:lastRow="0" w:firstColumn="0" w:lastColumn="0" w:oddVBand="0" w:evenVBand="0" w:oddHBand="0" w:evenHBand="0" w:firstRowFirstColumn="0" w:firstRowLastColumn="0" w:lastRowFirstColumn="0" w:lastRowLastColumn="0"/>
          <w:trHeight w:val="440"/>
        </w:trPr>
        <w:tc>
          <w:tcPr>
            <w:cnfStyle w:val="001000000100" w:firstRow="0" w:lastRow="0" w:firstColumn="1" w:lastColumn="0" w:oddVBand="0" w:evenVBand="0" w:oddHBand="0" w:evenHBand="0" w:firstRowFirstColumn="1" w:firstRowLastColumn="0" w:lastRowFirstColumn="0" w:lastRowLastColumn="0"/>
            <w:tcW w:w="8926" w:type="dxa"/>
            <w:gridSpan w:val="2"/>
            <w:tcBorders>
              <w:top w:val="single" w:sz="4" w:space="0" w:color="auto"/>
              <w:left w:val="single" w:sz="4" w:space="0" w:color="auto"/>
              <w:right w:val="single" w:sz="4" w:space="0" w:color="auto"/>
            </w:tcBorders>
          </w:tcPr>
          <w:p w14:paraId="55E415C6" w14:textId="77777777" w:rsidR="00DA6CC5" w:rsidRPr="00DA6CC5" w:rsidRDefault="00DA6CC5" w:rsidP="00CF4276">
            <w:pPr>
              <w:jc w:val="left"/>
              <w:rPr>
                <w:rFonts w:ascii="Arial" w:hAnsi="Arial" w:cs="Arial"/>
                <w:b/>
                <w:i w:val="0"/>
                <w:sz w:val="20"/>
                <w:szCs w:val="20"/>
                <w:lang w:val="es-ES"/>
              </w:rPr>
            </w:pPr>
            <w:r w:rsidRPr="00DA6CC5">
              <w:rPr>
                <w:rFonts w:ascii="Arial" w:hAnsi="Arial" w:cs="Arial"/>
                <w:b/>
                <w:i w:val="0"/>
                <w:sz w:val="20"/>
                <w:szCs w:val="20"/>
                <w:lang w:val="es-ES"/>
              </w:rPr>
              <w:lastRenderedPageBreak/>
              <w:t>Tabla 1. Características clínicas y sociodemográficas de los pacientes ingresados a UCI quirúrgica entre los meses de marzo y agosto de 2019 (n = 133)</w:t>
            </w:r>
          </w:p>
        </w:tc>
      </w:tr>
      <w:tr w:rsidR="00DA6CC5" w:rsidRPr="00F91352" w14:paraId="7FA94374" w14:textId="77777777" w:rsidTr="00CF4276">
        <w:trPr>
          <w:cnfStyle w:val="000000100000" w:firstRow="0" w:lastRow="0" w:firstColumn="0" w:lastColumn="0" w:oddVBand="0" w:evenVBand="0" w:oddHBand="1" w:evenHBand="0" w:firstRowFirstColumn="0" w:firstRowLastColumn="0" w:lastRowFirstColumn="0" w:lastRowLastColumn="0"/>
          <w:trHeight w:val="206"/>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49999219" w14:textId="77777777" w:rsidR="00DA6CC5" w:rsidRPr="00DA6CC5" w:rsidRDefault="00DA6CC5" w:rsidP="00CF4276">
            <w:pPr>
              <w:jc w:val="left"/>
              <w:rPr>
                <w:rFonts w:ascii="Arial" w:hAnsi="Arial" w:cs="Arial"/>
                <w:i w:val="0"/>
                <w:sz w:val="20"/>
                <w:szCs w:val="20"/>
                <w:lang w:val="es-ES"/>
              </w:rPr>
            </w:pPr>
            <w:r w:rsidRPr="00DA6CC5">
              <w:rPr>
                <w:rFonts w:ascii="Arial" w:hAnsi="Arial" w:cs="Arial"/>
                <w:i w:val="0"/>
                <w:sz w:val="20"/>
                <w:szCs w:val="20"/>
              </w:rPr>
              <w:t>APACHE II ingreso (n = 78)</w:t>
            </w:r>
          </w:p>
        </w:tc>
        <w:tc>
          <w:tcPr>
            <w:tcW w:w="3498" w:type="dxa"/>
            <w:tcBorders>
              <w:right w:val="single" w:sz="4" w:space="0" w:color="auto"/>
            </w:tcBorders>
          </w:tcPr>
          <w:p w14:paraId="2386A65F"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13 (9 -18)</w:t>
            </w:r>
          </w:p>
        </w:tc>
      </w:tr>
      <w:tr w:rsidR="00DA6CC5" w:rsidRPr="00F91352" w14:paraId="7135D836"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1B8DBB25" w14:textId="77777777" w:rsidR="00DA6CC5" w:rsidRPr="00DA6CC5" w:rsidRDefault="00DA6CC5" w:rsidP="00CF4276">
            <w:pPr>
              <w:jc w:val="left"/>
              <w:rPr>
                <w:rFonts w:ascii="Arial" w:hAnsi="Arial" w:cs="Arial"/>
                <w:i w:val="0"/>
                <w:sz w:val="20"/>
                <w:szCs w:val="20"/>
                <w:lang w:val="es-ES"/>
              </w:rPr>
            </w:pPr>
            <w:r w:rsidRPr="00DA6CC5">
              <w:rPr>
                <w:rFonts w:ascii="Arial" w:hAnsi="Arial" w:cs="Arial"/>
                <w:i w:val="0"/>
                <w:sz w:val="20"/>
                <w:szCs w:val="20"/>
              </w:rPr>
              <w:t>Edad (años)</w:t>
            </w:r>
          </w:p>
        </w:tc>
        <w:tc>
          <w:tcPr>
            <w:tcW w:w="3498" w:type="dxa"/>
            <w:tcBorders>
              <w:right w:val="single" w:sz="4" w:space="0" w:color="auto"/>
            </w:tcBorders>
          </w:tcPr>
          <w:p w14:paraId="2751339D"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 xml:space="preserve">53 (40 - 67) </w:t>
            </w:r>
          </w:p>
        </w:tc>
      </w:tr>
      <w:tr w:rsidR="00DA6CC5" w:rsidRPr="00F91352" w14:paraId="15B72878"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39B48914" w14:textId="77777777" w:rsidR="00DA6CC5" w:rsidRPr="00DA6CC5" w:rsidRDefault="00DA6CC5" w:rsidP="00CF4276">
            <w:pPr>
              <w:jc w:val="left"/>
              <w:rPr>
                <w:rFonts w:ascii="Arial" w:hAnsi="Arial" w:cs="Arial"/>
                <w:i w:val="0"/>
                <w:sz w:val="20"/>
                <w:szCs w:val="20"/>
                <w:lang w:val="es-ES"/>
              </w:rPr>
            </w:pPr>
            <w:r w:rsidRPr="00DA6CC5">
              <w:rPr>
                <w:rFonts w:ascii="Arial" w:hAnsi="Arial" w:cs="Arial"/>
                <w:i w:val="0"/>
                <w:sz w:val="20"/>
                <w:szCs w:val="20"/>
              </w:rPr>
              <w:t xml:space="preserve">Sexo </w:t>
            </w:r>
          </w:p>
        </w:tc>
        <w:tc>
          <w:tcPr>
            <w:tcW w:w="3498" w:type="dxa"/>
            <w:tcBorders>
              <w:right w:val="single" w:sz="4" w:space="0" w:color="auto"/>
            </w:tcBorders>
          </w:tcPr>
          <w:p w14:paraId="5DFB88AC"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r>
      <w:tr w:rsidR="00DA6CC5" w:rsidRPr="00F91352" w14:paraId="088CA436"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2E985258" w14:textId="77777777" w:rsidR="00DA6CC5" w:rsidRPr="00DA6CC5" w:rsidRDefault="00DA6CC5" w:rsidP="00CF4276">
            <w:pPr>
              <w:jc w:val="left"/>
              <w:rPr>
                <w:rFonts w:ascii="Arial" w:hAnsi="Arial" w:cs="Arial"/>
                <w:i w:val="0"/>
                <w:sz w:val="20"/>
                <w:szCs w:val="20"/>
                <w:lang w:val="es-ES"/>
              </w:rPr>
            </w:pPr>
            <w:r w:rsidRPr="00DA6CC5">
              <w:rPr>
                <w:rFonts w:ascii="Arial" w:hAnsi="Arial" w:cs="Arial"/>
                <w:i w:val="0"/>
                <w:sz w:val="20"/>
                <w:szCs w:val="20"/>
              </w:rPr>
              <w:t xml:space="preserve">     Femenino</w:t>
            </w:r>
          </w:p>
        </w:tc>
        <w:tc>
          <w:tcPr>
            <w:tcW w:w="3498" w:type="dxa"/>
            <w:tcBorders>
              <w:right w:val="single" w:sz="4" w:space="0" w:color="auto"/>
            </w:tcBorders>
          </w:tcPr>
          <w:p w14:paraId="249BD023"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57 (42,9 %)</w:t>
            </w:r>
          </w:p>
        </w:tc>
      </w:tr>
      <w:tr w:rsidR="00DA6CC5" w:rsidRPr="00F91352" w14:paraId="3A5B4A9D"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168468C3" w14:textId="77777777" w:rsidR="00DA6CC5" w:rsidRPr="00DA6CC5" w:rsidRDefault="00DA6CC5" w:rsidP="00CF4276">
            <w:pPr>
              <w:jc w:val="left"/>
              <w:rPr>
                <w:rFonts w:ascii="Arial" w:hAnsi="Arial" w:cs="Arial"/>
                <w:i w:val="0"/>
                <w:sz w:val="20"/>
                <w:szCs w:val="20"/>
              </w:rPr>
            </w:pPr>
            <w:r w:rsidRPr="00DA6CC5">
              <w:rPr>
                <w:rFonts w:ascii="Arial" w:hAnsi="Arial" w:cs="Arial"/>
                <w:i w:val="0"/>
                <w:sz w:val="20"/>
                <w:szCs w:val="20"/>
              </w:rPr>
              <w:t xml:space="preserve">     Masculino</w:t>
            </w:r>
          </w:p>
        </w:tc>
        <w:tc>
          <w:tcPr>
            <w:tcW w:w="3498" w:type="dxa"/>
            <w:tcBorders>
              <w:right w:val="single" w:sz="4" w:space="0" w:color="auto"/>
            </w:tcBorders>
          </w:tcPr>
          <w:p w14:paraId="70B3BCB4"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76 (57,1 %)</w:t>
            </w:r>
          </w:p>
        </w:tc>
      </w:tr>
      <w:tr w:rsidR="00DA6CC5" w:rsidRPr="00F91352" w14:paraId="7E2228EF"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5B4A4160" w14:textId="77777777" w:rsidR="00DA6CC5" w:rsidRPr="00DA6CC5" w:rsidRDefault="00DA6CC5" w:rsidP="00CF4276">
            <w:pPr>
              <w:jc w:val="left"/>
              <w:rPr>
                <w:rFonts w:ascii="Arial" w:hAnsi="Arial" w:cs="Arial"/>
                <w:i w:val="0"/>
                <w:sz w:val="20"/>
                <w:szCs w:val="20"/>
              </w:rPr>
            </w:pPr>
            <w:r w:rsidRPr="00DA6CC5">
              <w:rPr>
                <w:rFonts w:ascii="Arial" w:hAnsi="Arial" w:cs="Arial"/>
                <w:i w:val="0"/>
                <w:sz w:val="20"/>
                <w:szCs w:val="20"/>
              </w:rPr>
              <w:t>Índice de masa corporal (n =59)</w:t>
            </w:r>
          </w:p>
        </w:tc>
        <w:tc>
          <w:tcPr>
            <w:tcW w:w="3498" w:type="dxa"/>
            <w:tcBorders>
              <w:right w:val="single" w:sz="4" w:space="0" w:color="auto"/>
            </w:tcBorders>
          </w:tcPr>
          <w:p w14:paraId="4ABADFA2"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28 (25,5 - 38,5)</w:t>
            </w:r>
          </w:p>
        </w:tc>
      </w:tr>
      <w:tr w:rsidR="00DA6CC5" w:rsidRPr="00F91352" w14:paraId="167B2454"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7F8945EB" w14:textId="77777777" w:rsidR="00DA6CC5" w:rsidRPr="00DA6CC5" w:rsidRDefault="00DA6CC5" w:rsidP="00CF4276">
            <w:pPr>
              <w:jc w:val="left"/>
              <w:rPr>
                <w:rFonts w:ascii="Arial" w:hAnsi="Arial" w:cs="Arial"/>
                <w:i w:val="0"/>
                <w:sz w:val="20"/>
                <w:szCs w:val="20"/>
                <w:lang w:val="es-ES"/>
              </w:rPr>
            </w:pPr>
            <w:r w:rsidRPr="00DA6CC5">
              <w:rPr>
                <w:rFonts w:ascii="Arial" w:hAnsi="Arial" w:cs="Arial"/>
                <w:i w:val="0"/>
                <w:sz w:val="20"/>
                <w:szCs w:val="20"/>
              </w:rPr>
              <w:t>Comorbilidades</w:t>
            </w:r>
          </w:p>
        </w:tc>
        <w:tc>
          <w:tcPr>
            <w:tcW w:w="3498" w:type="dxa"/>
            <w:tcBorders>
              <w:right w:val="single" w:sz="4" w:space="0" w:color="auto"/>
            </w:tcBorders>
          </w:tcPr>
          <w:p w14:paraId="504C3431"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r>
      <w:tr w:rsidR="00DA6CC5" w:rsidRPr="00F91352" w14:paraId="7C162F8B"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0D2D6CE8" w14:textId="77777777" w:rsidR="00DA6CC5" w:rsidRPr="00DA6CC5" w:rsidRDefault="00DA6CC5" w:rsidP="00CF4276">
            <w:pPr>
              <w:jc w:val="left"/>
              <w:rPr>
                <w:rFonts w:ascii="Arial" w:hAnsi="Arial" w:cs="Arial"/>
                <w:i w:val="0"/>
                <w:sz w:val="20"/>
                <w:szCs w:val="20"/>
              </w:rPr>
            </w:pPr>
            <w:r w:rsidRPr="00DA6CC5">
              <w:rPr>
                <w:rFonts w:ascii="Arial" w:hAnsi="Arial" w:cs="Arial"/>
                <w:i w:val="0"/>
                <w:sz w:val="20"/>
                <w:szCs w:val="20"/>
              </w:rPr>
              <w:t xml:space="preserve">     0</w:t>
            </w:r>
          </w:p>
        </w:tc>
        <w:tc>
          <w:tcPr>
            <w:tcW w:w="3498" w:type="dxa"/>
            <w:tcBorders>
              <w:right w:val="single" w:sz="4" w:space="0" w:color="auto"/>
            </w:tcBorders>
          </w:tcPr>
          <w:p w14:paraId="22B7B136"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45 (33,8 %)</w:t>
            </w:r>
          </w:p>
        </w:tc>
      </w:tr>
      <w:tr w:rsidR="00DA6CC5" w:rsidRPr="00F91352" w14:paraId="0987637C"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7A2AD9E9" w14:textId="77777777" w:rsidR="00DA6CC5" w:rsidRPr="00DA6CC5" w:rsidRDefault="00DA6CC5" w:rsidP="00CF4276">
            <w:pPr>
              <w:jc w:val="left"/>
              <w:rPr>
                <w:rFonts w:ascii="Arial" w:hAnsi="Arial" w:cs="Arial"/>
                <w:i w:val="0"/>
                <w:sz w:val="20"/>
                <w:szCs w:val="20"/>
              </w:rPr>
            </w:pPr>
            <w:r w:rsidRPr="00DA6CC5">
              <w:rPr>
                <w:rFonts w:ascii="Arial" w:hAnsi="Arial" w:cs="Arial"/>
                <w:i w:val="0"/>
                <w:sz w:val="20"/>
                <w:szCs w:val="20"/>
              </w:rPr>
              <w:t xml:space="preserve">     1</w:t>
            </w:r>
          </w:p>
        </w:tc>
        <w:tc>
          <w:tcPr>
            <w:tcW w:w="3498" w:type="dxa"/>
            <w:tcBorders>
              <w:right w:val="single" w:sz="4" w:space="0" w:color="auto"/>
            </w:tcBorders>
          </w:tcPr>
          <w:p w14:paraId="58F6A792"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31 (23,3 %)</w:t>
            </w:r>
          </w:p>
        </w:tc>
      </w:tr>
      <w:tr w:rsidR="00DA6CC5" w:rsidRPr="00F91352" w14:paraId="6852FA81"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2A003E8D" w14:textId="77777777" w:rsidR="00DA6CC5" w:rsidRPr="00DA6CC5" w:rsidRDefault="00DA6CC5" w:rsidP="00CF4276">
            <w:pPr>
              <w:jc w:val="left"/>
              <w:rPr>
                <w:rFonts w:ascii="Arial" w:hAnsi="Arial" w:cs="Arial"/>
                <w:i w:val="0"/>
                <w:sz w:val="20"/>
                <w:szCs w:val="20"/>
              </w:rPr>
            </w:pPr>
            <w:r w:rsidRPr="00DA6CC5">
              <w:rPr>
                <w:rFonts w:ascii="Arial" w:hAnsi="Arial" w:cs="Arial"/>
                <w:i w:val="0"/>
                <w:sz w:val="20"/>
                <w:szCs w:val="20"/>
              </w:rPr>
              <w:t xml:space="preserve">     2</w:t>
            </w:r>
          </w:p>
        </w:tc>
        <w:tc>
          <w:tcPr>
            <w:tcW w:w="3498" w:type="dxa"/>
            <w:tcBorders>
              <w:right w:val="single" w:sz="4" w:space="0" w:color="auto"/>
            </w:tcBorders>
          </w:tcPr>
          <w:p w14:paraId="666C6B08"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24 (18 %)</w:t>
            </w:r>
          </w:p>
        </w:tc>
      </w:tr>
      <w:tr w:rsidR="00DA6CC5" w:rsidRPr="00F91352" w14:paraId="741FC646"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52611695" w14:textId="77777777" w:rsidR="00DA6CC5" w:rsidRPr="00DA6CC5" w:rsidRDefault="00DA6CC5" w:rsidP="00CF4276">
            <w:pPr>
              <w:jc w:val="left"/>
              <w:rPr>
                <w:rFonts w:ascii="Arial" w:hAnsi="Arial" w:cs="Arial"/>
                <w:i w:val="0"/>
                <w:sz w:val="20"/>
                <w:szCs w:val="20"/>
              </w:rPr>
            </w:pPr>
            <w:r w:rsidRPr="00DA6CC5">
              <w:rPr>
                <w:rFonts w:ascii="Arial" w:hAnsi="Arial" w:cs="Arial"/>
                <w:i w:val="0"/>
                <w:sz w:val="20"/>
                <w:szCs w:val="20"/>
              </w:rPr>
              <w:t xml:space="preserve">     3 o más</w:t>
            </w:r>
          </w:p>
        </w:tc>
        <w:tc>
          <w:tcPr>
            <w:tcW w:w="3498" w:type="dxa"/>
            <w:tcBorders>
              <w:right w:val="single" w:sz="4" w:space="0" w:color="auto"/>
            </w:tcBorders>
          </w:tcPr>
          <w:p w14:paraId="71AC254C"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33 (24,8%)</w:t>
            </w:r>
          </w:p>
        </w:tc>
      </w:tr>
      <w:tr w:rsidR="00DA6CC5" w:rsidRPr="00F91352" w14:paraId="0EF36618"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02065A67" w14:textId="77777777" w:rsidR="00DA6CC5" w:rsidRPr="00DA6CC5" w:rsidRDefault="00DA6CC5" w:rsidP="00CF4276">
            <w:pPr>
              <w:jc w:val="left"/>
              <w:rPr>
                <w:rFonts w:ascii="Arial" w:hAnsi="Arial" w:cs="Arial"/>
                <w:i w:val="0"/>
                <w:iCs w:val="0"/>
                <w:sz w:val="20"/>
                <w:szCs w:val="20"/>
              </w:rPr>
            </w:pPr>
            <w:r w:rsidRPr="00DA6CC5">
              <w:rPr>
                <w:rFonts w:ascii="Arial" w:hAnsi="Arial" w:cs="Arial"/>
                <w:i w:val="0"/>
                <w:sz w:val="20"/>
                <w:szCs w:val="20"/>
              </w:rPr>
              <w:t>Días hospitalizado en UCI</w:t>
            </w:r>
          </w:p>
        </w:tc>
        <w:tc>
          <w:tcPr>
            <w:tcW w:w="3498" w:type="dxa"/>
            <w:tcBorders>
              <w:right w:val="single" w:sz="4" w:space="0" w:color="auto"/>
            </w:tcBorders>
          </w:tcPr>
          <w:p w14:paraId="48C6D558"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5 (3- 9)</w:t>
            </w:r>
          </w:p>
        </w:tc>
      </w:tr>
      <w:tr w:rsidR="00DA6CC5" w:rsidRPr="00F91352" w14:paraId="77A6494D"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2AA05806" w14:textId="77777777" w:rsidR="00DA6CC5" w:rsidRPr="00DA6CC5" w:rsidRDefault="00DA6CC5" w:rsidP="00CF4276">
            <w:pPr>
              <w:ind w:right="-14"/>
              <w:jc w:val="left"/>
              <w:rPr>
                <w:rFonts w:ascii="Arial" w:hAnsi="Arial" w:cs="Arial"/>
                <w:i w:val="0"/>
                <w:sz w:val="20"/>
                <w:szCs w:val="20"/>
                <w:lang w:val="es-ES_tradnl"/>
              </w:rPr>
            </w:pPr>
            <w:r w:rsidRPr="00DA6CC5">
              <w:rPr>
                <w:rFonts w:ascii="Arial" w:hAnsi="Arial" w:cs="Arial"/>
                <w:i w:val="0"/>
                <w:sz w:val="20"/>
                <w:szCs w:val="20"/>
              </w:rPr>
              <w:t>Días con VMI (n= 58)</w:t>
            </w:r>
          </w:p>
        </w:tc>
        <w:tc>
          <w:tcPr>
            <w:tcW w:w="3498" w:type="dxa"/>
            <w:tcBorders>
              <w:right w:val="single" w:sz="4" w:space="0" w:color="auto"/>
            </w:tcBorders>
          </w:tcPr>
          <w:p w14:paraId="645DA596"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10 (5-21)</w:t>
            </w:r>
          </w:p>
        </w:tc>
      </w:tr>
      <w:tr w:rsidR="00DA6CC5" w:rsidRPr="00F91352" w14:paraId="627578E0"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4156F8B2"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Días con sedación (n=80)</w:t>
            </w:r>
          </w:p>
        </w:tc>
        <w:tc>
          <w:tcPr>
            <w:tcW w:w="3498" w:type="dxa"/>
            <w:tcBorders>
              <w:right w:val="single" w:sz="4" w:space="0" w:color="auto"/>
            </w:tcBorders>
          </w:tcPr>
          <w:p w14:paraId="408FA9E4"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lang w:val="es-ES"/>
              </w:rPr>
            </w:pPr>
            <w:r w:rsidRPr="00DA6CC5">
              <w:rPr>
                <w:rFonts w:ascii="Arial" w:hAnsi="Arial" w:cs="Arial"/>
                <w:sz w:val="20"/>
                <w:szCs w:val="20"/>
                <w:lang w:val="es-ES"/>
              </w:rPr>
              <w:t>4 (2- 11)</w:t>
            </w:r>
          </w:p>
        </w:tc>
      </w:tr>
      <w:tr w:rsidR="00DA6CC5" w:rsidRPr="00F91352" w14:paraId="367A7D1A"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4FAB1C8A"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Tipo de sedación </w:t>
            </w:r>
          </w:p>
        </w:tc>
        <w:tc>
          <w:tcPr>
            <w:tcW w:w="3498" w:type="dxa"/>
            <w:tcBorders>
              <w:right w:val="single" w:sz="4" w:space="0" w:color="auto"/>
            </w:tcBorders>
          </w:tcPr>
          <w:p w14:paraId="7272BAF0"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DA6CC5" w:rsidRPr="00F91352" w14:paraId="60B71330"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141E284A"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Opioides</w:t>
            </w:r>
          </w:p>
        </w:tc>
        <w:tc>
          <w:tcPr>
            <w:tcW w:w="3498" w:type="dxa"/>
            <w:tcBorders>
              <w:right w:val="single" w:sz="4" w:space="0" w:color="auto"/>
            </w:tcBorders>
          </w:tcPr>
          <w:p w14:paraId="63FC4A31"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61 (76,25%)</w:t>
            </w:r>
          </w:p>
        </w:tc>
      </w:tr>
      <w:tr w:rsidR="00DA6CC5" w:rsidRPr="00F91352" w14:paraId="0D7ADC97"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6A680D06"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Benzodiazepinas</w:t>
            </w:r>
          </w:p>
        </w:tc>
        <w:tc>
          <w:tcPr>
            <w:tcW w:w="3498" w:type="dxa"/>
            <w:tcBorders>
              <w:right w:val="single" w:sz="4" w:space="0" w:color="auto"/>
            </w:tcBorders>
          </w:tcPr>
          <w:p w14:paraId="34C8914C"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59 (73,75 %)</w:t>
            </w:r>
          </w:p>
        </w:tc>
      </w:tr>
      <w:tr w:rsidR="00DA6CC5" w:rsidRPr="00F91352" w14:paraId="5F60B255" w14:textId="77777777" w:rsidTr="00CF4276">
        <w:trPr>
          <w:trHeight w:val="206"/>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3D6D4760"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Dexmedetomidina</w:t>
            </w:r>
          </w:p>
        </w:tc>
        <w:tc>
          <w:tcPr>
            <w:tcW w:w="3498" w:type="dxa"/>
            <w:tcBorders>
              <w:right w:val="single" w:sz="4" w:space="0" w:color="auto"/>
            </w:tcBorders>
          </w:tcPr>
          <w:p w14:paraId="24580265"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52 (65%)</w:t>
            </w:r>
          </w:p>
        </w:tc>
      </w:tr>
      <w:tr w:rsidR="00DA6CC5" w:rsidRPr="00F91352" w14:paraId="5B1180E6"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1BA65853"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Propofol</w:t>
            </w:r>
          </w:p>
        </w:tc>
        <w:tc>
          <w:tcPr>
            <w:tcW w:w="3498" w:type="dxa"/>
            <w:tcBorders>
              <w:right w:val="single" w:sz="4" w:space="0" w:color="auto"/>
            </w:tcBorders>
          </w:tcPr>
          <w:p w14:paraId="57971BC7"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47 (58,75%)</w:t>
            </w:r>
          </w:p>
        </w:tc>
      </w:tr>
      <w:tr w:rsidR="00DA6CC5" w:rsidRPr="00F91352" w14:paraId="58B152E0"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498AEF11"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Antipsicóticos</w:t>
            </w:r>
          </w:p>
        </w:tc>
        <w:tc>
          <w:tcPr>
            <w:tcW w:w="3498" w:type="dxa"/>
            <w:tcBorders>
              <w:right w:val="single" w:sz="4" w:space="0" w:color="auto"/>
            </w:tcBorders>
          </w:tcPr>
          <w:p w14:paraId="72022E26"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25 (31,25%)</w:t>
            </w:r>
          </w:p>
        </w:tc>
      </w:tr>
      <w:tr w:rsidR="00DA6CC5" w:rsidRPr="00F91352" w14:paraId="48C1E459"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25C54AF2"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Bloqueo neuromuscular</w:t>
            </w:r>
          </w:p>
        </w:tc>
        <w:tc>
          <w:tcPr>
            <w:tcW w:w="3498" w:type="dxa"/>
            <w:tcBorders>
              <w:right w:val="single" w:sz="4" w:space="0" w:color="auto"/>
            </w:tcBorders>
          </w:tcPr>
          <w:p w14:paraId="1CD8EB26"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24 (30%)</w:t>
            </w:r>
          </w:p>
        </w:tc>
      </w:tr>
      <w:tr w:rsidR="00DA6CC5" w:rsidRPr="00F91352" w14:paraId="4E3C67CA"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5162187A"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Ketamina</w:t>
            </w:r>
          </w:p>
        </w:tc>
        <w:tc>
          <w:tcPr>
            <w:tcW w:w="3498" w:type="dxa"/>
            <w:tcBorders>
              <w:right w:val="single" w:sz="4" w:space="0" w:color="auto"/>
            </w:tcBorders>
          </w:tcPr>
          <w:p w14:paraId="3B51DA9C"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23 (28,75%)</w:t>
            </w:r>
          </w:p>
        </w:tc>
      </w:tr>
      <w:tr w:rsidR="00DA6CC5" w:rsidRPr="00F91352" w14:paraId="5652F589"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7E669768" w14:textId="77777777" w:rsidR="00DA6CC5" w:rsidRPr="00DA6CC5" w:rsidRDefault="00DA6CC5" w:rsidP="00CF4276">
            <w:pPr>
              <w:jc w:val="left"/>
              <w:rPr>
                <w:rFonts w:ascii="Arial" w:hAnsi="Arial" w:cs="Arial"/>
                <w:i w:val="0"/>
                <w:sz w:val="20"/>
                <w:szCs w:val="20"/>
              </w:rPr>
            </w:pPr>
            <w:r w:rsidRPr="00DA6CC5">
              <w:rPr>
                <w:rFonts w:ascii="Arial" w:hAnsi="Arial" w:cs="Arial"/>
                <w:i w:val="0"/>
                <w:sz w:val="20"/>
                <w:szCs w:val="20"/>
              </w:rPr>
              <w:t xml:space="preserve">Unidad de Procedencia </w:t>
            </w:r>
          </w:p>
        </w:tc>
        <w:tc>
          <w:tcPr>
            <w:tcW w:w="3498" w:type="dxa"/>
            <w:tcBorders>
              <w:right w:val="single" w:sz="4" w:space="0" w:color="auto"/>
            </w:tcBorders>
          </w:tcPr>
          <w:p w14:paraId="40CB679E"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r>
      <w:tr w:rsidR="00DA6CC5" w:rsidRPr="00F91352" w14:paraId="687067B6"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47A25A24" w14:textId="77777777" w:rsidR="00DA6CC5" w:rsidRPr="00DA6CC5" w:rsidRDefault="00DA6CC5" w:rsidP="00CF4276">
            <w:pPr>
              <w:jc w:val="left"/>
              <w:rPr>
                <w:rFonts w:ascii="Arial" w:hAnsi="Arial" w:cs="Arial"/>
                <w:i w:val="0"/>
                <w:sz w:val="20"/>
                <w:szCs w:val="20"/>
              </w:rPr>
            </w:pPr>
            <w:r w:rsidRPr="00DA6CC5">
              <w:rPr>
                <w:rFonts w:ascii="Arial" w:hAnsi="Arial" w:cs="Arial"/>
                <w:i w:val="0"/>
                <w:sz w:val="20"/>
                <w:szCs w:val="20"/>
              </w:rPr>
              <w:t xml:space="preserve">     Servicio de urgencia</w:t>
            </w:r>
          </w:p>
        </w:tc>
        <w:tc>
          <w:tcPr>
            <w:tcW w:w="3498" w:type="dxa"/>
            <w:tcBorders>
              <w:right w:val="single" w:sz="4" w:space="0" w:color="auto"/>
            </w:tcBorders>
          </w:tcPr>
          <w:p w14:paraId="3A68FAF5"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51 (38,3 %)</w:t>
            </w:r>
          </w:p>
        </w:tc>
      </w:tr>
      <w:tr w:rsidR="00DA6CC5" w:rsidRPr="00F91352" w14:paraId="1C004700"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3B47A1BC" w14:textId="77777777" w:rsidR="00DA6CC5" w:rsidRPr="00DA6CC5" w:rsidRDefault="00DA6CC5" w:rsidP="00CF4276">
            <w:pPr>
              <w:jc w:val="left"/>
              <w:rPr>
                <w:rFonts w:ascii="Arial" w:hAnsi="Arial" w:cs="Arial"/>
                <w:i w:val="0"/>
                <w:sz w:val="20"/>
                <w:szCs w:val="20"/>
              </w:rPr>
            </w:pPr>
            <w:r w:rsidRPr="00DA6CC5">
              <w:rPr>
                <w:rFonts w:ascii="Arial" w:hAnsi="Arial" w:cs="Arial"/>
                <w:i w:val="0"/>
                <w:sz w:val="20"/>
                <w:szCs w:val="20"/>
              </w:rPr>
              <w:t xml:space="preserve">     Traslado de otro centro asistencial</w:t>
            </w:r>
          </w:p>
        </w:tc>
        <w:tc>
          <w:tcPr>
            <w:tcW w:w="3498" w:type="dxa"/>
            <w:tcBorders>
              <w:right w:val="single" w:sz="4" w:space="0" w:color="auto"/>
            </w:tcBorders>
          </w:tcPr>
          <w:p w14:paraId="4614835C"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48 (36 %)</w:t>
            </w:r>
          </w:p>
        </w:tc>
      </w:tr>
      <w:tr w:rsidR="00DA6CC5" w:rsidRPr="00F91352" w14:paraId="6998F960"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51B09807" w14:textId="77777777" w:rsidR="00DA6CC5" w:rsidRPr="00DA6CC5" w:rsidRDefault="00DA6CC5" w:rsidP="00CF4276">
            <w:pPr>
              <w:jc w:val="left"/>
              <w:rPr>
                <w:rFonts w:ascii="Arial" w:hAnsi="Arial" w:cs="Arial"/>
                <w:i w:val="0"/>
                <w:sz w:val="20"/>
                <w:szCs w:val="20"/>
              </w:rPr>
            </w:pPr>
            <w:r w:rsidRPr="00DA6CC5">
              <w:rPr>
                <w:rFonts w:ascii="Arial" w:hAnsi="Arial" w:cs="Arial"/>
                <w:i w:val="0"/>
                <w:sz w:val="20"/>
                <w:szCs w:val="20"/>
              </w:rPr>
              <w:t xml:space="preserve">     Unidad de Cuidados Intermedio</w:t>
            </w:r>
          </w:p>
        </w:tc>
        <w:tc>
          <w:tcPr>
            <w:tcW w:w="3498" w:type="dxa"/>
            <w:tcBorders>
              <w:right w:val="single" w:sz="4" w:space="0" w:color="auto"/>
            </w:tcBorders>
          </w:tcPr>
          <w:p w14:paraId="7EC513E3"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25 (18,8 %)</w:t>
            </w:r>
          </w:p>
        </w:tc>
      </w:tr>
      <w:tr w:rsidR="00DA6CC5" w:rsidRPr="00F91352" w14:paraId="585296D4"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2CA3D947" w14:textId="77777777" w:rsidR="00DA6CC5" w:rsidRPr="00DA6CC5" w:rsidRDefault="00DA6CC5" w:rsidP="00CF4276">
            <w:pPr>
              <w:jc w:val="left"/>
              <w:rPr>
                <w:rFonts w:ascii="Arial" w:hAnsi="Arial" w:cs="Arial"/>
                <w:i w:val="0"/>
                <w:sz w:val="20"/>
                <w:szCs w:val="20"/>
              </w:rPr>
            </w:pPr>
            <w:r w:rsidRPr="00DA6CC5">
              <w:rPr>
                <w:rFonts w:ascii="Arial" w:hAnsi="Arial" w:cs="Arial"/>
                <w:i w:val="0"/>
                <w:sz w:val="20"/>
                <w:szCs w:val="20"/>
              </w:rPr>
              <w:t xml:space="preserve">     Pabellón</w:t>
            </w:r>
          </w:p>
        </w:tc>
        <w:tc>
          <w:tcPr>
            <w:tcW w:w="3498" w:type="dxa"/>
            <w:tcBorders>
              <w:right w:val="single" w:sz="4" w:space="0" w:color="auto"/>
            </w:tcBorders>
          </w:tcPr>
          <w:p w14:paraId="24D346DF"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7 (5,3%)</w:t>
            </w:r>
          </w:p>
        </w:tc>
      </w:tr>
      <w:tr w:rsidR="00DA6CC5" w:rsidRPr="00F91352" w14:paraId="7BB5DE18"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7371173B" w14:textId="77777777" w:rsidR="00DA6CC5" w:rsidRPr="00DA6CC5" w:rsidRDefault="00DA6CC5" w:rsidP="00CF4276">
            <w:pPr>
              <w:jc w:val="left"/>
              <w:rPr>
                <w:rFonts w:ascii="Arial" w:hAnsi="Arial" w:cs="Arial"/>
                <w:i w:val="0"/>
                <w:sz w:val="20"/>
                <w:szCs w:val="20"/>
              </w:rPr>
            </w:pPr>
            <w:r w:rsidRPr="00DA6CC5">
              <w:rPr>
                <w:rFonts w:ascii="Arial" w:hAnsi="Arial" w:cs="Arial"/>
                <w:i w:val="0"/>
                <w:sz w:val="20"/>
                <w:szCs w:val="20"/>
              </w:rPr>
              <w:t xml:space="preserve">     Médico-Quirúrgico  </w:t>
            </w:r>
          </w:p>
        </w:tc>
        <w:tc>
          <w:tcPr>
            <w:tcW w:w="3498" w:type="dxa"/>
            <w:tcBorders>
              <w:right w:val="single" w:sz="4" w:space="0" w:color="auto"/>
            </w:tcBorders>
          </w:tcPr>
          <w:p w14:paraId="549538EE"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1 (0,75 %)</w:t>
            </w:r>
          </w:p>
        </w:tc>
      </w:tr>
      <w:tr w:rsidR="00DA6CC5" w:rsidRPr="00F91352" w14:paraId="537AF5B6"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0B16448B" w14:textId="77777777" w:rsidR="00DA6CC5" w:rsidRPr="00DA6CC5" w:rsidRDefault="00DA6CC5" w:rsidP="00CF4276">
            <w:pPr>
              <w:jc w:val="left"/>
              <w:rPr>
                <w:rFonts w:ascii="Arial" w:hAnsi="Arial" w:cs="Arial"/>
                <w:i w:val="0"/>
                <w:sz w:val="20"/>
                <w:szCs w:val="20"/>
              </w:rPr>
            </w:pPr>
            <w:r w:rsidRPr="00DA6CC5">
              <w:rPr>
                <w:rFonts w:ascii="Arial" w:hAnsi="Arial" w:cs="Arial"/>
                <w:i w:val="0"/>
                <w:sz w:val="20"/>
                <w:szCs w:val="20"/>
              </w:rPr>
              <w:t xml:space="preserve">     UCI Respiratoria</w:t>
            </w:r>
          </w:p>
        </w:tc>
        <w:tc>
          <w:tcPr>
            <w:tcW w:w="3498" w:type="dxa"/>
            <w:tcBorders>
              <w:right w:val="single" w:sz="4" w:space="0" w:color="auto"/>
            </w:tcBorders>
          </w:tcPr>
          <w:p w14:paraId="70504BDB"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1 (0,75 %)</w:t>
            </w:r>
          </w:p>
        </w:tc>
      </w:tr>
      <w:tr w:rsidR="00DA6CC5" w:rsidRPr="00F91352" w14:paraId="4755A1FE"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2F312959"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Tipo de Patología</w:t>
            </w:r>
          </w:p>
        </w:tc>
        <w:tc>
          <w:tcPr>
            <w:tcW w:w="3498" w:type="dxa"/>
            <w:tcBorders>
              <w:right w:val="single" w:sz="4" w:space="0" w:color="auto"/>
            </w:tcBorders>
          </w:tcPr>
          <w:p w14:paraId="0C0C1A32"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p>
        </w:tc>
      </w:tr>
      <w:tr w:rsidR="00DA6CC5" w:rsidRPr="00F91352" w14:paraId="6A4EA957"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3B345F19"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Cardiaca</w:t>
            </w:r>
          </w:p>
        </w:tc>
        <w:tc>
          <w:tcPr>
            <w:tcW w:w="3498" w:type="dxa"/>
            <w:tcBorders>
              <w:right w:val="single" w:sz="4" w:space="0" w:color="auto"/>
            </w:tcBorders>
          </w:tcPr>
          <w:p w14:paraId="6331030B"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23 (17,3 %)</w:t>
            </w:r>
          </w:p>
        </w:tc>
      </w:tr>
      <w:tr w:rsidR="00DA6CC5" w:rsidRPr="00F91352" w14:paraId="5890BFDD"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66C36178"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Respiratoria</w:t>
            </w:r>
          </w:p>
        </w:tc>
        <w:tc>
          <w:tcPr>
            <w:tcW w:w="3498" w:type="dxa"/>
            <w:tcBorders>
              <w:right w:val="single" w:sz="4" w:space="0" w:color="auto"/>
            </w:tcBorders>
          </w:tcPr>
          <w:p w14:paraId="707F23E3"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22 (16,5 %)</w:t>
            </w:r>
          </w:p>
        </w:tc>
      </w:tr>
      <w:tr w:rsidR="00DA6CC5" w:rsidRPr="00F91352" w14:paraId="7C87732F"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441D59A0"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Neurológica</w:t>
            </w:r>
          </w:p>
        </w:tc>
        <w:tc>
          <w:tcPr>
            <w:tcW w:w="3498" w:type="dxa"/>
            <w:tcBorders>
              <w:right w:val="single" w:sz="4" w:space="0" w:color="auto"/>
            </w:tcBorders>
          </w:tcPr>
          <w:p w14:paraId="35042EE2"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21 (15,8 %)</w:t>
            </w:r>
          </w:p>
        </w:tc>
      </w:tr>
      <w:tr w:rsidR="00DA6CC5" w:rsidRPr="00F91352" w14:paraId="63379793"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735ABF2B"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Sepsis</w:t>
            </w:r>
          </w:p>
        </w:tc>
        <w:tc>
          <w:tcPr>
            <w:tcW w:w="3498" w:type="dxa"/>
            <w:tcBorders>
              <w:right w:val="single" w:sz="4" w:space="0" w:color="auto"/>
            </w:tcBorders>
          </w:tcPr>
          <w:p w14:paraId="7B64C071"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19 (14,3 %)</w:t>
            </w:r>
          </w:p>
        </w:tc>
      </w:tr>
      <w:tr w:rsidR="00DA6CC5" w:rsidRPr="00F91352" w14:paraId="21D4D9B0"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66BECB3A"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Gastrointestinal</w:t>
            </w:r>
          </w:p>
        </w:tc>
        <w:tc>
          <w:tcPr>
            <w:tcW w:w="3498" w:type="dxa"/>
            <w:tcBorders>
              <w:right w:val="single" w:sz="4" w:space="0" w:color="auto"/>
            </w:tcBorders>
          </w:tcPr>
          <w:p w14:paraId="40874E55"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13 (9,8 %)</w:t>
            </w:r>
          </w:p>
        </w:tc>
      </w:tr>
      <w:tr w:rsidR="00DA6CC5" w:rsidRPr="00F91352" w14:paraId="4E3607C4"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7DB0015C"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Politrauma</w:t>
            </w:r>
          </w:p>
        </w:tc>
        <w:tc>
          <w:tcPr>
            <w:tcW w:w="3498" w:type="dxa"/>
            <w:tcBorders>
              <w:right w:val="single" w:sz="4" w:space="0" w:color="auto"/>
            </w:tcBorders>
          </w:tcPr>
          <w:p w14:paraId="6431311D"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10 (7,5 %)</w:t>
            </w:r>
          </w:p>
        </w:tc>
      </w:tr>
      <w:tr w:rsidR="00DA6CC5" w:rsidRPr="00F91352" w14:paraId="7A414F2F"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09D4C911"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Intento de autolisis</w:t>
            </w:r>
          </w:p>
        </w:tc>
        <w:tc>
          <w:tcPr>
            <w:tcW w:w="3498" w:type="dxa"/>
            <w:tcBorders>
              <w:right w:val="single" w:sz="4" w:space="0" w:color="auto"/>
            </w:tcBorders>
          </w:tcPr>
          <w:p w14:paraId="43324301"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8 (6 %)</w:t>
            </w:r>
          </w:p>
        </w:tc>
      </w:tr>
      <w:tr w:rsidR="00DA6CC5" w:rsidRPr="00F91352" w14:paraId="348DE9CB"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3687A567"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Cetoacidosis diabética</w:t>
            </w:r>
          </w:p>
        </w:tc>
        <w:tc>
          <w:tcPr>
            <w:tcW w:w="3498" w:type="dxa"/>
            <w:tcBorders>
              <w:right w:val="single" w:sz="4" w:space="0" w:color="auto"/>
            </w:tcBorders>
          </w:tcPr>
          <w:p w14:paraId="0CE1267B"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4 (3 %)</w:t>
            </w:r>
          </w:p>
        </w:tc>
      </w:tr>
      <w:tr w:rsidR="00DA6CC5" w:rsidRPr="00F91352" w14:paraId="0607532B"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434ED18F"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Shock hemorrágico</w:t>
            </w:r>
          </w:p>
        </w:tc>
        <w:tc>
          <w:tcPr>
            <w:tcW w:w="3498" w:type="dxa"/>
            <w:tcBorders>
              <w:right w:val="single" w:sz="4" w:space="0" w:color="auto"/>
            </w:tcBorders>
          </w:tcPr>
          <w:p w14:paraId="41CA395C"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3 (2,2 %)</w:t>
            </w:r>
          </w:p>
        </w:tc>
      </w:tr>
      <w:tr w:rsidR="00DA6CC5" w:rsidRPr="00F91352" w14:paraId="3439FF1F" w14:textId="77777777" w:rsidTr="00CF4276">
        <w:trPr>
          <w:trHeight w:val="206"/>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620E5CCE"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Crisis hipertensiva</w:t>
            </w:r>
          </w:p>
        </w:tc>
        <w:tc>
          <w:tcPr>
            <w:tcW w:w="3498" w:type="dxa"/>
            <w:tcBorders>
              <w:right w:val="single" w:sz="4" w:space="0" w:color="auto"/>
            </w:tcBorders>
          </w:tcPr>
          <w:p w14:paraId="5C0B2FEA"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2 (1,5 %)</w:t>
            </w:r>
          </w:p>
        </w:tc>
      </w:tr>
      <w:tr w:rsidR="00DA6CC5" w:rsidRPr="00F91352" w14:paraId="478D0C49"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2FFD1D4E"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Herida penetrante</w:t>
            </w:r>
          </w:p>
        </w:tc>
        <w:tc>
          <w:tcPr>
            <w:tcW w:w="3498" w:type="dxa"/>
            <w:tcBorders>
              <w:right w:val="single" w:sz="4" w:space="0" w:color="auto"/>
            </w:tcBorders>
          </w:tcPr>
          <w:p w14:paraId="1C5A1966"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2 (1,5 %)</w:t>
            </w:r>
          </w:p>
        </w:tc>
      </w:tr>
      <w:tr w:rsidR="00DA6CC5" w:rsidRPr="00F91352" w14:paraId="5DDAE510"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091D2922"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Patología vascular periférica</w:t>
            </w:r>
          </w:p>
        </w:tc>
        <w:tc>
          <w:tcPr>
            <w:tcW w:w="3498" w:type="dxa"/>
            <w:tcBorders>
              <w:right w:val="single" w:sz="4" w:space="0" w:color="auto"/>
            </w:tcBorders>
          </w:tcPr>
          <w:p w14:paraId="3EBFC44F"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2 (1,5 %)</w:t>
            </w:r>
          </w:p>
        </w:tc>
      </w:tr>
      <w:tr w:rsidR="00DA6CC5" w:rsidRPr="00F91352" w14:paraId="1AD3B3B8"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319272E7"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Patología hematológica</w:t>
            </w:r>
          </w:p>
        </w:tc>
        <w:tc>
          <w:tcPr>
            <w:tcW w:w="3498" w:type="dxa"/>
            <w:tcBorders>
              <w:right w:val="single" w:sz="4" w:space="0" w:color="auto"/>
            </w:tcBorders>
          </w:tcPr>
          <w:p w14:paraId="5A4EC475"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2 (1,5 %)</w:t>
            </w:r>
          </w:p>
        </w:tc>
      </w:tr>
      <w:tr w:rsidR="00DA6CC5" w:rsidRPr="00F91352" w14:paraId="4126BACE"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46A24CF2"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Shock anafiláctico</w:t>
            </w:r>
          </w:p>
        </w:tc>
        <w:tc>
          <w:tcPr>
            <w:tcW w:w="3498" w:type="dxa"/>
            <w:tcBorders>
              <w:right w:val="single" w:sz="4" w:space="0" w:color="auto"/>
            </w:tcBorders>
          </w:tcPr>
          <w:p w14:paraId="5B6EB51B"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1 (0,75 %)</w:t>
            </w:r>
          </w:p>
        </w:tc>
      </w:tr>
      <w:tr w:rsidR="00DA6CC5" w:rsidRPr="00F91352" w14:paraId="68227362"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05D93D31"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Urgencia dialítica</w:t>
            </w:r>
          </w:p>
        </w:tc>
        <w:tc>
          <w:tcPr>
            <w:tcW w:w="3498" w:type="dxa"/>
            <w:tcBorders>
              <w:right w:val="single" w:sz="4" w:space="0" w:color="auto"/>
            </w:tcBorders>
          </w:tcPr>
          <w:p w14:paraId="7A0D37CC"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1 (0,75 %)</w:t>
            </w:r>
          </w:p>
        </w:tc>
      </w:tr>
      <w:tr w:rsidR="00DA6CC5" w:rsidRPr="00F91352" w14:paraId="0F5281E6"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0CB1748F"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Destino de egreso de la UCI</w:t>
            </w:r>
          </w:p>
        </w:tc>
        <w:tc>
          <w:tcPr>
            <w:tcW w:w="3498" w:type="dxa"/>
            <w:tcBorders>
              <w:right w:val="single" w:sz="4" w:space="0" w:color="auto"/>
            </w:tcBorders>
          </w:tcPr>
          <w:p w14:paraId="0ED15264"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p>
        </w:tc>
      </w:tr>
      <w:tr w:rsidR="00DA6CC5" w:rsidRPr="00F91352" w14:paraId="02EE629A"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6B4E178A"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Traslado a UTI</w:t>
            </w:r>
          </w:p>
        </w:tc>
        <w:tc>
          <w:tcPr>
            <w:tcW w:w="3498" w:type="dxa"/>
            <w:tcBorders>
              <w:right w:val="single" w:sz="4" w:space="0" w:color="auto"/>
            </w:tcBorders>
          </w:tcPr>
          <w:p w14:paraId="2DE9F1CF"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94 (70,7%)</w:t>
            </w:r>
          </w:p>
        </w:tc>
      </w:tr>
      <w:tr w:rsidR="00DA6CC5" w:rsidRPr="00F91352" w14:paraId="0DEBC541"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0E495D9A"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Alta hospitalaria desde la UCI</w:t>
            </w:r>
          </w:p>
        </w:tc>
        <w:tc>
          <w:tcPr>
            <w:tcW w:w="3498" w:type="dxa"/>
            <w:tcBorders>
              <w:right w:val="single" w:sz="4" w:space="0" w:color="auto"/>
            </w:tcBorders>
          </w:tcPr>
          <w:p w14:paraId="2F98A481"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16 (12%)</w:t>
            </w:r>
          </w:p>
        </w:tc>
      </w:tr>
      <w:tr w:rsidR="00DA6CC5" w:rsidRPr="00F91352" w14:paraId="26635003"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28FB00AB"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Muerte en la UCI </w:t>
            </w:r>
          </w:p>
        </w:tc>
        <w:tc>
          <w:tcPr>
            <w:tcW w:w="3498" w:type="dxa"/>
            <w:tcBorders>
              <w:right w:val="single" w:sz="4" w:space="0" w:color="auto"/>
            </w:tcBorders>
          </w:tcPr>
          <w:p w14:paraId="4055607C"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8 (6%)</w:t>
            </w:r>
          </w:p>
        </w:tc>
      </w:tr>
      <w:tr w:rsidR="00DA6CC5" w:rsidRPr="00F91352" w14:paraId="0650D114"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4B014A32"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lastRenderedPageBreak/>
              <w:t xml:space="preserve">     Traslado a médico-quirúrgico</w:t>
            </w:r>
          </w:p>
        </w:tc>
        <w:tc>
          <w:tcPr>
            <w:tcW w:w="3498" w:type="dxa"/>
            <w:tcBorders>
              <w:right w:val="single" w:sz="4" w:space="0" w:color="auto"/>
            </w:tcBorders>
          </w:tcPr>
          <w:p w14:paraId="0B884878"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8 (6%)</w:t>
            </w:r>
          </w:p>
        </w:tc>
      </w:tr>
      <w:tr w:rsidR="00DA6CC5" w:rsidRPr="00F91352" w14:paraId="31C46EBB" w14:textId="77777777" w:rsidTr="00CF4276">
        <w:trPr>
          <w:cnfStyle w:val="000000100000" w:firstRow="0" w:lastRow="0" w:firstColumn="0" w:lastColumn="0" w:oddVBand="0" w:evenVBand="0" w:oddHBand="1"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tcBorders>
          </w:tcPr>
          <w:p w14:paraId="6571A98E"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Traslado a otro centro asistencial</w:t>
            </w:r>
          </w:p>
        </w:tc>
        <w:tc>
          <w:tcPr>
            <w:tcW w:w="3498" w:type="dxa"/>
            <w:tcBorders>
              <w:right w:val="single" w:sz="4" w:space="0" w:color="auto"/>
            </w:tcBorders>
          </w:tcPr>
          <w:p w14:paraId="54829CC1" w14:textId="77777777" w:rsidR="00DA6CC5" w:rsidRPr="00DA6CC5" w:rsidRDefault="00DA6CC5"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6 (4,5 %)</w:t>
            </w:r>
          </w:p>
        </w:tc>
      </w:tr>
      <w:tr w:rsidR="00DA6CC5" w:rsidRPr="00F91352" w14:paraId="16549CA6" w14:textId="77777777" w:rsidTr="00CF4276">
        <w:trPr>
          <w:trHeight w:val="219"/>
        </w:trPr>
        <w:tc>
          <w:tcPr>
            <w:cnfStyle w:val="001000000000" w:firstRow="0" w:lastRow="0" w:firstColumn="1" w:lastColumn="0" w:oddVBand="0" w:evenVBand="0" w:oddHBand="0" w:evenHBand="0" w:firstRowFirstColumn="0" w:firstRowLastColumn="0" w:lastRowFirstColumn="0" w:lastRowLastColumn="0"/>
            <w:tcW w:w="5428" w:type="dxa"/>
            <w:tcBorders>
              <w:left w:val="single" w:sz="4" w:space="0" w:color="auto"/>
              <w:bottom w:val="single" w:sz="4" w:space="0" w:color="auto"/>
            </w:tcBorders>
          </w:tcPr>
          <w:p w14:paraId="57D8D4DF" w14:textId="77777777" w:rsidR="00DA6CC5" w:rsidRPr="00DA6CC5" w:rsidRDefault="00DA6CC5" w:rsidP="00CF4276">
            <w:pPr>
              <w:ind w:right="-14"/>
              <w:jc w:val="left"/>
              <w:rPr>
                <w:rFonts w:ascii="Arial" w:hAnsi="Arial" w:cs="Arial"/>
                <w:i w:val="0"/>
                <w:sz w:val="20"/>
                <w:szCs w:val="20"/>
              </w:rPr>
            </w:pPr>
            <w:r w:rsidRPr="00DA6CC5">
              <w:rPr>
                <w:rFonts w:ascii="Arial" w:hAnsi="Arial" w:cs="Arial"/>
                <w:i w:val="0"/>
                <w:sz w:val="20"/>
                <w:szCs w:val="20"/>
              </w:rPr>
              <w:t xml:space="preserve">     Traslado a unidad de maternidad</w:t>
            </w:r>
          </w:p>
        </w:tc>
        <w:tc>
          <w:tcPr>
            <w:tcW w:w="3498" w:type="dxa"/>
            <w:tcBorders>
              <w:bottom w:val="single" w:sz="4" w:space="0" w:color="auto"/>
              <w:right w:val="single" w:sz="4" w:space="0" w:color="auto"/>
            </w:tcBorders>
          </w:tcPr>
          <w:p w14:paraId="346B6028" w14:textId="77777777" w:rsidR="00DA6CC5" w:rsidRPr="00DA6CC5" w:rsidRDefault="00DA6CC5"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DA6CC5">
              <w:rPr>
                <w:rFonts w:ascii="Arial" w:hAnsi="Arial" w:cs="Arial"/>
                <w:sz w:val="20"/>
                <w:szCs w:val="20"/>
                <w:lang w:val="es-ES"/>
              </w:rPr>
              <w:t>1 (0,75%)</w:t>
            </w:r>
          </w:p>
        </w:tc>
      </w:tr>
      <w:tr w:rsidR="00DA6CC5" w:rsidRPr="00F91352" w14:paraId="0CFB7551" w14:textId="77777777" w:rsidTr="00CF4276">
        <w:trPr>
          <w:cnfStyle w:val="000000100000" w:firstRow="0" w:lastRow="0" w:firstColumn="0" w:lastColumn="0" w:oddVBand="0" w:evenVBand="0" w:oddHBand="1" w:evenHBand="0" w:firstRowFirstColumn="0" w:firstRowLastColumn="0" w:lastRowFirstColumn="0" w:lastRowLastColumn="0"/>
          <w:trHeight w:val="816"/>
        </w:trPr>
        <w:tc>
          <w:tcPr>
            <w:cnfStyle w:val="001000000000" w:firstRow="0" w:lastRow="0" w:firstColumn="1" w:lastColumn="0" w:oddVBand="0" w:evenVBand="0" w:oddHBand="0" w:evenHBand="0" w:firstRowFirstColumn="0" w:firstRowLastColumn="0" w:lastRowFirstColumn="0" w:lastRowLastColumn="0"/>
            <w:tcW w:w="8926" w:type="dxa"/>
            <w:gridSpan w:val="2"/>
            <w:tcBorders>
              <w:top w:val="single" w:sz="4" w:space="0" w:color="auto"/>
              <w:left w:val="single" w:sz="4" w:space="0" w:color="auto"/>
              <w:bottom w:val="single" w:sz="4" w:space="0" w:color="auto"/>
              <w:right w:val="single" w:sz="4" w:space="0" w:color="auto"/>
            </w:tcBorders>
          </w:tcPr>
          <w:p w14:paraId="470A5609" w14:textId="77777777" w:rsidR="00DA6CC5" w:rsidRPr="00DA6CC5" w:rsidRDefault="00DA6CC5" w:rsidP="00CF4276">
            <w:pPr>
              <w:suppressLineNumbers/>
              <w:jc w:val="left"/>
              <w:rPr>
                <w:rFonts w:ascii="Arial" w:hAnsi="Arial" w:cs="Arial"/>
                <w:i w:val="0"/>
                <w:iCs w:val="0"/>
                <w:sz w:val="20"/>
                <w:szCs w:val="20"/>
              </w:rPr>
            </w:pPr>
            <w:r w:rsidRPr="00DA6CC5">
              <w:rPr>
                <w:rFonts w:ascii="Arial" w:hAnsi="Arial" w:cs="Arial"/>
                <w:i w:val="0"/>
                <w:sz w:val="20"/>
                <w:szCs w:val="20"/>
              </w:rPr>
              <w:t>Datos presentados en frecuencia absoluta (%) o mediana (Rango intercuartílico</w:t>
            </w:r>
            <w:r w:rsidRPr="00DA6CC5">
              <w:rPr>
                <w:rFonts w:ascii="Arial" w:hAnsi="Arial" w:cs="Arial"/>
                <w:i w:val="0"/>
                <w:sz w:val="20"/>
                <w:szCs w:val="20"/>
                <w:u w:val="single"/>
              </w:rPr>
              <w:t>)</w:t>
            </w:r>
            <w:r w:rsidRPr="00DA6CC5">
              <w:rPr>
                <w:rFonts w:ascii="Arial" w:hAnsi="Arial" w:cs="Arial"/>
                <w:i w:val="0"/>
                <w:sz w:val="20"/>
                <w:szCs w:val="20"/>
              </w:rPr>
              <w:t>.</w:t>
            </w:r>
          </w:p>
          <w:p w14:paraId="729366EA" w14:textId="77777777" w:rsidR="00DA6CC5" w:rsidRPr="00DA6CC5" w:rsidRDefault="00DA6CC5" w:rsidP="00CF4276">
            <w:pPr>
              <w:suppressLineNumbers/>
              <w:jc w:val="left"/>
              <w:rPr>
                <w:rFonts w:ascii="Arial" w:hAnsi="Arial" w:cs="Arial"/>
                <w:i w:val="0"/>
                <w:iCs w:val="0"/>
                <w:sz w:val="20"/>
                <w:szCs w:val="20"/>
              </w:rPr>
            </w:pPr>
            <w:r w:rsidRPr="00DA6CC5">
              <w:rPr>
                <w:rFonts w:ascii="Arial" w:hAnsi="Arial" w:cs="Arial"/>
                <w:i w:val="0"/>
                <w:sz w:val="20"/>
                <w:szCs w:val="20"/>
              </w:rPr>
              <w:t>VMI: ventilación mecánica invasiva.</w:t>
            </w:r>
          </w:p>
          <w:p w14:paraId="1BE0226F" w14:textId="77777777" w:rsidR="00DA6CC5" w:rsidRPr="00DA6CC5" w:rsidRDefault="00DA6CC5" w:rsidP="00CF4276">
            <w:pPr>
              <w:suppressLineNumbers/>
              <w:jc w:val="left"/>
              <w:rPr>
                <w:rFonts w:ascii="Arial" w:hAnsi="Arial" w:cs="Arial"/>
                <w:i w:val="0"/>
                <w:iCs w:val="0"/>
                <w:sz w:val="20"/>
                <w:szCs w:val="20"/>
              </w:rPr>
            </w:pPr>
            <w:r w:rsidRPr="00DA6CC5">
              <w:rPr>
                <w:rFonts w:ascii="Arial" w:hAnsi="Arial" w:cs="Arial"/>
                <w:i w:val="0"/>
                <w:sz w:val="20"/>
                <w:szCs w:val="20"/>
              </w:rPr>
              <w:t>UCI: unidad de cuidados iIntensivos</w:t>
            </w:r>
          </w:p>
          <w:p w14:paraId="0095C6E2" w14:textId="77777777" w:rsidR="00DA6CC5" w:rsidRPr="00DA6CC5" w:rsidRDefault="00DA6CC5" w:rsidP="00CF4276">
            <w:pPr>
              <w:suppressLineNumbers/>
              <w:jc w:val="left"/>
              <w:rPr>
                <w:rFonts w:ascii="Arial" w:hAnsi="Arial" w:cs="Arial"/>
                <w:i w:val="0"/>
                <w:sz w:val="20"/>
                <w:szCs w:val="20"/>
              </w:rPr>
            </w:pPr>
            <w:r w:rsidRPr="00DA6CC5">
              <w:rPr>
                <w:rFonts w:ascii="Arial" w:hAnsi="Arial" w:cs="Arial"/>
                <w:i w:val="0"/>
                <w:sz w:val="20"/>
                <w:szCs w:val="20"/>
              </w:rPr>
              <w:t>UTI: unidad de tratamiento intermedio</w:t>
            </w:r>
          </w:p>
        </w:tc>
      </w:tr>
    </w:tbl>
    <w:p w14:paraId="15E38EA5" w14:textId="77777777" w:rsidR="00DA6CC5" w:rsidRPr="00DA6CC5" w:rsidRDefault="00DA6CC5" w:rsidP="004C4FD0">
      <w:pPr>
        <w:spacing w:line="480" w:lineRule="auto"/>
        <w:ind w:left="57"/>
        <w:rPr>
          <w:rFonts w:ascii="Arial" w:hAnsi="Arial" w:cs="Arial"/>
        </w:rPr>
      </w:pPr>
    </w:p>
    <w:p w14:paraId="7471076D" w14:textId="77777777" w:rsidR="00574E08" w:rsidRDefault="00574E08" w:rsidP="00574E08">
      <w:pPr>
        <w:suppressLineNumbers/>
        <w:rPr>
          <w:b/>
          <w:sz w:val="20"/>
          <w:szCs w:val="20"/>
          <w:lang w:val="es-ES"/>
        </w:rPr>
      </w:pPr>
    </w:p>
    <w:p w14:paraId="2F36E320" w14:textId="77777777" w:rsidR="00574E08" w:rsidRPr="00574E08" w:rsidRDefault="00574E08" w:rsidP="00574E08">
      <w:pPr>
        <w:suppressLineNumbers/>
        <w:rPr>
          <w:rFonts w:ascii="Arial" w:hAnsi="Arial" w:cs="Arial"/>
          <w:b/>
        </w:rPr>
      </w:pPr>
      <w:r w:rsidRPr="00574E08">
        <w:rPr>
          <w:rFonts w:ascii="Arial" w:hAnsi="Arial" w:cs="Arial"/>
          <w:noProof/>
          <w:lang w:val="es-ES" w:eastAsia="es-ES"/>
        </w:rPr>
        <w:drawing>
          <wp:anchor distT="0" distB="0" distL="114300" distR="114300" simplePos="0" relativeHeight="251662336" behindDoc="0" locked="0" layoutInCell="1" allowOverlap="1" wp14:anchorId="49A151AC" wp14:editId="4CC705E8">
            <wp:simplePos x="0" y="0"/>
            <wp:positionH relativeFrom="column">
              <wp:posOffset>51975</wp:posOffset>
            </wp:positionH>
            <wp:positionV relativeFrom="paragraph">
              <wp:posOffset>158115</wp:posOffset>
            </wp:positionV>
            <wp:extent cx="4990290" cy="4017523"/>
            <wp:effectExtent l="0" t="0" r="13970" b="8890"/>
            <wp:wrapSquare wrapText="bothSides"/>
            <wp:docPr id="1" name="Gráfico 1">
              <a:extLst xmlns:a="http://schemas.openxmlformats.org/drawingml/2006/main">
                <a:ext uri="{FF2B5EF4-FFF2-40B4-BE49-F238E27FC236}">
                  <a16:creationId xmlns:a16="http://schemas.microsoft.com/office/drawing/2014/main" id="{0673D448-4780-F047-AFCD-A44402CEB48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page">
              <wp14:pctWidth>0</wp14:pctWidth>
            </wp14:sizeRelH>
            <wp14:sizeRelV relativeFrom="page">
              <wp14:pctHeight>0</wp14:pctHeight>
            </wp14:sizeRelV>
          </wp:anchor>
        </w:drawing>
      </w:r>
      <w:r w:rsidRPr="00574E08">
        <w:rPr>
          <w:rFonts w:ascii="Arial" w:hAnsi="Arial" w:cs="Arial"/>
          <w:b/>
          <w:lang w:val="es-ES"/>
        </w:rPr>
        <w:t>Figura 1.</w:t>
      </w:r>
      <w:r w:rsidRPr="00574E08">
        <w:rPr>
          <w:rFonts w:ascii="Arial" w:hAnsi="Arial" w:cs="Arial"/>
          <w:lang w:val="es-ES"/>
        </w:rPr>
        <w:t xml:space="preserve"> Grado de cumplimiento del </w:t>
      </w:r>
      <w:r w:rsidRPr="00574E08">
        <w:rPr>
          <w:rFonts w:ascii="Arial" w:hAnsi="Arial" w:cs="Arial"/>
          <w:b/>
          <w:i/>
          <w:iCs/>
        </w:rPr>
        <w:t xml:space="preserve">“bundle” </w:t>
      </w:r>
      <w:r w:rsidRPr="00574E08">
        <w:rPr>
          <w:rFonts w:ascii="Arial" w:hAnsi="Arial" w:cs="Arial"/>
          <w:lang w:val="es-ES"/>
        </w:rPr>
        <w:t>ABCDEF entre los meses de marzo y agosto del año 2019</w:t>
      </w:r>
    </w:p>
    <w:p w14:paraId="67B40648" w14:textId="77777777" w:rsidR="00574E08" w:rsidRPr="00574E08" w:rsidRDefault="00574E08" w:rsidP="00574E08">
      <w:pPr>
        <w:suppressLineNumbers/>
        <w:rPr>
          <w:lang w:val="es-ES"/>
        </w:rPr>
      </w:pPr>
    </w:p>
    <w:p w14:paraId="0061F930" w14:textId="77777777" w:rsidR="00574E08" w:rsidRPr="00574E08" w:rsidRDefault="00574E08" w:rsidP="00574E08">
      <w:pPr>
        <w:suppressLineNumbers/>
        <w:rPr>
          <w:rFonts w:ascii="Arial" w:hAnsi="Arial" w:cs="Arial"/>
          <w:lang w:val="es-ES"/>
        </w:rPr>
      </w:pPr>
      <w:r w:rsidRPr="00574E08">
        <w:rPr>
          <w:rFonts w:ascii="Arial" w:hAnsi="Arial" w:cs="Arial"/>
          <w:lang w:val="es-ES"/>
        </w:rPr>
        <w:t>Figura que compara el cumplimiento del “</w:t>
      </w:r>
      <w:proofErr w:type="spellStart"/>
      <w:r w:rsidRPr="00574E08">
        <w:rPr>
          <w:rFonts w:ascii="Arial" w:hAnsi="Arial" w:cs="Arial"/>
          <w:lang w:val="es-ES"/>
        </w:rPr>
        <w:t>bundle</w:t>
      </w:r>
      <w:proofErr w:type="spellEnd"/>
      <w:r w:rsidRPr="00574E08">
        <w:rPr>
          <w:rFonts w:ascii="Arial" w:hAnsi="Arial" w:cs="Arial"/>
          <w:lang w:val="es-ES"/>
        </w:rPr>
        <w:t xml:space="preserve">” entre los meses de marzo y agosto del año 2019 en azul, con los resultados obtenidos por el trabajo de Pun y </w:t>
      </w:r>
      <w:proofErr w:type="spellStart"/>
      <w:r w:rsidRPr="00574E08">
        <w:rPr>
          <w:rFonts w:ascii="Arial" w:hAnsi="Arial" w:cs="Arial"/>
          <w:lang w:val="es-ES"/>
        </w:rPr>
        <w:t>cols</w:t>
      </w:r>
      <w:proofErr w:type="spellEnd"/>
      <w:r w:rsidRPr="00574E08">
        <w:rPr>
          <w:rFonts w:ascii="Arial" w:hAnsi="Arial" w:cs="Arial"/>
          <w:lang w:val="es-ES"/>
        </w:rPr>
        <w:t xml:space="preserve"> </w:t>
      </w:r>
      <w:r w:rsidRPr="00574E08">
        <w:rPr>
          <w:rFonts w:ascii="Arial" w:hAnsi="Arial" w:cs="Arial"/>
          <w:lang w:val="es-ES"/>
        </w:rPr>
        <w:fldChar w:fldCharType="begin" w:fldLock="1"/>
      </w:r>
      <w:r w:rsidRPr="00574E08">
        <w:rPr>
          <w:rFonts w:ascii="Arial" w:hAnsi="Arial" w:cs="Arial"/>
          <w:lang w:val="es-ES"/>
        </w:rPr>
        <w:instrText>ADDIN CSL_CITATION {"citationItems":[{"id":"ITEM-1","itemData":{"DOI":"10.1097/CCM.0000000000003482","ISBN":"0000000000","ISSN":"15300293","abstract":"Objective: Decades-old, common ICU practices including deep sedation, immobilization, and limited family access are being challenged. We endeavoured to evaluate the relationship between ABCDEF bundle performance and patient-centered outcomes in critical care. Design: Prospective, multicenter, cohort study from a national quality improvement collaborative. Setting: 68 academic, community, and federal ICUs collected data during a 20-month period. Patients: 15,226 adults with at least one ICU day. Interventions: We defined ABCDEF bundle performance (our main exposure) in two ways: 1) complete performance (patient received every eligible bundle element on any given day) and 2) proportional performance (percentage of eligible bundle elements performed on any given day). We explored the association between complete and proportional ABCDEF bundle performance and three sets of outcomes: patient-related (mortality, ICU and hospital discharge), symptom-related (mechanical ventilation, coma, delirium, pain, restraint use), and system-related (ICU readmission, discharge destination). All models were adjusted for a minimum of 18 a priori determined potential confounders. Measurements and Results: Complete ABCDEF bundle performance was associated with lower likelihood of seven outcomes: hospital death within 7 days (adjusted hazard ratio, 0.32; CI, 0.17-0.62), next-day mechanical ventilation (adjusted odds ratio [AOR], 0.28; CI, 0.22-0.36), coma (AOR, 0.35; CI, 0.22-0.56), delirium (AOR, 0.60; CI, 0.49-0.72), physical restraint use (AOR, 0.37; CI, 0.30-0.46), ICU readmission (AOR, 0.54; CI, 0.37-0.79), and discharge to a facility other than home (AOR, 0.64; CI, 0.51-0.80). There was a consistent dose-response relationship between higher proportional bundle performance and improvements in each of the above-mentioned clinical outcomes (all p &lt; 0.002). Significant pain was more frequently reported as bundle performance proportionally increased (p = 0.0001). Conclusions: ABCDEF bundle performance showed significant and clinically meaningful improvements in outcomes including survival, mechanical ventilation use, coma, delirium, restraint-free care, ICU readmissions, and post-ICU discharge disposition.","author":[{"dropping-particle":"","family":"Pun","given":"Brenda T.","non-dropping-particle":"","parse-names":false,"suffix":""},{"dropping-particle":"","family":"Balas","given":"Michele C.","non-dropping-particle":"","parse-names":false,"suffix":""},{"dropping-particle":"","family":"Barnes-Daly","given":"Mary Ann","non-dropping-particle":"","parse-names":false,"suffix":""},{"dropping-particle":"","family":"Thompson","given":"Jennifer L.","non-dropping-particle":"","parse-names":false,"suffix":""},{"dropping-particle":"","family":"Aldrich","given":"J. Matthew","non-dropping-particle":"","parse-names":false,"suffix":""},{"dropping-particle":"","family":"Barr","given":"Juliana","non-dropping-particle":"","parse-names":false,"suffix":""},{"dropping-particle":"","family":"Byrum","given":"Diane","non-dropping-particle":"","parse-names":false,"suffix":""},{"dropping-particle":"","family":"Carson","given":"Shannon S.","non-dropping-particle":"","parse-names":false,"suffix":""},{"dropping-particle":"","family":"Devlin","given":"John W.","non-dropping-particle":"","parse-names":false,"suffix":""},{"dropping-particle":"","family":"Engel","given":"Heidi J.","non-dropping-particle":"","parse-names":false,"suffix":""},{"dropping-particle":"","family":"Esbrook","given":"Cheryl L.","non-dropping-particle":"","parse-names":false,"suffix":""},{"dropping-particle":"","family":"Hargett","given":"Ken D.","non-dropping-particle":"","parse-names":false,"suffix":""},{"dropping-particle":"","family":"Harmon","given":"Lori","non-dropping-particle":"","parse-names":false,"suffix":""},{"dropping-particle":"","family":"Hielsberg","given":"Christina","non-dropping-particle":"","parse-names":false,"suffix":""},{"dropping-particle":"","family":"Jackson","given":"James C.","non-dropping-particle":"","parse-names":false,"suffix":""},{"dropping-particle":"","family":"Kelly","given":"Tamra L.","non-dropping-particle":"","parse-names":false,"suffix":""},{"dropping-particle":"","family":"Kumar","given":"Vishakha","non-dropping-particle":"","parse-names":false,"suffix":""},{"dropping-particle":"","family":"Millner","given":"Lawson","non-dropping-particle":"","parse-names":false,"suffix":""},{"dropping-particle":"","family":"Morse","given":"Alexandra","non-dropping-particle":"","parse-names":false,"suffix":""},{"dropping-particle":"","family":"Perme","given":"Christiane S.","non-dropping-particle":"","parse-names":false,"suffix":""},{"dropping-particle":"","family":"Posa","given":"Patricia J.","non-dropping-particle":"","parse-names":false,"suffix":""},{"dropping-particle":"","family":"Puntillo","given":"Kathleen A.","non-dropping-particle":"","parse-names":false,"suffix":""},{"dropping-particle":"","family":"Schweickert","given":"William D.","non-dropping-particle":"","parse-names":false,"suffix":""},{"dropping-particle":"","family":"Stollings","given":"Joanna L.","non-dropping-particle":"","parse-names":false,"suffix":""},{"dropping-particle":"","family":"Tan","given":"Alai","non-dropping-particle":"","parse-names":false,"suffix":""},{"dropping-particle":"","family":"D'Agostino McGowan","given":"Lucy","non-dropping-particle":"","parse-names":false,"suffix":""},{"dropping-particle":"","family":"Ely","given":"E. Wesley","non-dropping-particle":"","parse-names":false,"suffix":""}],"container-title":"Critical Care Medicine","id":"ITEM-1","issue":"1","issued":{"date-parts":[["2019"]]},"page":"3-14","title":"Caring for Critically Ill Patients with the ABCDEF Bundle: Results of the ICU Liberation Collaborative in Over 15,000 Adults","type":"article-journal","volume":"47"},"uris":["http://www.mendeley.com/documents/?uuid=c8708401-f3f9-4bfd-896c-b1ccb17bbdaa"]}],"mendeley":{"formattedCitation":"(4)","plainTextFormattedCitation":"(4)","previouslyFormattedCitation":"(4)"},"properties":{"noteIndex":0},"schema":"https://github.com/citation-style-language/schema/raw/master/csl-citation.json"}</w:instrText>
      </w:r>
      <w:r w:rsidRPr="00574E08">
        <w:rPr>
          <w:rFonts w:ascii="Arial" w:hAnsi="Arial" w:cs="Arial"/>
          <w:lang w:val="es-ES"/>
        </w:rPr>
        <w:fldChar w:fldCharType="separate"/>
      </w:r>
      <w:r w:rsidRPr="00574E08">
        <w:rPr>
          <w:rFonts w:ascii="Arial" w:hAnsi="Arial" w:cs="Arial"/>
          <w:noProof/>
          <w:lang w:val="es-ES"/>
        </w:rPr>
        <w:t>(4)</w:t>
      </w:r>
      <w:r w:rsidRPr="00574E08">
        <w:rPr>
          <w:rFonts w:ascii="Arial" w:hAnsi="Arial" w:cs="Arial"/>
          <w:lang w:val="es-ES"/>
        </w:rPr>
        <w:fldChar w:fldCharType="end"/>
      </w:r>
      <w:r w:rsidRPr="00574E08">
        <w:rPr>
          <w:rFonts w:ascii="Arial" w:hAnsi="Arial" w:cs="Arial"/>
          <w:lang w:val="es-ES"/>
        </w:rPr>
        <w:t>. en naranjo y en gris un “ideal” del 100% de cumplimiento en todos los elementos</w:t>
      </w:r>
    </w:p>
    <w:p w14:paraId="18280DFD" w14:textId="53AD70AF" w:rsidR="00574E08" w:rsidRDefault="00574E08" w:rsidP="00CF7655">
      <w:pPr>
        <w:spacing w:line="480" w:lineRule="auto"/>
        <w:rPr>
          <w:rFonts w:ascii="Arial" w:hAnsi="Arial" w:cs="Arial"/>
          <w:b/>
          <w:lang w:val="es-ES"/>
        </w:rPr>
      </w:pPr>
    </w:p>
    <w:p w14:paraId="3FC8D83E" w14:textId="77777777" w:rsidR="00574E08" w:rsidRPr="006F33AE" w:rsidRDefault="00574E08" w:rsidP="00CF7655">
      <w:pPr>
        <w:spacing w:line="480" w:lineRule="auto"/>
        <w:rPr>
          <w:rFonts w:ascii="Arial" w:hAnsi="Arial" w:cs="Arial"/>
          <w:b/>
          <w:lang w:val="es-ES"/>
        </w:rPr>
      </w:pPr>
    </w:p>
    <w:p w14:paraId="25531C89" w14:textId="77777777" w:rsidR="00CF7655" w:rsidRPr="006F33AE" w:rsidRDefault="00CF7655" w:rsidP="00CF7655">
      <w:pPr>
        <w:spacing w:line="480" w:lineRule="auto"/>
        <w:rPr>
          <w:rFonts w:ascii="Arial" w:hAnsi="Arial" w:cs="Arial"/>
          <w:b/>
          <w:lang w:val="es-ES"/>
        </w:rPr>
      </w:pPr>
      <w:r w:rsidRPr="006F33AE">
        <w:rPr>
          <w:rFonts w:ascii="Arial" w:hAnsi="Arial" w:cs="Arial"/>
          <w:b/>
          <w:lang w:val="es-ES"/>
        </w:rPr>
        <w:lastRenderedPageBreak/>
        <w:t>Elemento “A”; Evaluación del Dolor</w:t>
      </w:r>
    </w:p>
    <w:p w14:paraId="747E3A8B" w14:textId="25D05428" w:rsidR="00D708CE" w:rsidRDefault="00CF7655" w:rsidP="005B216D">
      <w:pPr>
        <w:spacing w:line="480" w:lineRule="auto"/>
        <w:ind w:left="57"/>
        <w:rPr>
          <w:rFonts w:ascii="Arial" w:hAnsi="Arial" w:cs="Arial"/>
          <w:lang w:val="es-ES"/>
        </w:rPr>
      </w:pPr>
      <w:r w:rsidRPr="006F33AE">
        <w:rPr>
          <w:rFonts w:ascii="Arial" w:hAnsi="Arial" w:cs="Arial"/>
          <w:lang w:val="es-ES"/>
        </w:rPr>
        <w:t>El 13,9% (n=158) de los días-paciente</w:t>
      </w:r>
      <w:r w:rsidR="00ED238A" w:rsidRPr="006F33AE">
        <w:rPr>
          <w:rFonts w:ascii="Arial" w:hAnsi="Arial" w:cs="Arial"/>
          <w:lang w:val="es-ES"/>
        </w:rPr>
        <w:t xml:space="preserve"> se</w:t>
      </w:r>
      <w:r w:rsidRPr="006F33AE">
        <w:rPr>
          <w:rFonts w:ascii="Arial" w:hAnsi="Arial" w:cs="Arial"/>
          <w:lang w:val="es-ES"/>
        </w:rPr>
        <w:t xml:space="preserve"> registró al menos 1 evaluación del dolor. Los instrumentos empleados fueron los de auto-reporte, siendo la </w:t>
      </w:r>
      <w:r w:rsidR="000208AA" w:rsidRPr="006F33AE">
        <w:rPr>
          <w:rFonts w:ascii="Arial" w:hAnsi="Arial" w:cs="Arial"/>
          <w:lang w:val="es-ES"/>
        </w:rPr>
        <w:t xml:space="preserve">más </w:t>
      </w:r>
      <w:r w:rsidRPr="006F33AE">
        <w:rPr>
          <w:rFonts w:ascii="Arial" w:hAnsi="Arial" w:cs="Arial"/>
          <w:lang w:val="es-ES"/>
        </w:rPr>
        <w:t>utilizada la EVA con un 97,2% (n= 209) de los registros. No se registró ninguna evaluación con un instrumento válido y confiable para los pacientes no cooperadores (</w:t>
      </w:r>
      <w:r w:rsidRPr="006F33AE">
        <w:rPr>
          <w:rFonts w:ascii="Arial" w:hAnsi="Arial" w:cs="Arial"/>
        </w:rPr>
        <w:t>BPS o CPOT)</w:t>
      </w:r>
      <w:r w:rsidRPr="006F33AE">
        <w:rPr>
          <w:rFonts w:ascii="Arial" w:hAnsi="Arial" w:cs="Arial"/>
          <w:lang w:val="es-ES"/>
        </w:rPr>
        <w:t>. El 92% (n= 198) de los registros se realizaron en días-paciente</w:t>
      </w:r>
      <w:r w:rsidR="000208AA" w:rsidRPr="006F33AE">
        <w:rPr>
          <w:rFonts w:ascii="Arial" w:hAnsi="Arial" w:cs="Arial"/>
          <w:lang w:val="es-ES"/>
        </w:rPr>
        <w:t xml:space="preserve"> sin</w:t>
      </w:r>
      <w:r w:rsidRPr="006F33AE">
        <w:rPr>
          <w:rFonts w:ascii="Arial" w:hAnsi="Arial" w:cs="Arial"/>
          <w:lang w:val="es-ES"/>
        </w:rPr>
        <w:t xml:space="preserve"> VMI. </w:t>
      </w:r>
      <w:r w:rsidR="00187F68" w:rsidRPr="006F33AE">
        <w:rPr>
          <w:rFonts w:ascii="Arial" w:hAnsi="Arial" w:cs="Arial"/>
          <w:lang w:val="es-ES"/>
        </w:rPr>
        <w:t>El enfermero de UCI fue e</w:t>
      </w:r>
      <w:r w:rsidRPr="006F33AE">
        <w:rPr>
          <w:rFonts w:ascii="Arial" w:hAnsi="Arial" w:cs="Arial"/>
          <w:lang w:val="es-ES"/>
        </w:rPr>
        <w:t xml:space="preserve">l profesional que </w:t>
      </w:r>
      <w:r w:rsidR="00187F68" w:rsidRPr="006F33AE">
        <w:rPr>
          <w:rFonts w:ascii="Arial" w:hAnsi="Arial" w:cs="Arial"/>
          <w:lang w:val="es-ES"/>
        </w:rPr>
        <w:t xml:space="preserve">más </w:t>
      </w:r>
      <w:r w:rsidRPr="006F33AE">
        <w:rPr>
          <w:rFonts w:ascii="Arial" w:hAnsi="Arial" w:cs="Arial"/>
          <w:lang w:val="es-ES"/>
        </w:rPr>
        <w:t xml:space="preserve">implementó este ítem </w:t>
      </w:r>
      <w:r w:rsidR="00187F68" w:rsidRPr="006F33AE">
        <w:rPr>
          <w:rFonts w:ascii="Arial" w:hAnsi="Arial" w:cs="Arial"/>
          <w:lang w:val="es-ES"/>
        </w:rPr>
        <w:t>(</w:t>
      </w:r>
      <w:r w:rsidRPr="006F33AE">
        <w:rPr>
          <w:rFonts w:ascii="Arial" w:hAnsi="Arial" w:cs="Arial"/>
          <w:lang w:val="es-ES"/>
        </w:rPr>
        <w:t>86,5%</w:t>
      </w:r>
      <w:r w:rsidR="00187F68" w:rsidRPr="006F33AE">
        <w:rPr>
          <w:rFonts w:ascii="Arial" w:hAnsi="Arial" w:cs="Arial"/>
          <w:lang w:val="es-ES"/>
        </w:rPr>
        <w:t>,</w:t>
      </w:r>
      <w:r w:rsidRPr="006F33AE">
        <w:rPr>
          <w:rFonts w:ascii="Arial" w:hAnsi="Arial" w:cs="Arial"/>
          <w:lang w:val="es-ES"/>
        </w:rPr>
        <w:t xml:space="preserve"> n= 186) (</w:t>
      </w:r>
      <w:r w:rsidRPr="006F33AE">
        <w:rPr>
          <w:rFonts w:ascii="Arial" w:hAnsi="Arial" w:cs="Arial"/>
          <w:b/>
          <w:lang w:val="es-ES"/>
        </w:rPr>
        <w:t xml:space="preserve">Tabla </w:t>
      </w:r>
      <w:r w:rsidR="009F6B81" w:rsidRPr="006F33AE">
        <w:rPr>
          <w:rFonts w:ascii="Arial" w:hAnsi="Arial" w:cs="Arial"/>
          <w:b/>
          <w:lang w:val="es-ES"/>
        </w:rPr>
        <w:t>2</w:t>
      </w:r>
      <w:r w:rsidRPr="006F33AE">
        <w:rPr>
          <w:rFonts w:ascii="Arial" w:hAnsi="Arial" w:cs="Arial"/>
          <w:lang w:val="es-ES"/>
        </w:rPr>
        <w:t>).</w:t>
      </w:r>
    </w:p>
    <w:p w14:paraId="44395C8F" w14:textId="77777777" w:rsidR="00DA6CC5" w:rsidRPr="006F33AE" w:rsidRDefault="00DA6CC5" w:rsidP="005B216D">
      <w:pPr>
        <w:spacing w:line="480" w:lineRule="auto"/>
        <w:ind w:left="57"/>
        <w:rPr>
          <w:rFonts w:ascii="Arial" w:hAnsi="Arial" w:cs="Arial"/>
          <w:lang w:val="es-ES"/>
        </w:rPr>
      </w:pPr>
    </w:p>
    <w:p w14:paraId="6AF9912D" w14:textId="548C29F9" w:rsidR="00CF7655" w:rsidRPr="006F33AE" w:rsidRDefault="00CF7655" w:rsidP="00CF7655">
      <w:pPr>
        <w:spacing w:line="480" w:lineRule="auto"/>
        <w:rPr>
          <w:rFonts w:ascii="Arial" w:hAnsi="Arial" w:cs="Arial"/>
          <w:b/>
        </w:rPr>
      </w:pPr>
      <w:r w:rsidRPr="006F33AE">
        <w:rPr>
          <w:rFonts w:ascii="Arial" w:hAnsi="Arial" w:cs="Arial"/>
          <w:b/>
        </w:rPr>
        <w:t>Elemento “B1”; Prueba de interrupción de la sedación</w:t>
      </w:r>
      <w:r w:rsidR="00D708CE" w:rsidRPr="006F33AE">
        <w:rPr>
          <w:rFonts w:ascii="Arial" w:hAnsi="Arial" w:cs="Arial"/>
          <w:b/>
        </w:rPr>
        <w:t xml:space="preserve"> (PIS)</w:t>
      </w:r>
    </w:p>
    <w:p w14:paraId="03434976" w14:textId="044C9366" w:rsidR="00CF7655" w:rsidRPr="006F33AE" w:rsidRDefault="00CF7655" w:rsidP="004C4FD0">
      <w:pPr>
        <w:spacing w:line="480" w:lineRule="auto"/>
        <w:ind w:left="57"/>
        <w:rPr>
          <w:rFonts w:ascii="Arial" w:hAnsi="Arial" w:cs="Arial"/>
        </w:rPr>
      </w:pPr>
      <w:r w:rsidRPr="006F33AE">
        <w:rPr>
          <w:rFonts w:ascii="Arial" w:hAnsi="Arial" w:cs="Arial"/>
        </w:rPr>
        <w:t xml:space="preserve">Se consideraron 574 (50,6%) días-paciente como elegibles, en los cuales la implementación de una </w:t>
      </w:r>
      <w:r w:rsidR="00D708CE" w:rsidRPr="006F33AE">
        <w:rPr>
          <w:rFonts w:ascii="Arial" w:hAnsi="Arial" w:cs="Arial"/>
        </w:rPr>
        <w:t>PIS</w:t>
      </w:r>
      <w:r w:rsidRPr="006F33AE">
        <w:rPr>
          <w:rFonts w:ascii="Arial" w:hAnsi="Arial" w:cs="Arial"/>
        </w:rPr>
        <w:t xml:space="preserve"> fue de 0%</w:t>
      </w:r>
      <w:r w:rsidR="001F5CD8" w:rsidRPr="006F33AE">
        <w:rPr>
          <w:rFonts w:ascii="Arial" w:hAnsi="Arial" w:cs="Arial"/>
        </w:rPr>
        <w:t xml:space="preserve"> </w:t>
      </w:r>
      <w:r w:rsidRPr="006F33AE">
        <w:rPr>
          <w:rFonts w:ascii="Arial" w:hAnsi="Arial" w:cs="Arial"/>
          <w:lang w:val="es-ES"/>
        </w:rPr>
        <w:t>(</w:t>
      </w:r>
      <w:r w:rsidRPr="006F33AE">
        <w:rPr>
          <w:rFonts w:ascii="Arial" w:hAnsi="Arial" w:cs="Arial"/>
          <w:b/>
          <w:lang w:val="es-ES"/>
        </w:rPr>
        <w:t xml:space="preserve">Tabla </w:t>
      </w:r>
      <w:r w:rsidR="009E1862" w:rsidRPr="006F33AE">
        <w:rPr>
          <w:rFonts w:ascii="Arial" w:hAnsi="Arial" w:cs="Arial"/>
          <w:b/>
          <w:lang w:val="es-ES"/>
        </w:rPr>
        <w:t>3</w:t>
      </w:r>
      <w:r w:rsidRPr="006F33AE">
        <w:rPr>
          <w:rFonts w:ascii="Arial" w:hAnsi="Arial" w:cs="Arial"/>
          <w:lang w:val="es-ES"/>
        </w:rPr>
        <w:t>).</w:t>
      </w:r>
    </w:p>
    <w:p w14:paraId="4765ECBD" w14:textId="77777777" w:rsidR="00CF7655" w:rsidRPr="006F33AE" w:rsidRDefault="00CF7655" w:rsidP="00CF7655">
      <w:pPr>
        <w:spacing w:line="480" w:lineRule="auto"/>
        <w:rPr>
          <w:rFonts w:ascii="Arial" w:hAnsi="Arial" w:cs="Arial"/>
        </w:rPr>
      </w:pPr>
    </w:p>
    <w:p w14:paraId="77190818" w14:textId="62D7CA9B" w:rsidR="00CF7655" w:rsidRPr="006F33AE" w:rsidRDefault="00CF7655" w:rsidP="00CF7655">
      <w:pPr>
        <w:spacing w:line="480" w:lineRule="auto"/>
        <w:rPr>
          <w:rFonts w:ascii="Arial" w:hAnsi="Arial" w:cs="Arial"/>
          <w:b/>
        </w:rPr>
      </w:pPr>
      <w:r w:rsidRPr="006F33AE">
        <w:rPr>
          <w:rFonts w:ascii="Arial" w:hAnsi="Arial" w:cs="Arial"/>
          <w:b/>
        </w:rPr>
        <w:t>Elemento “B2”; Prueba de ventilación espontánea</w:t>
      </w:r>
      <w:r w:rsidR="00D708CE" w:rsidRPr="006F33AE">
        <w:rPr>
          <w:rFonts w:ascii="Arial" w:hAnsi="Arial" w:cs="Arial"/>
          <w:b/>
        </w:rPr>
        <w:t xml:space="preserve"> (PVE)</w:t>
      </w:r>
    </w:p>
    <w:p w14:paraId="16588738" w14:textId="66B5A37B" w:rsidR="00CF7655" w:rsidRPr="006F33AE" w:rsidRDefault="00CF7655" w:rsidP="004C4FD0">
      <w:pPr>
        <w:spacing w:line="480" w:lineRule="auto"/>
        <w:ind w:left="57"/>
        <w:rPr>
          <w:rFonts w:ascii="Arial" w:hAnsi="Arial" w:cs="Arial"/>
        </w:rPr>
      </w:pPr>
      <w:r w:rsidRPr="006F33AE">
        <w:rPr>
          <w:rFonts w:ascii="Arial" w:hAnsi="Arial" w:cs="Arial"/>
        </w:rPr>
        <w:t xml:space="preserve">Se registraron 41 </w:t>
      </w:r>
      <w:r w:rsidR="00D708CE" w:rsidRPr="006F33AE">
        <w:rPr>
          <w:rFonts w:ascii="Arial" w:hAnsi="Arial" w:cs="Arial"/>
        </w:rPr>
        <w:t>PVE</w:t>
      </w:r>
      <w:r w:rsidRPr="006F33AE">
        <w:rPr>
          <w:rFonts w:ascii="Arial" w:hAnsi="Arial" w:cs="Arial"/>
        </w:rPr>
        <w:t xml:space="preserve">. La Prueba en Presión de Soporte fue la más utilizada </w:t>
      </w:r>
      <w:r w:rsidR="00187F68" w:rsidRPr="006F33AE">
        <w:rPr>
          <w:rFonts w:ascii="Arial" w:hAnsi="Arial" w:cs="Arial"/>
        </w:rPr>
        <w:t>(</w:t>
      </w:r>
      <w:r w:rsidRPr="006F33AE">
        <w:rPr>
          <w:rFonts w:ascii="Arial" w:hAnsi="Arial" w:cs="Arial"/>
        </w:rPr>
        <w:t>51,2%</w:t>
      </w:r>
      <w:r w:rsidR="00187F68" w:rsidRPr="006F33AE">
        <w:rPr>
          <w:rFonts w:ascii="Arial" w:hAnsi="Arial" w:cs="Arial"/>
        </w:rPr>
        <w:t>,</w:t>
      </w:r>
      <w:r w:rsidRPr="006F33AE">
        <w:rPr>
          <w:rFonts w:ascii="Arial" w:hAnsi="Arial" w:cs="Arial"/>
        </w:rPr>
        <w:t xml:space="preserve"> n= 21), seguida por la Prueba en Tubo T con el 31,7% (n= 13). </w:t>
      </w:r>
      <w:r w:rsidR="00953C3C" w:rsidRPr="006F33AE">
        <w:rPr>
          <w:rFonts w:ascii="Arial" w:hAnsi="Arial" w:cs="Arial"/>
        </w:rPr>
        <w:t xml:space="preserve">El </w:t>
      </w:r>
      <w:r w:rsidR="00187F68" w:rsidRPr="006F33AE">
        <w:rPr>
          <w:rFonts w:ascii="Arial" w:hAnsi="Arial" w:cs="Arial"/>
        </w:rPr>
        <w:t>12,1% de los registros tenían el resultado</w:t>
      </w:r>
      <w:r w:rsidRPr="006F33AE">
        <w:rPr>
          <w:rFonts w:ascii="Arial" w:hAnsi="Arial" w:cs="Arial"/>
        </w:rPr>
        <w:t xml:space="preserve"> de la prueba, con éxito </w:t>
      </w:r>
      <w:r w:rsidR="00187F68" w:rsidRPr="006F33AE">
        <w:rPr>
          <w:rFonts w:ascii="Arial" w:hAnsi="Arial" w:cs="Arial"/>
        </w:rPr>
        <w:t xml:space="preserve">en </w:t>
      </w:r>
      <w:r w:rsidRPr="006F33AE">
        <w:rPr>
          <w:rFonts w:ascii="Arial" w:hAnsi="Arial" w:cs="Arial"/>
        </w:rPr>
        <w:t xml:space="preserve">el 9,7% (n=4) y fracaso el 2,4% (n =1). Las pruebas de ventilación espontánea fueron registradas en un 100% por el profesional kinesiólogo de UCI </w:t>
      </w:r>
      <w:r w:rsidRPr="006F33AE">
        <w:rPr>
          <w:rFonts w:ascii="Arial" w:hAnsi="Arial" w:cs="Arial"/>
          <w:lang w:val="es-ES"/>
        </w:rPr>
        <w:t>(</w:t>
      </w:r>
      <w:r w:rsidRPr="006F33AE">
        <w:rPr>
          <w:rFonts w:ascii="Arial" w:hAnsi="Arial" w:cs="Arial"/>
          <w:b/>
          <w:lang w:val="es-ES"/>
        </w:rPr>
        <w:t xml:space="preserve">Tabla </w:t>
      </w:r>
      <w:r w:rsidR="009E1862" w:rsidRPr="006F33AE">
        <w:rPr>
          <w:rFonts w:ascii="Arial" w:hAnsi="Arial" w:cs="Arial"/>
          <w:b/>
          <w:lang w:val="es-ES"/>
        </w:rPr>
        <w:t>4</w:t>
      </w:r>
      <w:r w:rsidRPr="006F33AE">
        <w:rPr>
          <w:rFonts w:ascii="Arial" w:hAnsi="Arial" w:cs="Arial"/>
          <w:lang w:val="es-ES"/>
        </w:rPr>
        <w:t>).</w:t>
      </w:r>
    </w:p>
    <w:p w14:paraId="5D48249E" w14:textId="171CA73B" w:rsidR="00CF7655" w:rsidRDefault="00CF7655" w:rsidP="00CF7655">
      <w:pPr>
        <w:spacing w:line="480" w:lineRule="auto"/>
        <w:rPr>
          <w:rFonts w:ascii="Arial" w:hAnsi="Arial" w:cs="Arial"/>
        </w:rPr>
      </w:pPr>
    </w:p>
    <w:p w14:paraId="41483AB4" w14:textId="0B00F50B" w:rsidR="00574E08" w:rsidRDefault="00574E08" w:rsidP="00CF7655">
      <w:pPr>
        <w:spacing w:line="480" w:lineRule="auto"/>
        <w:rPr>
          <w:rFonts w:ascii="Arial" w:hAnsi="Arial" w:cs="Arial"/>
        </w:rPr>
      </w:pPr>
    </w:p>
    <w:p w14:paraId="3EC55ED1" w14:textId="77777777" w:rsidR="00574E08" w:rsidRPr="006F33AE" w:rsidRDefault="00574E08" w:rsidP="00CF7655">
      <w:pPr>
        <w:spacing w:line="480" w:lineRule="auto"/>
        <w:rPr>
          <w:rFonts w:ascii="Arial" w:hAnsi="Arial" w:cs="Arial"/>
        </w:rPr>
      </w:pPr>
    </w:p>
    <w:p w14:paraId="4074DB22" w14:textId="74E2EAD3" w:rsidR="00CF7655" w:rsidRPr="006F33AE" w:rsidRDefault="00CF7655" w:rsidP="00CF7655">
      <w:pPr>
        <w:spacing w:line="480" w:lineRule="auto"/>
        <w:rPr>
          <w:rFonts w:ascii="Arial" w:hAnsi="Arial" w:cs="Arial"/>
          <w:b/>
        </w:rPr>
      </w:pPr>
      <w:r w:rsidRPr="006F33AE">
        <w:rPr>
          <w:rFonts w:ascii="Arial" w:hAnsi="Arial" w:cs="Arial"/>
          <w:b/>
        </w:rPr>
        <w:lastRenderedPageBreak/>
        <w:t>Elemento “C”; Elección de la sedación</w:t>
      </w:r>
    </w:p>
    <w:p w14:paraId="5E077E91" w14:textId="00DE2EB3" w:rsidR="00CF7655" w:rsidRPr="006F33AE" w:rsidRDefault="00CF7655" w:rsidP="004C4FD0">
      <w:pPr>
        <w:spacing w:line="480" w:lineRule="auto"/>
        <w:ind w:left="57"/>
        <w:rPr>
          <w:rFonts w:ascii="Arial" w:hAnsi="Arial" w:cs="Arial"/>
        </w:rPr>
      </w:pPr>
      <w:r w:rsidRPr="006F33AE">
        <w:rPr>
          <w:rFonts w:ascii="Arial" w:hAnsi="Arial" w:cs="Arial"/>
        </w:rPr>
        <w:t xml:space="preserve">El 40,4% (n= 466) de los días-paciente registró al menos 1 evaluación con un instrumento </w:t>
      </w:r>
      <w:r w:rsidR="00187F68" w:rsidRPr="006F33AE">
        <w:rPr>
          <w:rFonts w:ascii="Arial" w:hAnsi="Arial" w:cs="Arial"/>
        </w:rPr>
        <w:t xml:space="preserve">válido </w:t>
      </w:r>
      <w:r w:rsidRPr="006F33AE">
        <w:rPr>
          <w:rFonts w:ascii="Arial" w:hAnsi="Arial" w:cs="Arial"/>
        </w:rPr>
        <w:t xml:space="preserve">y confiable para determinar el estado de la sedación (RASS, SAS). </w:t>
      </w:r>
      <w:r w:rsidR="00187F68" w:rsidRPr="006F33AE">
        <w:rPr>
          <w:rFonts w:ascii="Arial" w:hAnsi="Arial" w:cs="Arial"/>
        </w:rPr>
        <w:t>En el 77,9% (n= 2</w:t>
      </w:r>
      <w:r w:rsidR="00415AD6" w:rsidRPr="006F33AE">
        <w:rPr>
          <w:rFonts w:ascii="Arial" w:hAnsi="Arial" w:cs="Arial"/>
        </w:rPr>
        <w:t>.</w:t>
      </w:r>
      <w:r w:rsidR="00187F68" w:rsidRPr="006F33AE">
        <w:rPr>
          <w:rFonts w:ascii="Arial" w:hAnsi="Arial" w:cs="Arial"/>
        </w:rPr>
        <w:t>202) de los registros se usó l</w:t>
      </w:r>
      <w:r w:rsidRPr="006F33AE">
        <w:rPr>
          <w:rFonts w:ascii="Arial" w:hAnsi="Arial" w:cs="Arial"/>
        </w:rPr>
        <w:t xml:space="preserve">a escala RASS, </w:t>
      </w:r>
      <w:r w:rsidR="00187F68" w:rsidRPr="006F33AE">
        <w:rPr>
          <w:rFonts w:ascii="Arial" w:hAnsi="Arial" w:cs="Arial"/>
        </w:rPr>
        <w:t>mientras en un 3,4% (n= 78) de los registros se usó</w:t>
      </w:r>
      <w:r w:rsidRPr="006F33AE">
        <w:rPr>
          <w:rFonts w:ascii="Arial" w:hAnsi="Arial" w:cs="Arial"/>
        </w:rPr>
        <w:t xml:space="preserve"> la escala SAS.</w:t>
      </w:r>
    </w:p>
    <w:p w14:paraId="4419FA13" w14:textId="49345864" w:rsidR="00C26035" w:rsidRPr="006F33AE" w:rsidRDefault="00CF7655" w:rsidP="001844DD">
      <w:pPr>
        <w:spacing w:line="480" w:lineRule="auto"/>
        <w:ind w:left="57"/>
        <w:rPr>
          <w:rFonts w:ascii="Arial" w:hAnsi="Arial" w:cs="Arial"/>
        </w:rPr>
      </w:pPr>
      <w:r w:rsidRPr="006F33AE">
        <w:rPr>
          <w:rFonts w:ascii="Arial" w:hAnsi="Arial" w:cs="Arial"/>
        </w:rPr>
        <w:t xml:space="preserve">En los días-paciente que los sujetos recibieron sedantes, el cumplimiento del ítem aumenta a 73,3%. El </w:t>
      </w:r>
      <w:r w:rsidR="00187F68" w:rsidRPr="006F33AE">
        <w:rPr>
          <w:rFonts w:ascii="Arial" w:hAnsi="Arial" w:cs="Arial"/>
        </w:rPr>
        <w:t>62,2% (n= 1758) de los registros los realizó</w:t>
      </w:r>
      <w:r w:rsidRPr="006F33AE">
        <w:rPr>
          <w:rFonts w:ascii="Arial" w:hAnsi="Arial" w:cs="Arial"/>
        </w:rPr>
        <w:t xml:space="preserve"> el enfermero de UCI </w:t>
      </w:r>
      <w:r w:rsidRPr="006F33AE">
        <w:rPr>
          <w:rFonts w:ascii="Arial" w:hAnsi="Arial" w:cs="Arial"/>
          <w:lang w:val="es-ES"/>
        </w:rPr>
        <w:t>(</w:t>
      </w:r>
      <w:r w:rsidRPr="006F33AE">
        <w:rPr>
          <w:rFonts w:ascii="Arial" w:hAnsi="Arial" w:cs="Arial"/>
          <w:b/>
          <w:lang w:val="es-ES"/>
        </w:rPr>
        <w:t xml:space="preserve">Tabla </w:t>
      </w:r>
      <w:r w:rsidR="00453F13">
        <w:rPr>
          <w:rFonts w:ascii="Arial" w:hAnsi="Arial" w:cs="Arial"/>
          <w:b/>
          <w:lang w:val="es-ES"/>
        </w:rPr>
        <w:t>5</w:t>
      </w:r>
      <w:r w:rsidRPr="006F33AE">
        <w:rPr>
          <w:rFonts w:ascii="Arial" w:hAnsi="Arial" w:cs="Arial"/>
          <w:lang w:val="es-ES"/>
        </w:rPr>
        <w:t>).</w:t>
      </w:r>
    </w:p>
    <w:p w14:paraId="752BE89E" w14:textId="77777777" w:rsidR="00C26035" w:rsidRPr="006F33AE" w:rsidRDefault="00C26035" w:rsidP="00CF7655">
      <w:pPr>
        <w:spacing w:line="480" w:lineRule="auto"/>
        <w:rPr>
          <w:rFonts w:ascii="Arial" w:hAnsi="Arial" w:cs="Arial"/>
        </w:rPr>
      </w:pPr>
    </w:p>
    <w:p w14:paraId="58120CDC" w14:textId="0F63727D" w:rsidR="00CF7655" w:rsidRPr="006F33AE" w:rsidRDefault="00CF7655" w:rsidP="00CF7655">
      <w:pPr>
        <w:spacing w:line="480" w:lineRule="auto"/>
        <w:rPr>
          <w:rFonts w:ascii="Arial" w:hAnsi="Arial" w:cs="Arial"/>
          <w:b/>
          <w:u w:val="single"/>
        </w:rPr>
      </w:pPr>
      <w:r w:rsidRPr="006F33AE">
        <w:rPr>
          <w:rFonts w:ascii="Arial" w:hAnsi="Arial" w:cs="Arial"/>
          <w:b/>
        </w:rPr>
        <w:t>Elemento “D”; Evaluación, seguimiento y tratamiento del deliri</w:t>
      </w:r>
      <w:r w:rsidR="0095673D" w:rsidRPr="006F33AE">
        <w:rPr>
          <w:rFonts w:ascii="Arial" w:hAnsi="Arial" w:cs="Arial"/>
          <w:b/>
        </w:rPr>
        <w:t>o</w:t>
      </w:r>
    </w:p>
    <w:p w14:paraId="47844583" w14:textId="1B4A0C0E" w:rsidR="00CF7655" w:rsidRPr="006F33AE" w:rsidRDefault="00CF7655" w:rsidP="004C4FD0">
      <w:pPr>
        <w:spacing w:line="480" w:lineRule="auto"/>
        <w:ind w:left="57"/>
        <w:rPr>
          <w:rFonts w:ascii="Arial" w:hAnsi="Arial" w:cs="Arial"/>
        </w:rPr>
      </w:pPr>
      <w:r w:rsidRPr="006F33AE">
        <w:rPr>
          <w:rFonts w:ascii="Arial" w:hAnsi="Arial" w:cs="Arial"/>
        </w:rPr>
        <w:t>El 24% (n= 227) de los días-paciente registró al menos una evaluación de deliri</w:t>
      </w:r>
      <w:r w:rsidR="0095673D" w:rsidRPr="006F33AE">
        <w:rPr>
          <w:rFonts w:ascii="Arial" w:hAnsi="Arial" w:cs="Arial"/>
        </w:rPr>
        <w:t>o</w:t>
      </w:r>
      <w:r w:rsidRPr="006F33AE">
        <w:rPr>
          <w:rFonts w:ascii="Arial" w:hAnsi="Arial" w:cs="Arial"/>
        </w:rPr>
        <w:t xml:space="preserve"> con un instrumento </w:t>
      </w:r>
      <w:r w:rsidR="00187F68" w:rsidRPr="006F33AE">
        <w:rPr>
          <w:rFonts w:ascii="Arial" w:hAnsi="Arial" w:cs="Arial"/>
        </w:rPr>
        <w:t xml:space="preserve">válido </w:t>
      </w:r>
      <w:r w:rsidRPr="006F33AE">
        <w:rPr>
          <w:rFonts w:ascii="Arial" w:hAnsi="Arial" w:cs="Arial"/>
        </w:rPr>
        <w:t xml:space="preserve">y confiable (CAM- ICU o ICDSC). El </w:t>
      </w:r>
      <w:r w:rsidR="00187F68" w:rsidRPr="006F33AE">
        <w:rPr>
          <w:rFonts w:ascii="Arial" w:hAnsi="Arial" w:cs="Arial"/>
        </w:rPr>
        <w:t xml:space="preserve">CAM- ICU fue </w:t>
      </w:r>
      <w:r w:rsidRPr="006F33AE">
        <w:rPr>
          <w:rFonts w:ascii="Arial" w:hAnsi="Arial" w:cs="Arial"/>
        </w:rPr>
        <w:t>utilizado en el 100% de los registros. La incidencia de deliri</w:t>
      </w:r>
      <w:r w:rsidR="0095673D" w:rsidRPr="006F33AE">
        <w:rPr>
          <w:rFonts w:ascii="Arial" w:hAnsi="Arial" w:cs="Arial"/>
        </w:rPr>
        <w:t>o</w:t>
      </w:r>
      <w:r w:rsidRPr="006F33AE">
        <w:rPr>
          <w:rFonts w:ascii="Arial" w:hAnsi="Arial" w:cs="Arial"/>
        </w:rPr>
        <w:t xml:space="preserve"> registrada como un CAM-ICU positivo fue del 9,6% (n= 32). Sólo el 33,8% de los registros corresponden a evaluaciones en días-paciente</w:t>
      </w:r>
      <w:r w:rsidR="00A54467" w:rsidRPr="006F33AE">
        <w:rPr>
          <w:rFonts w:ascii="Arial" w:hAnsi="Arial" w:cs="Arial"/>
        </w:rPr>
        <w:t xml:space="preserve"> </w:t>
      </w:r>
      <w:r w:rsidRPr="006F33AE">
        <w:rPr>
          <w:rFonts w:ascii="Arial" w:hAnsi="Arial" w:cs="Arial"/>
        </w:rPr>
        <w:t xml:space="preserve">que recibieron VMI. El </w:t>
      </w:r>
      <w:r w:rsidR="00187F68" w:rsidRPr="006F33AE">
        <w:rPr>
          <w:rFonts w:ascii="Arial" w:hAnsi="Arial" w:cs="Arial"/>
        </w:rPr>
        <w:t xml:space="preserve">98,5% (n= 329) de los registros los realizó el </w:t>
      </w:r>
      <w:r w:rsidRPr="006F33AE">
        <w:rPr>
          <w:rFonts w:ascii="Arial" w:hAnsi="Arial" w:cs="Arial"/>
        </w:rPr>
        <w:t xml:space="preserve">profesional kinesiólogo de UCI </w:t>
      </w:r>
      <w:r w:rsidRPr="006F33AE">
        <w:rPr>
          <w:rFonts w:ascii="Arial" w:hAnsi="Arial" w:cs="Arial"/>
          <w:lang w:val="es-ES"/>
        </w:rPr>
        <w:t>(</w:t>
      </w:r>
      <w:r w:rsidRPr="006F33AE">
        <w:rPr>
          <w:rFonts w:ascii="Arial" w:hAnsi="Arial" w:cs="Arial"/>
          <w:b/>
          <w:lang w:val="es-ES"/>
        </w:rPr>
        <w:t xml:space="preserve">Tabla </w:t>
      </w:r>
      <w:r w:rsidR="00187F68" w:rsidRPr="006F33AE">
        <w:rPr>
          <w:rFonts w:ascii="Arial" w:hAnsi="Arial" w:cs="Arial"/>
          <w:b/>
          <w:lang w:val="es-ES"/>
        </w:rPr>
        <w:t>3</w:t>
      </w:r>
      <w:r w:rsidRPr="006F33AE">
        <w:rPr>
          <w:rFonts w:ascii="Arial" w:hAnsi="Arial" w:cs="Arial"/>
          <w:lang w:val="es-ES"/>
        </w:rPr>
        <w:t>).</w:t>
      </w:r>
    </w:p>
    <w:p w14:paraId="526840A0" w14:textId="77777777" w:rsidR="00DA6CC5" w:rsidRPr="006F33AE" w:rsidRDefault="00DA6CC5" w:rsidP="00CF7655">
      <w:pPr>
        <w:spacing w:line="480" w:lineRule="auto"/>
        <w:rPr>
          <w:rFonts w:ascii="Arial" w:hAnsi="Arial" w:cs="Arial"/>
        </w:rPr>
      </w:pPr>
    </w:p>
    <w:p w14:paraId="70BAC8AF" w14:textId="4DD76FA0" w:rsidR="00CF7655" w:rsidRPr="006F33AE" w:rsidRDefault="00CF7655" w:rsidP="00CF7655">
      <w:pPr>
        <w:spacing w:line="480" w:lineRule="auto"/>
        <w:rPr>
          <w:rFonts w:ascii="Arial" w:hAnsi="Arial" w:cs="Arial"/>
          <w:b/>
        </w:rPr>
      </w:pPr>
      <w:r w:rsidRPr="006F33AE">
        <w:rPr>
          <w:rFonts w:ascii="Arial" w:hAnsi="Arial" w:cs="Arial"/>
          <w:b/>
        </w:rPr>
        <w:t>Elemento “E”; Movilización temprana</w:t>
      </w:r>
    </w:p>
    <w:p w14:paraId="48B1CFDE" w14:textId="03205C0B" w:rsidR="00CF7655" w:rsidRPr="006F33AE" w:rsidRDefault="00CF7655" w:rsidP="004C4FD0">
      <w:pPr>
        <w:spacing w:line="480" w:lineRule="auto"/>
        <w:ind w:left="57"/>
        <w:rPr>
          <w:rFonts w:ascii="Arial" w:hAnsi="Arial" w:cs="Arial"/>
        </w:rPr>
      </w:pPr>
      <w:r w:rsidRPr="006F33AE">
        <w:rPr>
          <w:rFonts w:ascii="Arial" w:hAnsi="Arial" w:cs="Arial"/>
        </w:rPr>
        <w:t xml:space="preserve">En el 66,9% (n= 600) de los días-paciente elegibles se registró al menos una sesión de movilización temprana. </w:t>
      </w:r>
      <w:r w:rsidR="00187F68" w:rsidRPr="006F33AE">
        <w:rPr>
          <w:rFonts w:ascii="Arial" w:hAnsi="Arial" w:cs="Arial"/>
        </w:rPr>
        <w:t>E</w:t>
      </w:r>
      <w:r w:rsidRPr="006F33AE">
        <w:rPr>
          <w:rFonts w:ascii="Arial" w:hAnsi="Arial" w:cs="Arial"/>
        </w:rPr>
        <w:t xml:space="preserve">l 13% (n= 203) de las modalidades de terapia física se implementaron en días-paciente que recibieron VMI, siendo las más registradas la movilidad pasiva en cama </w:t>
      </w:r>
      <w:r w:rsidR="00187F68" w:rsidRPr="006F33AE">
        <w:rPr>
          <w:rFonts w:ascii="Arial" w:hAnsi="Arial" w:cs="Arial"/>
        </w:rPr>
        <w:t>(</w:t>
      </w:r>
      <w:r w:rsidRPr="006F33AE">
        <w:rPr>
          <w:rFonts w:ascii="Arial" w:hAnsi="Arial" w:cs="Arial"/>
        </w:rPr>
        <w:t>56,2%</w:t>
      </w:r>
      <w:r w:rsidR="00187F68" w:rsidRPr="006F33AE">
        <w:rPr>
          <w:rFonts w:ascii="Arial" w:hAnsi="Arial" w:cs="Arial"/>
        </w:rPr>
        <w:t>,</w:t>
      </w:r>
      <w:r w:rsidRPr="006F33AE">
        <w:rPr>
          <w:rFonts w:ascii="Arial" w:hAnsi="Arial" w:cs="Arial"/>
        </w:rPr>
        <w:t xml:space="preserve"> n= 114), </w:t>
      </w:r>
      <w:r w:rsidR="00187F68" w:rsidRPr="006F33AE">
        <w:rPr>
          <w:rFonts w:ascii="Arial" w:hAnsi="Arial" w:cs="Arial"/>
        </w:rPr>
        <w:t xml:space="preserve">y </w:t>
      </w:r>
      <w:r w:rsidRPr="006F33AE">
        <w:rPr>
          <w:rFonts w:ascii="Arial" w:hAnsi="Arial" w:cs="Arial"/>
        </w:rPr>
        <w:t xml:space="preserve">la movilidad </w:t>
      </w:r>
      <w:r w:rsidRPr="006F33AE">
        <w:rPr>
          <w:rFonts w:ascii="Arial" w:hAnsi="Arial" w:cs="Arial"/>
        </w:rPr>
        <w:lastRenderedPageBreak/>
        <w:t xml:space="preserve">activa en cama </w:t>
      </w:r>
      <w:r w:rsidR="00187F68" w:rsidRPr="006F33AE">
        <w:rPr>
          <w:rFonts w:ascii="Arial" w:hAnsi="Arial" w:cs="Arial"/>
        </w:rPr>
        <w:t>(</w:t>
      </w:r>
      <w:r w:rsidRPr="006F33AE">
        <w:rPr>
          <w:rFonts w:ascii="Arial" w:hAnsi="Arial" w:cs="Arial"/>
        </w:rPr>
        <w:t>26,6%</w:t>
      </w:r>
      <w:r w:rsidR="00187F68" w:rsidRPr="006F33AE">
        <w:rPr>
          <w:rFonts w:ascii="Arial" w:hAnsi="Arial" w:cs="Arial"/>
        </w:rPr>
        <w:t>,</w:t>
      </w:r>
      <w:r w:rsidRPr="006F33AE">
        <w:rPr>
          <w:rFonts w:ascii="Arial" w:hAnsi="Arial" w:cs="Arial"/>
        </w:rPr>
        <w:t xml:space="preserve"> n= 54). </w:t>
      </w:r>
      <w:r w:rsidR="0095673D" w:rsidRPr="006F33AE">
        <w:rPr>
          <w:rFonts w:ascii="Arial" w:hAnsi="Arial" w:cs="Arial"/>
        </w:rPr>
        <w:t xml:space="preserve">El </w:t>
      </w:r>
      <w:r w:rsidR="00187F68" w:rsidRPr="006F33AE">
        <w:rPr>
          <w:rFonts w:ascii="Arial" w:hAnsi="Arial" w:cs="Arial"/>
        </w:rPr>
        <w:t>92,4% (n =692) de los registros los realizó e</w:t>
      </w:r>
      <w:r w:rsidRPr="006F33AE">
        <w:rPr>
          <w:rFonts w:ascii="Arial" w:hAnsi="Arial" w:cs="Arial"/>
        </w:rPr>
        <w:t xml:space="preserve">l kinesiólogo de UCI </w:t>
      </w:r>
      <w:r w:rsidRPr="006F33AE">
        <w:rPr>
          <w:rFonts w:ascii="Arial" w:hAnsi="Arial" w:cs="Arial"/>
          <w:lang w:val="es-ES"/>
        </w:rPr>
        <w:t>(</w:t>
      </w:r>
      <w:r w:rsidRPr="006F33AE">
        <w:rPr>
          <w:rFonts w:ascii="Arial" w:hAnsi="Arial" w:cs="Arial"/>
          <w:b/>
          <w:lang w:val="es-ES"/>
        </w:rPr>
        <w:t xml:space="preserve">Tabla </w:t>
      </w:r>
      <w:r w:rsidR="00187F68" w:rsidRPr="006F33AE">
        <w:rPr>
          <w:rFonts w:ascii="Arial" w:hAnsi="Arial" w:cs="Arial"/>
          <w:b/>
          <w:lang w:val="es-ES"/>
        </w:rPr>
        <w:t>4</w:t>
      </w:r>
      <w:r w:rsidRPr="006F33AE">
        <w:rPr>
          <w:rFonts w:ascii="Arial" w:hAnsi="Arial" w:cs="Arial"/>
          <w:lang w:val="es-ES"/>
        </w:rPr>
        <w:t>).</w:t>
      </w:r>
    </w:p>
    <w:p w14:paraId="68805FDF" w14:textId="77777777" w:rsidR="00D708CE" w:rsidRPr="006F33AE" w:rsidRDefault="00D708CE" w:rsidP="00CF7655">
      <w:pPr>
        <w:spacing w:line="480" w:lineRule="auto"/>
        <w:rPr>
          <w:rFonts w:ascii="Arial" w:hAnsi="Arial" w:cs="Arial"/>
        </w:rPr>
      </w:pPr>
    </w:p>
    <w:p w14:paraId="10D03C07" w14:textId="4862F9E0" w:rsidR="00CF7655" w:rsidRPr="006F33AE" w:rsidRDefault="00CF7655" w:rsidP="00CF7655">
      <w:pPr>
        <w:spacing w:line="480" w:lineRule="auto"/>
        <w:rPr>
          <w:rFonts w:ascii="Arial" w:hAnsi="Arial" w:cs="Arial"/>
          <w:b/>
          <w:lang w:val="es-ES"/>
        </w:rPr>
      </w:pPr>
      <w:r w:rsidRPr="006F33AE">
        <w:rPr>
          <w:rFonts w:ascii="Arial" w:hAnsi="Arial" w:cs="Arial"/>
          <w:b/>
        </w:rPr>
        <w:t xml:space="preserve">Elemento “F”; </w:t>
      </w:r>
      <w:r w:rsidR="00A4509E" w:rsidRPr="006F33AE">
        <w:rPr>
          <w:rFonts w:ascii="Arial" w:hAnsi="Arial" w:cs="Arial"/>
          <w:b/>
        </w:rPr>
        <w:t>Empoderamiento</w:t>
      </w:r>
      <w:r w:rsidR="001F5CD8" w:rsidRPr="006F33AE">
        <w:rPr>
          <w:rFonts w:ascii="Arial" w:hAnsi="Arial" w:cs="Arial"/>
          <w:b/>
        </w:rPr>
        <w:t xml:space="preserve"> </w:t>
      </w:r>
      <w:r w:rsidRPr="006F33AE">
        <w:rPr>
          <w:rFonts w:ascii="Arial" w:hAnsi="Arial" w:cs="Arial"/>
          <w:b/>
        </w:rPr>
        <w:t>familiar</w:t>
      </w:r>
    </w:p>
    <w:p w14:paraId="30A1A799" w14:textId="04840C53" w:rsidR="00CF7655" w:rsidRDefault="00CF7655" w:rsidP="00DA6CC5">
      <w:pPr>
        <w:spacing w:line="480" w:lineRule="auto"/>
        <w:ind w:left="57"/>
        <w:rPr>
          <w:rFonts w:ascii="Arial" w:hAnsi="Arial" w:cs="Arial"/>
        </w:rPr>
      </w:pPr>
      <w:r w:rsidRPr="006F33AE">
        <w:rPr>
          <w:rFonts w:ascii="Arial" w:hAnsi="Arial" w:cs="Arial"/>
        </w:rPr>
        <w:t xml:space="preserve">Sólo hubo 2 registros relacionados a este ítem correspondiente al 0,17%, donde se realizó una atención relacionada con el </w:t>
      </w:r>
      <w:r w:rsidR="006F33AE">
        <w:rPr>
          <w:rFonts w:ascii="Arial" w:hAnsi="Arial" w:cs="Arial"/>
          <w:i/>
          <w:iCs/>
        </w:rPr>
        <w:t>“bundle”</w:t>
      </w:r>
      <w:r w:rsidRPr="006F33AE">
        <w:rPr>
          <w:rFonts w:ascii="Arial" w:hAnsi="Arial" w:cs="Arial"/>
        </w:rPr>
        <w:t>, ambas implementadas por el kinesiólogo de UCI</w:t>
      </w:r>
      <w:r w:rsidR="001F5CD8" w:rsidRPr="006F33AE">
        <w:rPr>
          <w:rFonts w:ascii="Arial" w:hAnsi="Arial" w:cs="Arial"/>
        </w:rPr>
        <w:t xml:space="preserve"> </w:t>
      </w:r>
      <w:r w:rsidRPr="006F33AE">
        <w:rPr>
          <w:rFonts w:ascii="Arial" w:hAnsi="Arial" w:cs="Arial"/>
          <w:lang w:val="es-ES"/>
        </w:rPr>
        <w:t>(</w:t>
      </w:r>
      <w:r w:rsidR="00357580" w:rsidRPr="006F33AE">
        <w:rPr>
          <w:rFonts w:ascii="Arial" w:hAnsi="Arial" w:cs="Arial"/>
          <w:b/>
          <w:lang w:val="es-ES"/>
        </w:rPr>
        <w:t xml:space="preserve">MDS Resultados 1, </w:t>
      </w:r>
      <w:r w:rsidRPr="006F33AE">
        <w:rPr>
          <w:rFonts w:ascii="Arial" w:hAnsi="Arial" w:cs="Arial"/>
          <w:b/>
          <w:lang w:val="es-ES"/>
        </w:rPr>
        <w:t xml:space="preserve">Tabla </w:t>
      </w:r>
      <w:r w:rsidR="00105895" w:rsidRPr="006F33AE">
        <w:rPr>
          <w:rFonts w:ascii="Arial" w:hAnsi="Arial" w:cs="Arial"/>
          <w:b/>
          <w:lang w:val="es-ES"/>
        </w:rPr>
        <w:t>4</w:t>
      </w:r>
      <w:r w:rsidRPr="006F33AE">
        <w:rPr>
          <w:rFonts w:ascii="Arial" w:hAnsi="Arial" w:cs="Arial"/>
          <w:lang w:val="es-ES"/>
        </w:rPr>
        <w:t>).</w:t>
      </w:r>
    </w:p>
    <w:p w14:paraId="4337A43B" w14:textId="77777777" w:rsidR="001844DD" w:rsidRPr="006F33AE" w:rsidRDefault="001844DD" w:rsidP="00CF7655">
      <w:pPr>
        <w:spacing w:line="480" w:lineRule="auto"/>
        <w:rPr>
          <w:rFonts w:ascii="Arial" w:hAnsi="Arial" w:cs="Arial"/>
        </w:rPr>
      </w:pPr>
    </w:p>
    <w:p w14:paraId="44A75FC4" w14:textId="77777777" w:rsidR="00CF7655" w:rsidRPr="006F33AE" w:rsidRDefault="00CF7655" w:rsidP="00CF7655">
      <w:pPr>
        <w:spacing w:line="480" w:lineRule="auto"/>
        <w:rPr>
          <w:rFonts w:ascii="Arial" w:hAnsi="Arial" w:cs="Arial"/>
          <w:b/>
          <w:lang w:val="es-ES"/>
        </w:rPr>
      </w:pPr>
      <w:r w:rsidRPr="006F33AE">
        <w:rPr>
          <w:rFonts w:ascii="Arial" w:hAnsi="Arial" w:cs="Arial"/>
          <w:b/>
          <w:lang w:val="es-ES"/>
        </w:rPr>
        <w:t>Resultado encuesta administrativa a profesionales UCI quirúrgica adulto.</w:t>
      </w:r>
    </w:p>
    <w:p w14:paraId="6411AB1B" w14:textId="239AC218" w:rsidR="00CF7655" w:rsidRPr="006F33AE" w:rsidRDefault="00CF7655" w:rsidP="004C4FD0">
      <w:pPr>
        <w:spacing w:line="480" w:lineRule="auto"/>
        <w:ind w:left="57"/>
        <w:rPr>
          <w:rFonts w:ascii="Arial" w:hAnsi="Arial" w:cs="Arial"/>
          <w:lang w:val="es-ES"/>
        </w:rPr>
      </w:pPr>
      <w:r w:rsidRPr="006F33AE">
        <w:rPr>
          <w:rFonts w:ascii="Arial" w:hAnsi="Arial" w:cs="Arial"/>
          <w:lang w:val="es-ES"/>
        </w:rPr>
        <w:t>La tasa de respuesta fue del 65% y</w:t>
      </w:r>
      <w:r w:rsidR="00A54467" w:rsidRPr="006F33AE">
        <w:rPr>
          <w:rFonts w:ascii="Arial" w:hAnsi="Arial" w:cs="Arial"/>
          <w:lang w:val="es-ES"/>
        </w:rPr>
        <w:t xml:space="preserve"> </w:t>
      </w:r>
      <w:r w:rsidRPr="006F33AE">
        <w:rPr>
          <w:rFonts w:ascii="Arial" w:hAnsi="Arial" w:cs="Arial"/>
          <w:lang w:val="es-ES"/>
        </w:rPr>
        <w:t xml:space="preserve">fue contestada por 15 profesionales. Los resultados en detalle se encuentran en el </w:t>
      </w:r>
      <w:r w:rsidR="00D708CE" w:rsidRPr="006F33AE">
        <w:rPr>
          <w:rFonts w:ascii="Arial" w:hAnsi="Arial" w:cs="Arial"/>
          <w:b/>
          <w:lang w:val="es-ES"/>
        </w:rPr>
        <w:t>MDS Resultado 2</w:t>
      </w:r>
      <w:r w:rsidRPr="006F33AE">
        <w:rPr>
          <w:rFonts w:ascii="Arial" w:hAnsi="Arial" w:cs="Arial"/>
          <w:b/>
          <w:lang w:val="es-ES"/>
        </w:rPr>
        <w:t>.</w:t>
      </w:r>
    </w:p>
    <w:p w14:paraId="14DE20E6" w14:textId="77777777" w:rsidR="00CF7655" w:rsidRPr="006F33AE" w:rsidRDefault="00CF7655" w:rsidP="00CF7655">
      <w:pPr>
        <w:spacing w:line="480" w:lineRule="auto"/>
        <w:rPr>
          <w:rFonts w:ascii="Arial" w:hAnsi="Arial" w:cs="Arial"/>
          <w:b/>
          <w:lang w:val="es-ES"/>
        </w:rPr>
      </w:pPr>
    </w:p>
    <w:p w14:paraId="28A0D539" w14:textId="2182EA76" w:rsidR="00CF7655" w:rsidRPr="006F33AE" w:rsidRDefault="00944EA0" w:rsidP="00CF7655">
      <w:pPr>
        <w:spacing w:line="480" w:lineRule="auto"/>
        <w:rPr>
          <w:rFonts w:ascii="Arial" w:hAnsi="Arial" w:cs="Arial"/>
          <w:b/>
          <w:lang w:val="es-ES"/>
        </w:rPr>
      </w:pPr>
      <w:r w:rsidRPr="006F33AE">
        <w:rPr>
          <w:rFonts w:ascii="Arial" w:hAnsi="Arial" w:cs="Arial"/>
          <w:b/>
          <w:lang w:val="es-ES"/>
        </w:rPr>
        <w:t>DISCUSIÓN</w:t>
      </w:r>
    </w:p>
    <w:p w14:paraId="3D20B1FE" w14:textId="40CAAAB8" w:rsidR="00CF7655" w:rsidRPr="006F33AE" w:rsidRDefault="00A831E2" w:rsidP="004C4FD0">
      <w:pPr>
        <w:spacing w:line="480" w:lineRule="auto"/>
        <w:ind w:left="57"/>
        <w:rPr>
          <w:rFonts w:ascii="Arial" w:hAnsi="Arial" w:cs="Arial"/>
          <w:lang w:val="es-ES"/>
        </w:rPr>
      </w:pPr>
      <w:r w:rsidRPr="006F33AE">
        <w:rPr>
          <w:rFonts w:ascii="Arial" w:hAnsi="Arial" w:cs="Arial"/>
          <w:lang w:val="es-ES"/>
        </w:rPr>
        <w:t>Este estudio</w:t>
      </w:r>
      <w:r w:rsidR="00CF7655" w:rsidRPr="006F33AE">
        <w:rPr>
          <w:rFonts w:ascii="Arial" w:hAnsi="Arial" w:cs="Arial"/>
          <w:lang w:val="es-ES"/>
        </w:rPr>
        <w:t xml:space="preserve"> </w:t>
      </w:r>
      <w:r w:rsidR="001F5CD8" w:rsidRPr="006F33AE">
        <w:rPr>
          <w:rFonts w:ascii="Arial" w:hAnsi="Arial" w:cs="Arial"/>
          <w:lang w:val="es-ES"/>
        </w:rPr>
        <w:t xml:space="preserve">identificó </w:t>
      </w:r>
      <w:r w:rsidR="00CF7655" w:rsidRPr="006F33AE">
        <w:rPr>
          <w:rFonts w:ascii="Arial" w:hAnsi="Arial" w:cs="Arial"/>
          <w:lang w:val="es-ES"/>
        </w:rPr>
        <w:t xml:space="preserve">un bajo cumplimiento del </w:t>
      </w:r>
      <w:r w:rsidR="006F33AE">
        <w:rPr>
          <w:rFonts w:ascii="Arial" w:hAnsi="Arial" w:cs="Arial"/>
          <w:i/>
          <w:iCs/>
          <w:lang w:val="es-ES"/>
        </w:rPr>
        <w:t>“</w:t>
      </w:r>
      <w:proofErr w:type="spellStart"/>
      <w:r w:rsidR="006F33AE">
        <w:rPr>
          <w:rFonts w:ascii="Arial" w:hAnsi="Arial" w:cs="Arial"/>
          <w:i/>
          <w:iCs/>
          <w:lang w:val="es-ES"/>
        </w:rPr>
        <w:t>bundle</w:t>
      </w:r>
      <w:proofErr w:type="spellEnd"/>
      <w:r w:rsidR="006F33AE">
        <w:rPr>
          <w:rFonts w:ascii="Arial" w:hAnsi="Arial" w:cs="Arial"/>
          <w:i/>
          <w:iCs/>
          <w:lang w:val="es-ES"/>
        </w:rPr>
        <w:t>”</w:t>
      </w:r>
      <w:r w:rsidR="00CF7655" w:rsidRPr="006F33AE">
        <w:rPr>
          <w:rFonts w:ascii="Arial" w:hAnsi="Arial" w:cs="Arial"/>
          <w:lang w:val="es-ES"/>
        </w:rPr>
        <w:t xml:space="preserve"> </w:t>
      </w:r>
      <w:r w:rsidR="00185B72" w:rsidRPr="006F33AE">
        <w:rPr>
          <w:rFonts w:ascii="Arial" w:hAnsi="Arial" w:cs="Arial"/>
          <w:lang w:val="es-ES"/>
        </w:rPr>
        <w:t xml:space="preserve">. </w:t>
      </w:r>
      <w:r w:rsidR="00CF7655" w:rsidRPr="006F33AE">
        <w:rPr>
          <w:rFonts w:ascii="Arial" w:hAnsi="Arial" w:cs="Arial"/>
          <w:lang w:val="es-ES"/>
        </w:rPr>
        <w:t>Los elementos “E”</w:t>
      </w:r>
      <w:r w:rsidR="00A4509E" w:rsidRPr="006F33AE">
        <w:rPr>
          <w:rFonts w:ascii="Arial" w:hAnsi="Arial" w:cs="Arial"/>
          <w:lang w:val="es-ES"/>
        </w:rPr>
        <w:t xml:space="preserve"> (66.9%)</w:t>
      </w:r>
      <w:r w:rsidR="00CF7655" w:rsidRPr="006F33AE">
        <w:rPr>
          <w:rFonts w:ascii="Arial" w:hAnsi="Arial" w:cs="Arial"/>
          <w:lang w:val="es-ES"/>
        </w:rPr>
        <w:t>, “C”</w:t>
      </w:r>
      <w:r w:rsidR="00A4509E" w:rsidRPr="006F33AE">
        <w:rPr>
          <w:rFonts w:ascii="Arial" w:hAnsi="Arial" w:cs="Arial"/>
          <w:lang w:val="es-ES"/>
        </w:rPr>
        <w:t xml:space="preserve"> (40,4%) </w:t>
      </w:r>
      <w:r w:rsidR="00CF7655" w:rsidRPr="006F33AE">
        <w:rPr>
          <w:rFonts w:ascii="Arial" w:hAnsi="Arial" w:cs="Arial"/>
          <w:lang w:val="es-ES"/>
        </w:rPr>
        <w:t xml:space="preserve">y “D” </w:t>
      </w:r>
      <w:r w:rsidR="00A4509E" w:rsidRPr="006F33AE">
        <w:rPr>
          <w:rFonts w:ascii="Arial" w:hAnsi="Arial" w:cs="Arial"/>
          <w:lang w:val="es-ES"/>
        </w:rPr>
        <w:t xml:space="preserve">(24%) </w:t>
      </w:r>
      <w:r w:rsidR="00CF7655" w:rsidRPr="006F33AE">
        <w:rPr>
          <w:rFonts w:ascii="Arial" w:hAnsi="Arial" w:cs="Arial"/>
          <w:lang w:val="es-ES"/>
        </w:rPr>
        <w:t xml:space="preserve">fueron </w:t>
      </w:r>
      <w:r w:rsidR="001F5CD8" w:rsidRPr="006F33AE">
        <w:rPr>
          <w:rFonts w:ascii="Arial" w:hAnsi="Arial" w:cs="Arial"/>
          <w:lang w:val="es-ES"/>
        </w:rPr>
        <w:t>identificados con</w:t>
      </w:r>
      <w:r w:rsidR="00CF7655" w:rsidRPr="006F33AE">
        <w:rPr>
          <w:rFonts w:ascii="Arial" w:hAnsi="Arial" w:cs="Arial"/>
          <w:lang w:val="es-ES"/>
        </w:rPr>
        <w:t xml:space="preserve"> mayor cumplimiento, mientras que los elementos “A”</w:t>
      </w:r>
      <w:r w:rsidR="00A4509E" w:rsidRPr="006F33AE">
        <w:rPr>
          <w:rFonts w:ascii="Arial" w:hAnsi="Arial" w:cs="Arial"/>
          <w:lang w:val="es-ES"/>
        </w:rPr>
        <w:t xml:space="preserve"> (13,9%) </w:t>
      </w:r>
      <w:r w:rsidR="00CF7655" w:rsidRPr="006F33AE">
        <w:rPr>
          <w:rFonts w:ascii="Arial" w:hAnsi="Arial" w:cs="Arial"/>
          <w:lang w:val="es-ES"/>
        </w:rPr>
        <w:t>y “B2”</w:t>
      </w:r>
      <w:r w:rsidR="00A4509E" w:rsidRPr="006F33AE">
        <w:rPr>
          <w:rFonts w:ascii="Arial" w:hAnsi="Arial" w:cs="Arial"/>
          <w:lang w:val="es-ES"/>
        </w:rPr>
        <w:t xml:space="preserve"> (10,5%) </w:t>
      </w:r>
      <w:r w:rsidR="00CF7655" w:rsidRPr="006F33AE">
        <w:rPr>
          <w:rFonts w:ascii="Arial" w:hAnsi="Arial" w:cs="Arial"/>
          <w:lang w:val="es-ES"/>
        </w:rPr>
        <w:t xml:space="preserve">fueron </w:t>
      </w:r>
      <w:r w:rsidRPr="006F33AE">
        <w:rPr>
          <w:rFonts w:ascii="Arial" w:hAnsi="Arial" w:cs="Arial"/>
          <w:lang w:val="es-ES"/>
        </w:rPr>
        <w:t xml:space="preserve">los </w:t>
      </w:r>
      <w:r w:rsidR="001F5CD8" w:rsidRPr="006F33AE">
        <w:rPr>
          <w:rFonts w:ascii="Arial" w:hAnsi="Arial" w:cs="Arial"/>
          <w:lang w:val="es-ES"/>
        </w:rPr>
        <w:t>con</w:t>
      </w:r>
      <w:r w:rsidR="00CF7655" w:rsidRPr="006F33AE">
        <w:rPr>
          <w:rFonts w:ascii="Arial" w:hAnsi="Arial" w:cs="Arial"/>
          <w:lang w:val="es-ES"/>
        </w:rPr>
        <w:t xml:space="preserve"> menor cumplimiento. </w:t>
      </w:r>
      <w:r w:rsidR="001F5CD8" w:rsidRPr="006F33AE">
        <w:rPr>
          <w:rFonts w:ascii="Arial" w:hAnsi="Arial" w:cs="Arial"/>
          <w:lang w:val="es-ES"/>
        </w:rPr>
        <w:t xml:space="preserve">Para </w:t>
      </w:r>
      <w:r w:rsidR="00CF7655" w:rsidRPr="006F33AE">
        <w:rPr>
          <w:rFonts w:ascii="Arial" w:hAnsi="Arial" w:cs="Arial"/>
          <w:lang w:val="es-ES"/>
        </w:rPr>
        <w:t xml:space="preserve">el elemento “B1” </w:t>
      </w:r>
      <w:r w:rsidR="001F5CD8" w:rsidRPr="006F33AE">
        <w:rPr>
          <w:rFonts w:ascii="Arial" w:hAnsi="Arial" w:cs="Arial"/>
          <w:lang w:val="es-ES"/>
        </w:rPr>
        <w:t xml:space="preserve">y </w:t>
      </w:r>
      <w:r w:rsidR="00CF7655" w:rsidRPr="006F33AE">
        <w:rPr>
          <w:rFonts w:ascii="Arial" w:hAnsi="Arial" w:cs="Arial"/>
          <w:lang w:val="es-ES"/>
        </w:rPr>
        <w:t xml:space="preserve">el “F” </w:t>
      </w:r>
      <w:r w:rsidR="001F5CD8" w:rsidRPr="006F33AE">
        <w:rPr>
          <w:rFonts w:ascii="Arial" w:hAnsi="Arial" w:cs="Arial"/>
          <w:lang w:val="es-ES"/>
        </w:rPr>
        <w:t xml:space="preserve">se identificó </w:t>
      </w:r>
      <w:r w:rsidR="00CF7655" w:rsidRPr="006F33AE">
        <w:rPr>
          <w:rFonts w:ascii="Arial" w:hAnsi="Arial" w:cs="Arial"/>
          <w:lang w:val="es-ES"/>
        </w:rPr>
        <w:t>un 0% de cumplimiento.</w:t>
      </w:r>
    </w:p>
    <w:p w14:paraId="2A591F49" w14:textId="77777777" w:rsidR="00CF7655" w:rsidRPr="006F33AE" w:rsidRDefault="00CF7655" w:rsidP="00CF7655">
      <w:pPr>
        <w:spacing w:line="480" w:lineRule="auto"/>
        <w:rPr>
          <w:rFonts w:ascii="Arial" w:hAnsi="Arial" w:cs="Arial"/>
          <w:b/>
          <w:lang w:val="es-ES"/>
        </w:rPr>
      </w:pPr>
    </w:p>
    <w:p w14:paraId="38120E55" w14:textId="6C0E79D5" w:rsidR="00CF7655" w:rsidRPr="006F33AE" w:rsidRDefault="007E5AF7" w:rsidP="004C4FD0">
      <w:pPr>
        <w:spacing w:line="480" w:lineRule="auto"/>
        <w:ind w:left="57"/>
        <w:rPr>
          <w:rFonts w:ascii="Arial" w:hAnsi="Arial" w:cs="Arial"/>
          <w:lang w:val="es-ES"/>
        </w:rPr>
      </w:pPr>
      <w:r w:rsidRPr="006F33AE">
        <w:rPr>
          <w:rFonts w:ascii="Arial" w:hAnsi="Arial" w:cs="Arial"/>
          <w:lang w:val="es-ES"/>
        </w:rPr>
        <w:t>En términos generales e</w:t>
      </w:r>
      <w:r w:rsidR="00CF7655" w:rsidRPr="006F33AE">
        <w:rPr>
          <w:rFonts w:ascii="Arial" w:hAnsi="Arial" w:cs="Arial"/>
          <w:lang w:val="es-ES"/>
        </w:rPr>
        <w:t xml:space="preserve">l cumplimiento del </w:t>
      </w:r>
      <w:r w:rsidR="00AD58D7" w:rsidRPr="006F33AE">
        <w:rPr>
          <w:rFonts w:ascii="Arial" w:hAnsi="Arial" w:cs="Arial"/>
          <w:lang w:val="es-ES"/>
        </w:rPr>
        <w:t>“</w:t>
      </w:r>
      <w:proofErr w:type="spellStart"/>
      <w:r w:rsidR="00AD58D7" w:rsidRPr="006F33AE">
        <w:rPr>
          <w:rFonts w:ascii="Arial" w:hAnsi="Arial" w:cs="Arial"/>
          <w:lang w:val="es-ES"/>
        </w:rPr>
        <w:t>bundle</w:t>
      </w:r>
      <w:proofErr w:type="spellEnd"/>
      <w:r w:rsidR="00AD58D7" w:rsidRPr="006F33AE">
        <w:rPr>
          <w:rFonts w:ascii="Arial" w:hAnsi="Arial" w:cs="Arial"/>
          <w:lang w:val="es-ES"/>
        </w:rPr>
        <w:t>”</w:t>
      </w:r>
      <w:r w:rsidR="00CF7655" w:rsidRPr="006F33AE">
        <w:rPr>
          <w:rFonts w:ascii="Arial" w:hAnsi="Arial" w:cs="Arial"/>
          <w:lang w:val="es-ES"/>
        </w:rPr>
        <w:t xml:space="preserve"> fue </w:t>
      </w:r>
      <w:r w:rsidR="00A831E2" w:rsidRPr="006F33AE">
        <w:rPr>
          <w:rFonts w:ascii="Arial" w:hAnsi="Arial" w:cs="Arial"/>
          <w:lang w:val="es-ES"/>
        </w:rPr>
        <w:t xml:space="preserve">mucho menor al </w:t>
      </w:r>
      <w:r w:rsidR="00CF7655" w:rsidRPr="006F33AE">
        <w:rPr>
          <w:rFonts w:ascii="Arial" w:hAnsi="Arial" w:cs="Arial"/>
          <w:lang w:val="es-ES"/>
        </w:rPr>
        <w:t>reportado por Pun y cols (2019)</w:t>
      </w:r>
      <w:r w:rsidR="00A831E2" w:rsidRPr="006F33AE">
        <w:rPr>
          <w:rFonts w:ascii="Arial" w:hAnsi="Arial" w:cs="Arial"/>
          <w:lang w:val="es-ES"/>
        </w:rPr>
        <w:t xml:space="preserve"> </w:t>
      </w:r>
      <w:r w:rsidR="00CF7655" w:rsidRPr="006F33AE">
        <w:rPr>
          <w:rFonts w:ascii="Arial" w:hAnsi="Arial" w:cs="Arial"/>
          <w:lang w:val="es-ES"/>
        </w:rPr>
        <w:fldChar w:fldCharType="begin" w:fldLock="1"/>
      </w:r>
      <w:r w:rsidR="00A4509E" w:rsidRPr="006F33AE">
        <w:rPr>
          <w:rFonts w:ascii="Arial" w:hAnsi="Arial" w:cs="Arial"/>
          <w:lang w:val="es-ES"/>
        </w:rPr>
        <w:instrText>ADDIN CSL_CITATION {"citationItems":[{"id":"ITEM-1","itemData":{"DOI":"10.1097/CCM.0000000000003482","ISBN":"0000000000","ISSN":"15300293","abstract":"Objective: Decades-old, common ICU practices including deep sedation, immobilization, and limited family access are being challenged. We endeavoured to evaluate the relationship between ABCDEF bundle performance and patient-centered outcomes in critical care. Design: Prospective, multicenter, cohort study from a national quality improvement collaborative. Setting: 68 academic, community, and federal ICUs collected data during a 20-month period. Patients: 15,226 adults with at least one ICU day. Interventions: We defined ABCDEF bundle performance (our main exposure) in two ways: 1) complete performance (patient received every eligible bundle element on any given day) and 2) proportional performance (percentage of eligible bundle elements performed on any given day). We explored the association between complete and proportional ABCDEF bundle performance and three sets of outcomes: patient-related (mortality, ICU and hospital discharge), symptom-related (mechanical ventilation, coma, delirium, pain, restraint use), and system-related (ICU readmission, discharge destination). All models were adjusted for a minimum of 18 a priori determined potential confounders. Measurements and Results: Complete ABCDEF bundle performance was associated with lower likelihood of seven outcomes: hospital death within 7 days (adjusted hazard ratio, 0.32; CI, 0.17-0.62), next-day mechanical ventilation (adjusted odds ratio [AOR], 0.28; CI, 0.22-0.36), coma (AOR, 0.35; CI, 0.22-0.56), delirium (AOR, 0.60; CI, 0.49-0.72), physical restraint use (AOR, 0.37; CI, 0.30-0.46), ICU readmission (AOR, 0.54; CI, 0.37-0.79), and discharge to a facility other than home (AOR, 0.64; CI, 0.51-0.80). There was a consistent dose-response relationship between higher proportional bundle performance and improvements in each of the above-mentioned clinical outcomes (all p &lt; 0.002). Significant pain was more frequently reported as bundle performance proportionally increased (p = 0.0001). Conclusions: ABCDEF bundle performance showed significant and clinically meaningful improvements in outcomes including survival, mechanical ventilation use, coma, delirium, restraint-free care, ICU readmissions, and post-ICU discharge disposition.","author":[{"dropping-particle":"","family":"Pun","given":"Brenda T.","non-dropping-particle":"","parse-names":false,"suffix":""},{"dropping-particle":"","family":"Balas","given":"Michele C.","non-dropping-particle":"","parse-names":false,"suffix":""},{"dropping-particle":"","family":"Barnes-Daly","given":"Mary Ann","non-dropping-particle":"","parse-names":false,"suffix":""},{"dropping-particle":"","family":"Thompson","given":"Jennifer L.","non-dropping-particle":"","parse-names":false,"suffix":""},{"dropping-particle":"","family":"Aldrich","given":"J. Matthew","non-dropping-particle":"","parse-names":false,"suffix":""},{"dropping-particle":"","family":"Barr","given":"Juliana","non-dropping-particle":"","parse-names":false,"suffix":""},{"dropping-particle":"","family":"Byrum","given":"Diane","non-dropping-particle":"","parse-names":false,"suffix":""},{"dropping-particle":"","family":"Carson","given":"Shannon S.","non-dropping-particle":"","parse-names":false,"suffix":""},{"dropping-particle":"","family":"Devlin","given":"John W.","non-dropping-particle":"","parse-names":false,"suffix":""},{"dropping-particle":"","family":"Engel","given":"Heidi J.","non-dropping-particle":"","parse-names":false,"suffix":""},{"dropping-particle":"","family":"Esbrook","given":"Cheryl L.","non-dropping-particle":"","parse-names":false,"suffix":""},{"dropping-particle":"","family":"Hargett","given":"Ken D.","non-dropping-particle":"","parse-names":false,"suffix":""},{"dropping-particle":"","family":"Harmon","given":"Lori","non-dropping-particle":"","parse-names":false,"suffix":""},{"dropping-particle":"","family":"Hielsberg","given":"Christina","non-dropping-particle":"","parse-names":false,"suffix":""},{"dropping-particle":"","family":"Jackson","given":"James C.","non-dropping-particle":"","parse-names":false,"suffix":""},{"dropping-particle":"","family":"Kelly","given":"Tamra L.","non-dropping-particle":"","parse-names":false,"suffix":""},{"dropping-particle":"","family":"Kumar","given":"Vishakha","non-dropping-particle":"","parse-names":false,"suffix":""},{"dropping-particle":"","family":"Millner","given":"Lawson","non-dropping-particle":"","parse-names":false,"suffix":""},{"dropping-particle":"","family":"Morse","given":"Alexandra","non-dropping-particle":"","parse-names":false,"suffix":""},{"dropping-particle":"","family":"Perme","given":"Christiane S.","non-dropping-particle":"","parse-names":false,"suffix":""},{"dropping-particle":"","family":"Posa","given":"Patricia J.","non-dropping-particle":"","parse-names":false,"suffix":""},{"dropping-particle":"","family":"Puntillo","given":"Kathleen A.","non-dropping-particle":"","parse-names":false,"suffix":""},{"dropping-particle":"","family":"Schweickert","given":"William D.","non-dropping-particle":"","parse-names":false,"suffix":""},{"dropping-particle":"","family":"Stollings","given":"Joanna L.","non-dropping-particle":"","parse-names":false,"suffix":""},{"dropping-particle":"","family":"Tan","given":"Alai","non-dropping-particle":"","parse-names":false,"suffix":""},{"dropping-particle":"","family":"D'Agostino McGowan","given":"Lucy","non-dropping-particle":"","parse-names":false,"suffix":""},{"dropping-particle":"","family":"Ely","given":"E. Wesley","non-dropping-particle":"","parse-names":false,"suffix":""}],"container-title":"Critical Care Medicine","id":"ITEM-1","issue":"1","issued":{"date-parts":[["2019"]]},"page":"3-14","title":"Caring for Critically Ill Patients with the ABCDEF Bundle: Results of the ICU Liberation Collaborative in Over 15,000 Adults","type":"article-journal","volume":"47"},"uris":["http://www.mendeley.com/documents/?uuid=c8708401-f3f9-4bfd-896c-b1ccb17bbdaa"]}],"mendeley":{"formattedCitation":"(4)","plainTextFormattedCitation":"(4)","previouslyFormattedCitation":"(4)"},"properties":{"noteIndex":0},"schema":"https://github.com/citation-style-language/schema/raw/master/csl-citation.json"}</w:instrText>
      </w:r>
      <w:r w:rsidR="00CF7655" w:rsidRPr="006F33AE">
        <w:rPr>
          <w:rFonts w:ascii="Arial" w:hAnsi="Arial" w:cs="Arial"/>
          <w:lang w:val="es-ES"/>
        </w:rPr>
        <w:fldChar w:fldCharType="separate"/>
      </w:r>
      <w:r w:rsidR="00A4509E" w:rsidRPr="006F33AE">
        <w:rPr>
          <w:rFonts w:ascii="Arial" w:hAnsi="Arial" w:cs="Arial"/>
          <w:noProof/>
          <w:lang w:val="es-ES"/>
        </w:rPr>
        <w:t>(4)</w:t>
      </w:r>
      <w:r w:rsidR="00CF7655" w:rsidRPr="006F33AE">
        <w:rPr>
          <w:rFonts w:ascii="Arial" w:hAnsi="Arial" w:cs="Arial"/>
        </w:rPr>
        <w:fldChar w:fldCharType="end"/>
      </w:r>
      <w:r w:rsidR="00CF7655" w:rsidRPr="006F33AE">
        <w:rPr>
          <w:rFonts w:ascii="Arial" w:hAnsi="Arial" w:cs="Arial"/>
          <w:lang w:val="es-ES"/>
        </w:rPr>
        <w:t xml:space="preserve">. Estas diferencias podrían explicarse debido al trabajo realizado por la </w:t>
      </w:r>
      <w:r w:rsidR="00CF7655" w:rsidRPr="006F33AE">
        <w:rPr>
          <w:rFonts w:ascii="Arial" w:hAnsi="Arial" w:cs="Arial"/>
          <w:i/>
          <w:lang w:val="es-ES"/>
        </w:rPr>
        <w:t>ICU Liberation Collaborative</w:t>
      </w:r>
      <w:r w:rsidR="00CF7655" w:rsidRPr="006F33AE">
        <w:rPr>
          <w:rFonts w:ascii="Arial" w:hAnsi="Arial" w:cs="Arial"/>
          <w:lang w:val="es-ES"/>
        </w:rPr>
        <w:t xml:space="preserve"> </w:t>
      </w:r>
      <w:r w:rsidR="00A831E2" w:rsidRPr="006F33AE">
        <w:rPr>
          <w:rFonts w:ascii="Arial" w:hAnsi="Arial" w:cs="Arial"/>
          <w:lang w:val="es-ES"/>
        </w:rPr>
        <w:t xml:space="preserve">para mejorar la </w:t>
      </w:r>
      <w:r w:rsidR="00A831E2" w:rsidRPr="006F33AE">
        <w:rPr>
          <w:rFonts w:ascii="Arial" w:hAnsi="Arial" w:cs="Arial"/>
          <w:lang w:val="es-ES"/>
        </w:rPr>
        <w:lastRenderedPageBreak/>
        <w:t xml:space="preserve">implementación del </w:t>
      </w:r>
      <w:r w:rsidR="00AD58D7" w:rsidRPr="006F33AE">
        <w:rPr>
          <w:rFonts w:ascii="Arial" w:hAnsi="Arial" w:cs="Arial"/>
          <w:lang w:val="es-ES"/>
        </w:rPr>
        <w:t>“</w:t>
      </w:r>
      <w:proofErr w:type="spellStart"/>
      <w:r w:rsidR="00AD58D7" w:rsidRPr="006F33AE">
        <w:rPr>
          <w:rFonts w:ascii="Arial" w:hAnsi="Arial" w:cs="Arial"/>
          <w:lang w:val="es-ES"/>
        </w:rPr>
        <w:t>bundle</w:t>
      </w:r>
      <w:proofErr w:type="spellEnd"/>
      <w:r w:rsidR="00AD58D7" w:rsidRPr="006F33AE">
        <w:rPr>
          <w:rFonts w:ascii="Arial" w:hAnsi="Arial" w:cs="Arial"/>
          <w:lang w:val="es-ES"/>
        </w:rPr>
        <w:t>”</w:t>
      </w:r>
      <w:r w:rsidR="00A831E2" w:rsidRPr="006F33AE">
        <w:rPr>
          <w:rFonts w:ascii="Arial" w:hAnsi="Arial" w:cs="Arial"/>
          <w:lang w:val="es-ES"/>
        </w:rPr>
        <w:t xml:space="preserve"> </w:t>
      </w:r>
      <w:r w:rsidR="00CF7655" w:rsidRPr="006F33AE">
        <w:rPr>
          <w:rFonts w:ascii="Arial" w:hAnsi="Arial" w:cs="Arial"/>
          <w:lang w:val="es-ES"/>
        </w:rPr>
        <w:t>durante 2 años</w:t>
      </w:r>
      <w:r w:rsidR="00D708CE" w:rsidRPr="006F33AE">
        <w:rPr>
          <w:rFonts w:ascii="Arial" w:hAnsi="Arial" w:cs="Arial"/>
          <w:lang w:val="es-ES"/>
        </w:rPr>
        <w:t xml:space="preserve"> </w:t>
      </w:r>
      <w:r w:rsidR="00A831E2" w:rsidRPr="006F33AE">
        <w:rPr>
          <w:rFonts w:ascii="Arial" w:hAnsi="Arial" w:cs="Arial"/>
          <w:lang w:val="es-ES"/>
        </w:rPr>
        <w:t xml:space="preserve">en </w:t>
      </w:r>
      <w:r w:rsidR="00CF7655" w:rsidRPr="006F33AE">
        <w:rPr>
          <w:rFonts w:ascii="Arial" w:hAnsi="Arial" w:cs="Arial"/>
          <w:lang w:val="es-ES"/>
        </w:rPr>
        <w:t xml:space="preserve">más de 68 UCI </w:t>
      </w:r>
      <w:r w:rsidR="00CF7655" w:rsidRPr="006F33AE">
        <w:rPr>
          <w:rFonts w:ascii="Arial" w:hAnsi="Arial" w:cs="Arial"/>
          <w:lang w:val="es-ES"/>
        </w:rPr>
        <w:fldChar w:fldCharType="begin" w:fldLock="1"/>
      </w:r>
      <w:r w:rsidR="00A4509E" w:rsidRPr="006F33AE">
        <w:rPr>
          <w:rFonts w:ascii="Arial" w:hAnsi="Arial" w:cs="Arial"/>
          <w:lang w:val="es-ES"/>
        </w:rPr>
        <w:instrText>ADDIN CSL_CITATION {"citationItems":[{"id":"ITEM-1","itemData":{"author":[{"dropping-particle":"","family":"Balas","given":"Michele C","non-dropping-particle":"","parse-names":false,"suffix":""},{"dropping-particle":"","family":"Pun","given":"Brenda T","non-dropping-particle":"","parse-names":false,"suffix":""},{"dropping-particle":"","family":"Engel","given":"Heidi J","non-dropping-particle":"","parse-names":false,"suffix":""},{"dropping-particle":"","family":"Perme","given":"Christiane","non-dropping-particle":"","parse-names":false,"suffix":""},{"dropping-particle":"","family":"Esbrook","given":"Cheryl L","non-dropping-particle":"","parse-names":false,"suffix":""},{"dropping-particle":"","family":"Otr","given":"L","non-dropping-particle":"","parse-names":false,"suffix":""},{"dropping-particle":"","family":"Kelly","given":"Tamra","non-dropping-particle":"","parse-names":false,"suffix":""},{"dropping-particle":"","family":"Hargett","given":"Ken D","non-dropping-particle":"","parse-names":false,"suffix":""},{"dropping-particle":"","family":"Posa","given":"Patricia J","non-dropping-particle":"","parse-names":false,"suffix":""},{"dropping-particle":"","family":"Barr","given":"Juliana","non-dropping-particle":"","parse-names":false,"suffix":""},{"dropping-particle":"","family":"Devlin","given":"John W","non-dropping-particle":"","parse-names":false,"suffix":""},{"dropping-particle":"","family":"Morse","given":"Alexandra","non-dropping-particle":"","parse-names":false,"suffix":""},{"dropping-particle":"","family":"Barnes-daly","given":"Mary Ann","non-dropping-particle":"","parse-names":false,"suffix":""},{"dropping-particle":"","family":"Aldrich","given":"J Matthew","non-dropping-particle":"","parse-names":false,"suffix":""},{"dropping-particle":"","family":"Schweickert","given":"William D","non-dropping-particle":"","parse-names":false,"suffix":""},{"dropping-particle":"","family":"Harmon","given":"Lori","non-dropping-particle":"","parse-names":false,"suffix":""},{"dropping-particle":"","family":"Byrum","given":"Diane G","non-dropping-particle":"","parse-names":false,"suffix":""},{"dropping-particle":"","family":"Carson","given":"Shannon S","non-dropping-particle":"","parse-names":false,"suffix":""},{"dropping-particle":"","family":"Ely","given":"E Wesley","non-dropping-particle":"","parse-names":false,"suffix":""},{"dropping-particle":"","family":"Stollings","given":"Joanna L","non-dropping-particle":"","parse-names":false,"suffix":""}],"id":"ITEM-1","issue":"1","issued":{"date-parts":[["2019"]]},"page":"46-61","title":"Evidence-Based Practice","type":"article-journal","volume":"39"},"uris":["http://www.mendeley.com/documents/?uuid=30dde343-74e9-489a-af07-06f75ebf4ed6"]}],"mendeley":{"formattedCitation":"(11)","plainTextFormattedCitation":"(11)","previouslyFormattedCitation":"(11)"},"properties":{"noteIndex":0},"schema":"https://github.com/citation-style-language/schema/raw/master/csl-citation.json"}</w:instrText>
      </w:r>
      <w:r w:rsidR="00CF7655" w:rsidRPr="006F33AE">
        <w:rPr>
          <w:rFonts w:ascii="Arial" w:hAnsi="Arial" w:cs="Arial"/>
          <w:lang w:val="es-ES"/>
        </w:rPr>
        <w:fldChar w:fldCharType="separate"/>
      </w:r>
      <w:r w:rsidR="00A4509E" w:rsidRPr="006F33AE">
        <w:rPr>
          <w:rFonts w:ascii="Arial" w:hAnsi="Arial" w:cs="Arial"/>
          <w:noProof/>
          <w:lang w:val="es-ES"/>
        </w:rPr>
        <w:t>(11)</w:t>
      </w:r>
      <w:r w:rsidR="00CF7655" w:rsidRPr="006F33AE">
        <w:rPr>
          <w:rFonts w:ascii="Arial" w:hAnsi="Arial" w:cs="Arial"/>
        </w:rPr>
        <w:fldChar w:fldCharType="end"/>
      </w:r>
      <w:r w:rsidR="00CF7655" w:rsidRPr="006F33AE">
        <w:rPr>
          <w:rFonts w:ascii="Arial" w:hAnsi="Arial" w:cs="Arial"/>
          <w:lang w:val="es-ES"/>
        </w:rPr>
        <w:fldChar w:fldCharType="begin" w:fldLock="1"/>
      </w:r>
      <w:r w:rsidR="00A4509E" w:rsidRPr="006F33AE">
        <w:rPr>
          <w:rFonts w:ascii="Arial" w:hAnsi="Arial" w:cs="Arial"/>
          <w:lang w:val="es-ES"/>
        </w:rPr>
        <w:instrText>ADDIN CSL_CITATION {"citationItems":[{"id":"ITEM-1","itemData":{"author":[{"dropping-particle":"","family":"Stollings","given":"Joanna L","non-dropping-particle":"","parse-names":false,"suffix":""},{"dropping-particle":"","family":"Devlin","given":"John W","non-dropping-particle":"","parse-names":false,"suffix":""},{"dropping-particle":"","family":"Pun","given":"Brenda T","non-dropping-particle":"","parse-names":false,"suffix":""},{"dropping-particle":"","family":"Kelly","given":"Tamra","non-dropping-particle":"","parse-names":false,"suffix":""},{"dropping-particle":"","family":"Hargett","given":"Ken D","non-dropping-particle":"","parse-names":false,"suffix":""},{"dropping-particle":"","family":"Morse","given":"Alexandra","non-dropping-particle":"","parse-names":false,"suffix":""},{"dropping-particle":"","family":"Esbrook","given":"Cheryl L","non-dropping-particle":"","parse-names":false,"suffix":""},{"dropping-particle":"","family":"Otr","given":"L","non-dropping-particle":"","parse-names":false,"suffix":""},{"dropping-particle":"","family":"Engel","given":"Heidi J","non-dropping-particle":"","parse-names":false,"suffix":""},{"dropping-particle":"","family":"Perme","given":"Christiane","non-dropping-particle":"","parse-names":false,"suffix":""},{"dropping-particle":"","family":"Barnes-daly","given":"Mary Ann","non-dropping-particle":"","parse-names":false,"suffix":""},{"dropping-particle":"","family":"Posa","given":"Patricia J","non-dropping-particle":"","parse-names":false,"suffix":""},{"dropping-particle":"","family":"Aldrich","given":"J Matthew","non-dropping-particle":"","parse-names":false,"suffix":""},{"dropping-particle":"","family":"Barr","given":"Juliana","non-dropping-particle":"","parse-names":false,"suffix":""},{"dropping-particle":"","family":"Carson","given":"Shannon S","non-dropping-particle":"","parse-names":false,"suffix":""},{"dropping-particle":"","family":"Schweickert","given":"William D","non-dropping-particle":"","parse-names":false,"suffix":""},{"dropping-particle":"","family":"Byrum","given":"Diane G","non-dropping-particle":"","parse-names":false,"suffix":""},{"dropping-particle":"","family":"Harmon","given":"Lori","non-dropping-particle":"","parse-names":false,"suffix":""},{"dropping-particle":"","family":"Ely","given":"E Wesley","non-dropping-particle":"","parse-names":false,"suffix":""}],"id":"ITEM-1","issue":"1","issued":{"date-parts":[["2019"]]},"title":"Evidence-Based Practice","type":"article-journal","volume":"39"},"uris":["http://www.mendeley.com/documents/?uuid=60c78aae-0a5f-47e8-86d4-e5d8636e7a30"]}],"mendeley":{"formattedCitation":"(12)","plainTextFormattedCitation":"(12)","previouslyFormattedCitation":"(12)"},"properties":{"noteIndex":0},"schema":"https://github.com/citation-style-language/schema/raw/master/csl-citation.json"}</w:instrText>
      </w:r>
      <w:r w:rsidR="00CF7655" w:rsidRPr="006F33AE">
        <w:rPr>
          <w:rFonts w:ascii="Arial" w:hAnsi="Arial" w:cs="Arial"/>
          <w:lang w:val="es-ES"/>
        </w:rPr>
        <w:fldChar w:fldCharType="separate"/>
      </w:r>
      <w:r w:rsidR="00A4509E" w:rsidRPr="006F33AE">
        <w:rPr>
          <w:rFonts w:ascii="Arial" w:hAnsi="Arial" w:cs="Arial"/>
          <w:noProof/>
          <w:lang w:val="es-ES"/>
        </w:rPr>
        <w:t>(12)</w:t>
      </w:r>
      <w:r w:rsidR="00CF7655" w:rsidRPr="006F33AE">
        <w:rPr>
          <w:rFonts w:ascii="Arial" w:hAnsi="Arial" w:cs="Arial"/>
        </w:rPr>
        <w:fldChar w:fldCharType="end"/>
      </w:r>
      <w:r w:rsidR="00CF7655" w:rsidRPr="006F33AE">
        <w:rPr>
          <w:rFonts w:ascii="Arial" w:hAnsi="Arial" w:cs="Arial"/>
          <w:lang w:val="es-ES"/>
        </w:rPr>
        <w:t xml:space="preserve">. Nuestros resultados se pueden interpretar bajo la perspectiva de ser una unidad que no posee el </w:t>
      </w:r>
      <w:r w:rsidR="00AD58D7" w:rsidRPr="006F33AE">
        <w:rPr>
          <w:rFonts w:ascii="Arial" w:hAnsi="Arial" w:cs="Arial"/>
          <w:lang w:val="es-ES"/>
        </w:rPr>
        <w:t>“</w:t>
      </w:r>
      <w:proofErr w:type="spellStart"/>
      <w:r w:rsidR="00AD58D7" w:rsidRPr="006F33AE">
        <w:rPr>
          <w:rFonts w:ascii="Arial" w:hAnsi="Arial" w:cs="Arial"/>
          <w:lang w:val="es-ES"/>
        </w:rPr>
        <w:t>bundle</w:t>
      </w:r>
      <w:proofErr w:type="spellEnd"/>
      <w:r w:rsidR="00AD58D7" w:rsidRPr="006F33AE">
        <w:rPr>
          <w:rFonts w:ascii="Arial" w:hAnsi="Arial" w:cs="Arial"/>
          <w:lang w:val="es-ES"/>
        </w:rPr>
        <w:t>”</w:t>
      </w:r>
      <w:r w:rsidR="00CF7655" w:rsidRPr="006F33AE">
        <w:rPr>
          <w:rFonts w:ascii="Arial" w:hAnsi="Arial" w:cs="Arial"/>
          <w:lang w:val="es-ES"/>
        </w:rPr>
        <w:t xml:space="preserve"> integrado en su proceso asistencial y sólo tiene dominio de algunos ítems de forma aislada mediante protocolos internos, como el destete del VM, la realización de movilización temprana y la administración de sedación y analgesia.</w:t>
      </w:r>
    </w:p>
    <w:p w14:paraId="27BCB26A" w14:textId="77777777" w:rsidR="00CF7655" w:rsidRPr="006F33AE" w:rsidRDefault="00CF7655" w:rsidP="004C4FD0">
      <w:pPr>
        <w:spacing w:line="480" w:lineRule="auto"/>
        <w:ind w:left="57"/>
        <w:rPr>
          <w:rFonts w:ascii="Arial" w:hAnsi="Arial" w:cs="Arial"/>
          <w:lang w:val="es-ES"/>
        </w:rPr>
      </w:pPr>
    </w:p>
    <w:p w14:paraId="0D1556B1" w14:textId="3F928F54" w:rsidR="00CF7655" w:rsidRPr="006F33AE" w:rsidRDefault="00EF3846" w:rsidP="004C4FD0">
      <w:pPr>
        <w:spacing w:line="480" w:lineRule="auto"/>
        <w:ind w:left="57"/>
        <w:rPr>
          <w:rFonts w:ascii="Arial" w:hAnsi="Arial" w:cs="Arial"/>
          <w:lang w:val="es-ES"/>
        </w:rPr>
      </w:pPr>
      <w:r w:rsidRPr="006F33AE">
        <w:rPr>
          <w:rFonts w:ascii="Arial" w:hAnsi="Arial" w:cs="Arial"/>
          <w:lang w:val="es-ES"/>
        </w:rPr>
        <w:t>L</w:t>
      </w:r>
      <w:r w:rsidR="00CF7655" w:rsidRPr="006F33AE">
        <w:rPr>
          <w:rFonts w:ascii="Arial" w:hAnsi="Arial" w:cs="Arial"/>
          <w:lang w:val="es-ES"/>
        </w:rPr>
        <w:t xml:space="preserve">a Sociedad Chilena de Medicina Intensiva publicó el año 2019 las recomendaciones para la analgesia, sedación, delirium y bloqueo neuromuscular en pacientes críticos médico-quirúrgicos adultos, en las cuales </w:t>
      </w:r>
      <w:r w:rsidR="0028692B" w:rsidRPr="006F33AE">
        <w:rPr>
          <w:rFonts w:ascii="Arial" w:hAnsi="Arial" w:cs="Arial"/>
          <w:lang w:val="es-ES"/>
        </w:rPr>
        <w:t xml:space="preserve">se </w:t>
      </w:r>
      <w:r w:rsidR="00CF7655" w:rsidRPr="006F33AE">
        <w:rPr>
          <w:rFonts w:ascii="Arial" w:hAnsi="Arial" w:cs="Arial"/>
          <w:lang w:val="es-ES"/>
        </w:rPr>
        <w:t xml:space="preserve">recomienda el uso de BPS y CPOT para evaluar el dolor en el paciente no cooperador por sus propiedades </w:t>
      </w:r>
      <w:r w:rsidR="007E5AF7" w:rsidRPr="006F33AE">
        <w:rPr>
          <w:rFonts w:ascii="Arial" w:hAnsi="Arial" w:cs="Arial"/>
          <w:lang w:val="es-ES"/>
        </w:rPr>
        <w:t>psicométricas</w:t>
      </w:r>
      <w:r w:rsidR="0028692B" w:rsidRPr="006F33AE">
        <w:rPr>
          <w:rFonts w:ascii="Arial" w:hAnsi="Arial" w:cs="Arial"/>
          <w:lang w:val="es-ES"/>
        </w:rPr>
        <w:t xml:space="preserve"> </w:t>
      </w:r>
      <w:r w:rsidR="00CF7655" w:rsidRPr="006F33AE">
        <w:rPr>
          <w:rFonts w:ascii="Arial" w:hAnsi="Arial" w:cs="Arial"/>
          <w:lang w:val="es-ES"/>
        </w:rPr>
        <w:t>descritas en la literatura</w:t>
      </w:r>
      <w:r w:rsidR="00C71A69" w:rsidRPr="006F33AE">
        <w:rPr>
          <w:rFonts w:ascii="Arial" w:hAnsi="Arial" w:cs="Arial"/>
          <w:lang w:val="es-ES"/>
        </w:rPr>
        <w:t xml:space="preserve"> </w:t>
      </w:r>
      <w:r w:rsidR="00CF7655" w:rsidRPr="006F33AE">
        <w:rPr>
          <w:rFonts w:ascii="Arial" w:hAnsi="Arial" w:cs="Arial"/>
          <w:lang w:val="es-ES"/>
        </w:rPr>
        <w:fldChar w:fldCharType="begin" w:fldLock="1"/>
      </w:r>
      <w:r w:rsidR="00105895" w:rsidRPr="006F33AE">
        <w:rPr>
          <w:rFonts w:ascii="Arial" w:hAnsi="Arial" w:cs="Arial"/>
          <w:lang w:val="es-ES"/>
        </w:rPr>
        <w:instrText>ADDIN CSL_CITATION {"citationItems":[{"id":"ITEM-1","itemData":{"DOI":"10.4272/978-84-96667-39-6.ch15","abstract":"La ventilación asistida ajustada neuronalmente (NAVA) es un nuevo modo de ventilación mecánica asistida basado en la utilización de la señal obtenida de actividad eléctrica diafragmática (Edi) para el control del ventilador. La Edi representa directamente el impulso ventilatorio central y refleja la duración y la intensidad con que el paciente desea ventilar.","author":[{"dropping-particle":"","family":"Tobar","given":"Eduardo","non-dropping-particle":"","parse-names":false,"suffix":""},{"dropping-particle":"","family":"Rojas","given":"Verónica","non-dropping-particle":"","parse-names":false,"suffix":""},{"dropping-particle":"","family":"Álvarez","given":"Evelyn","non-dropping-particle":"","parse-names":false,"suffix":""},{"dropping-particle":"","family":"Romero","given":"Carlos","non-dropping-particle":"","parse-names":false,"suffix":""},{"dropping-particle":"","family":"Sepúlveda","given":"Idalia","non-dropping-particle":"","parse-names":false,"suffix":""},{"dropping-particle":"","family":"Cariqueo","given":"Marcial","non-dropping-particle":"","parse-names":false,"suffix":""},{"dropping-particle":"","family":"Martínez","given":"Felipe","non-dropping-particle":"","parse-names":false,"suffix":""},{"dropping-particle":"","family":"Aranda","given":"Rolando","non-dropping-particle":"","parse-names":false,"suffix":""},{"dropping-particle":"","family":"Sánchez","given":"Juan Eduardo","non-dropping-particle":"","parse-names":false,"suffix":""},{"dropping-particle":"","family":"Vidal","given":"Félix","non-dropping-particle":"","parse-names":false,"suffix":""},{"dropping-particle":"","family":"Bugedo","given":"Guillermo","non-dropping-particle":"","parse-names":false,"suffix":""}],"container-title":"Revista Chilena de Medicina Intensiva","id":"ITEM-1","issued":{"date-parts":[["2019"]]},"page":"255-290","title":"Recomendaciones de la Sociedad Chilena de Medicina Intensiva para la analgesia, sedación, delírium y bloqueo neuromuscular en pacientes críticos médico-quirúrgicos adultos","type":"article-journal"},"uris":["http://www.mendeley.com/documents/?uuid=3566babe-c97d-4dcf-aadb-9fa2a42dbba8"]}],"mendeley":{"formattedCitation":"(9)","plainTextFormattedCitation":"(9)","previouslyFormattedCitation":"(9)"},"properties":{"noteIndex":0},"schema":"https://github.com/citation-style-language/schema/raw/master/csl-citation.json"}</w:instrText>
      </w:r>
      <w:r w:rsidR="00CF7655" w:rsidRPr="006F33AE">
        <w:rPr>
          <w:rFonts w:ascii="Arial" w:hAnsi="Arial" w:cs="Arial"/>
          <w:lang w:val="es-ES"/>
        </w:rPr>
        <w:fldChar w:fldCharType="separate"/>
      </w:r>
      <w:r w:rsidR="00693E84" w:rsidRPr="006F33AE">
        <w:rPr>
          <w:rFonts w:ascii="Arial" w:hAnsi="Arial" w:cs="Arial"/>
          <w:noProof/>
          <w:lang w:val="es-ES"/>
        </w:rPr>
        <w:t>(9)</w:t>
      </w:r>
      <w:r w:rsidR="00CF7655" w:rsidRPr="006F33AE">
        <w:rPr>
          <w:rFonts w:ascii="Arial" w:hAnsi="Arial" w:cs="Arial"/>
        </w:rPr>
        <w:fldChar w:fldCharType="end"/>
      </w:r>
      <w:r w:rsidR="00CF7655" w:rsidRPr="006F33AE">
        <w:rPr>
          <w:rFonts w:ascii="Arial" w:hAnsi="Arial" w:cs="Arial"/>
          <w:lang w:val="es-ES"/>
        </w:rPr>
        <w:t>. Sin embargo, el BPS no cuenta con un proceso de adaptación transcultural, validez y confiabilidad al español, a pesar de estar disponible en otros idiomas</w:t>
      </w:r>
      <w:r w:rsidR="00C71A69" w:rsidRPr="006F33AE">
        <w:rPr>
          <w:rFonts w:ascii="Arial" w:hAnsi="Arial" w:cs="Arial"/>
          <w:lang w:val="es-ES"/>
        </w:rPr>
        <w:t xml:space="preserve"> </w:t>
      </w:r>
      <w:r w:rsidR="00CF7655" w:rsidRPr="006F33AE">
        <w:rPr>
          <w:rFonts w:ascii="Arial" w:hAnsi="Arial" w:cs="Arial"/>
          <w:lang w:val="es-ES"/>
        </w:rPr>
        <w:fldChar w:fldCharType="begin" w:fldLock="1"/>
      </w:r>
      <w:r w:rsidR="00105895" w:rsidRPr="006F33AE">
        <w:rPr>
          <w:rFonts w:ascii="Arial" w:hAnsi="Arial" w:cs="Arial"/>
          <w:lang w:val="es-ES"/>
        </w:rPr>
        <w:instrText>ADDIN CSL_CITATION {"citationItems":[{"id":"ITEM-1","itemData":{"DOI":"10.1016/j.bjane.2015.11.003","ISSN":"01040014","abstract":"AbstractBackground and objectives The Behavioral Pain Scale is a pain assessment tool for uncommunicative and sedated Intensive Care Unit patients. The lack of a Brazilian scale for pain assessment in adults mechanically ventilated justifies the relevance of this study that aimed to validate the Brazilian version of Behavioral Pain Scale as well as to correlate its scores with the records of physiological parameters, sedation level and severity of disease. Methods Twenty-five Intensive Care Unit adult patients were included in this study. The Brazilian Behavioral Pain Scale version (previously translated and culturally adapted) and the recording of physiological parameters were performed by two investigators simultaneously during rest, during eye cleaning (non-painful stimulus) and during endotracheal suctioning (painful stimulus). Results High values of responsiveness coefficient (coefficient = 3.22) were observed. The Cronbach's alpha of total Behavioral Pain Scale score at eye cleaning and endotracheal suctioning was 0.8. The intraclass correlation coefficient of total Behavioral Pain Scale score was ≥0.8 at eye cleaning and endotracheal suctioning. There was a significant highest Behavioral Pain Scale score during application of painful procedure when compared with rest period (p ≤ 0.0001). However, no correlations were observed between pain and hemodynamic parameters, sedation level, and severity of disease. Conclusions This pioneer validation study of Brazilian Behavioral Pain Scale exhibits satisfactory index of internal consistency, interrater reliability, responsiveness and validity. Therefore, the Brazilian Behavioral Pain Scale version was considered a valid instrument for being used in adult sedated and mechanically ventilated patients in Brazil.","author":[{"dropping-particle":"","family":"Azevedo-Santos","given":"Isabela Freire","non-dropping-particle":"","parse-names":false,"suffix":""},{"dropping-particle":"","family":"Alves","given":"Iura Gonzalez Nogueira","non-dropping-particle":"","parse-names":false,"suffix":""},{"dropping-particle":"de","family":"Cerqueira Neto","given":"Manoel Luiz","non-dropping-particle":"","parse-names":false,"suffix":""},{"dropping-particle":"","family":"Badauê-Passos","given":"Daniel","non-dropping-particle":"","parse-names":false,"suffix":""},{"dropping-particle":"","family":"Santana-Filho","given":"Valter Joviniano","non-dropping-particle":"","parse-names":false,"suffix":""},{"dropping-particle":"","family":"Santana","given":"Josimari Melo","non-dropping-particle":"de","parse-names":false,"suffix":""}],"container-title":"Brazilian Journal of Anesthesiology (English Edition)","id":"ITEM-1","issue":"3","issued":{"date-parts":[["2017"]]},"page":"271-277","publisher":"Sociedade Brasileira de Anestesiologia","title":"Validation of the Brazilian version of Behavioral Pain Scale in adult sedated and mechanically ventilated patients","type":"article-journal","volume":"67"},"uris":["http://www.mendeley.com/documents/?uuid=51d83bb7-d168-453a-a647-6631450dc826"]}],"mendeley":{"formattedCitation":"(13)","plainTextFormattedCitation":"(13)","previouslyFormattedCitation":"(13)"},"properties":{"noteIndex":0},"schema":"https://github.com/citation-style-language/schema/raw/master/csl-citation.json"}</w:instrText>
      </w:r>
      <w:r w:rsidR="00CF7655" w:rsidRPr="006F33AE">
        <w:rPr>
          <w:rFonts w:ascii="Arial" w:hAnsi="Arial" w:cs="Arial"/>
          <w:lang w:val="es-ES"/>
        </w:rPr>
        <w:fldChar w:fldCharType="separate"/>
      </w:r>
      <w:r w:rsidR="00693E84" w:rsidRPr="006F33AE">
        <w:rPr>
          <w:rFonts w:ascii="Arial" w:hAnsi="Arial" w:cs="Arial"/>
          <w:noProof/>
          <w:lang w:val="es-ES"/>
        </w:rPr>
        <w:t>(13)</w:t>
      </w:r>
      <w:r w:rsidR="00CF7655" w:rsidRPr="006F33AE">
        <w:rPr>
          <w:rFonts w:ascii="Arial" w:hAnsi="Arial" w:cs="Arial"/>
        </w:rPr>
        <w:fldChar w:fldCharType="end"/>
      </w:r>
      <w:r w:rsidR="00CF7655" w:rsidRPr="006F33AE">
        <w:rPr>
          <w:rFonts w:ascii="Arial" w:hAnsi="Arial" w:cs="Arial"/>
          <w:lang w:val="es-ES"/>
        </w:rPr>
        <w:fldChar w:fldCharType="begin" w:fldLock="1"/>
      </w:r>
      <w:r w:rsidR="00105895" w:rsidRPr="006F33AE">
        <w:rPr>
          <w:rFonts w:ascii="Arial" w:hAnsi="Arial" w:cs="Arial"/>
          <w:lang w:val="es-ES"/>
        </w:rPr>
        <w:instrText>ADDIN CSL_CITATION {"citationItems":[{"id":"ITEM-1","itemData":{"DOI":"10.1111/aas.12688","ISSN":"13996576","PMID":"27251598","abstract":"Background Assessing pain in the intensive care unit (ICU) is challenging. Due to intubation and sedation, communication can be limited. International guidelines recommend assessing pain with instruments based on behavioral parameters when critically ill patients are unable to self-report their pain level. One of the recommended instruments, the Behavioral Pain Scale (BPS), has shown good validity and reliability in international studies. The aim of this study was to translate and adapt the BPS for critically ill intubated and non-intubated patients in a Swedish ICU context and to assess inter-rater reliability and discriminant validity. Methods The BPS (both for intubated and non-intubated patients) was translated and adapted into Swedish using a translation method consisting of ten steps. The Swedish version was then tested for inter-rater reliability and discriminant validity on 20 critically ill patients (10 intubated and 10 non-intubated) before and directly after a potentially painful procedure (repositioning). Results The Swedish version of the BPS showed inter-rater reliability with a percentage agreement of 85% when tested on a sample of critically ill patients. The instrument also showed discriminant validity between assessments at rest and after repositioning. Conclusion Results of the Swedish version of the BPS support its use in critically ill patients who cannot self-report their pain level. Still, additional studies are needed to further explore its reliability and validity in the Swedish ICU context.","author":[{"dropping-particle":"","family":"Hylén","given":"M.","non-dropping-particle":"","parse-names":false,"suffix":""},{"dropping-particle":"","family":"Akerman","given":"E.","non-dropping-particle":"","parse-names":false,"suffix":""},{"dropping-particle":"","family":"Alm-Roijer","given":"C.","non-dropping-particle":"","parse-names":false,"suffix":""},{"dropping-particle":"","family":"Idvall","given":"E.","non-dropping-particle":"","parse-names":false,"suffix":""}],"container-title":"Acta Anaesthesiologica Scandinavica","id":"ITEM-1","issue":"6","issued":{"date-parts":[["2016"]]},"page":"821-828","title":"Behavioral Pain Scale - Translation, reliability, and validity in a Swedish context","type":"article-journal","volume":"60"},"uris":["http://www.mendeley.com/documents/?uuid=8da42d9e-48a1-4d6d-9bde-77a0799c80ee"]}],"mendeley":{"formattedCitation":"(14)","plainTextFormattedCitation":"(14)","previouslyFormattedCitation":"(14)"},"properties":{"noteIndex":0},"schema":"https://github.com/citation-style-language/schema/raw/master/csl-citation.json"}</w:instrText>
      </w:r>
      <w:r w:rsidR="00CF7655" w:rsidRPr="006F33AE">
        <w:rPr>
          <w:rFonts w:ascii="Arial" w:hAnsi="Arial" w:cs="Arial"/>
          <w:lang w:val="es-ES"/>
        </w:rPr>
        <w:fldChar w:fldCharType="separate"/>
      </w:r>
      <w:r w:rsidR="00693E84" w:rsidRPr="006F33AE">
        <w:rPr>
          <w:rFonts w:ascii="Arial" w:hAnsi="Arial" w:cs="Arial"/>
          <w:noProof/>
          <w:lang w:val="es-ES"/>
        </w:rPr>
        <w:t>(14)</w:t>
      </w:r>
      <w:r w:rsidR="00CF7655" w:rsidRPr="006F33AE">
        <w:rPr>
          <w:rFonts w:ascii="Arial" w:hAnsi="Arial" w:cs="Arial"/>
        </w:rPr>
        <w:fldChar w:fldCharType="end"/>
      </w:r>
      <w:r w:rsidR="00CF7655" w:rsidRPr="006F33AE">
        <w:rPr>
          <w:rFonts w:ascii="Arial" w:hAnsi="Arial" w:cs="Arial"/>
          <w:lang w:val="es-ES"/>
        </w:rPr>
        <w:fldChar w:fldCharType="begin" w:fldLock="1"/>
      </w:r>
      <w:r w:rsidR="00105895" w:rsidRPr="006F33AE">
        <w:rPr>
          <w:rFonts w:ascii="Arial" w:hAnsi="Arial" w:cs="Arial"/>
          <w:lang w:val="es-ES"/>
        </w:rPr>
        <w:instrText>ADDIN CSL_CITATION {"citationItems":[{"id":"ITEM-1","itemData":{"DOI":"10.2147/JPR.S91036","ISSN":"11787090","abstract":"This study describes the cultural adaptation and testing of the behavioral pain scale (BPS) and the critical-care pain observation tools (CPOT) for pain assessment in Taiwan. The cross-cultural adaptation followed the steps of translation, including forward translation, back-translation, evaluation of the translations by a committee of experts, adjustments, and then piloting of the prefinal versions of the BPS and the CPOT. A content validity index was used to assess content validities of the BPS and the CPOT, with 0.80 preset as the level that would be regarded as acceptable. The principal investigator then made adjustments when the content validity index was &lt;0.80. The pilot test was performed with a sample of ten purposively selected patients by 2 medical staff from a medical care center in Taiwan. The BPS and the CPOT are adequate instruments for the assessment of pain levels in patients who cannot communicate due to sedation and ventilation treatments.","author":[{"dropping-particle":"","family":"Hsiung","given":"Nai Huan","non-dropping-particle":"","parse-names":false,"suffix":""},{"dropping-particle":"","family":"Yang","given":"Yen","non-dropping-particle":"","parse-names":false,"suffix":""},{"dropping-particle":"","family":"Lee","given":"Ming Shinn","non-dropping-particle":"","parse-names":false,"suffix":""},{"dropping-particle":"","family":"Dalal","given":"Koustuv","non-dropping-particle":"","parse-names":false,"suffix":""},{"dropping-particle":"","family":"Smith","given":"Graeme D.","non-dropping-particle":"","parse-names":false,"suffix":""}],"container-title":"Journal of Pain Research","id":"ITEM-1","issued":{"date-parts":[["2016"]]},"page":"661-669","title":"Translation, adaptation, and validation of the behavioral pain scale and the critical-care pain observational tools in Taiwan","type":"article-journal","volume":"9"},"uris":["http://www.mendeley.com/documents/?uuid=fc672952-4ba5-4463-b0f5-dba3f45caef5"]}],"mendeley":{"formattedCitation":"(15)","plainTextFormattedCitation":"(15)","previouslyFormattedCitation":"(15)"},"properties":{"noteIndex":0},"schema":"https://github.com/citation-style-language/schema/raw/master/csl-citation.json"}</w:instrText>
      </w:r>
      <w:r w:rsidR="00CF7655" w:rsidRPr="006F33AE">
        <w:rPr>
          <w:rFonts w:ascii="Arial" w:hAnsi="Arial" w:cs="Arial"/>
          <w:lang w:val="es-ES"/>
        </w:rPr>
        <w:fldChar w:fldCharType="separate"/>
      </w:r>
      <w:r w:rsidR="00693E84" w:rsidRPr="006F33AE">
        <w:rPr>
          <w:rFonts w:ascii="Arial" w:hAnsi="Arial" w:cs="Arial"/>
          <w:noProof/>
          <w:lang w:val="es-ES"/>
        </w:rPr>
        <w:t>(15)</w:t>
      </w:r>
      <w:r w:rsidR="00CF7655" w:rsidRPr="006F33AE">
        <w:rPr>
          <w:rFonts w:ascii="Arial" w:hAnsi="Arial" w:cs="Arial"/>
        </w:rPr>
        <w:fldChar w:fldCharType="end"/>
      </w:r>
      <w:r w:rsidR="00CF7655" w:rsidRPr="006F33AE">
        <w:rPr>
          <w:rFonts w:ascii="Arial" w:hAnsi="Arial" w:cs="Arial"/>
          <w:lang w:val="es-ES"/>
        </w:rPr>
        <w:t>. Por otra parte, el CPOT tampoco contaba con su versión disponible al español durante la fecha que se realizó la recolección de los datos</w:t>
      </w:r>
      <w:r w:rsidR="00D708CE" w:rsidRPr="006F33AE">
        <w:rPr>
          <w:rFonts w:ascii="Arial" w:hAnsi="Arial" w:cs="Arial"/>
          <w:lang w:val="es-ES"/>
        </w:rPr>
        <w:t xml:space="preserve"> y </w:t>
      </w:r>
      <w:r w:rsidR="00CF7655" w:rsidRPr="006F33AE">
        <w:rPr>
          <w:rFonts w:ascii="Arial" w:hAnsi="Arial" w:cs="Arial"/>
          <w:lang w:val="es-ES"/>
        </w:rPr>
        <w:t xml:space="preserve">aún no cuenta con sus propiedades </w:t>
      </w:r>
      <w:r w:rsidR="007E5AF7" w:rsidRPr="006F33AE">
        <w:rPr>
          <w:rFonts w:ascii="Arial" w:hAnsi="Arial" w:cs="Arial"/>
          <w:lang w:val="es-ES"/>
        </w:rPr>
        <w:t>psicométricas</w:t>
      </w:r>
      <w:r w:rsidR="0028692B" w:rsidRPr="006F33AE">
        <w:rPr>
          <w:rFonts w:ascii="Arial" w:hAnsi="Arial" w:cs="Arial"/>
          <w:lang w:val="es-ES"/>
        </w:rPr>
        <w:t xml:space="preserve"> </w:t>
      </w:r>
      <w:r w:rsidR="00CF7655" w:rsidRPr="006F33AE">
        <w:rPr>
          <w:rFonts w:ascii="Arial" w:hAnsi="Arial" w:cs="Arial"/>
          <w:lang w:val="es-ES"/>
        </w:rPr>
        <w:t>en dicho idioma</w:t>
      </w:r>
      <w:r w:rsidR="00C71A69" w:rsidRPr="006F33AE">
        <w:rPr>
          <w:rFonts w:ascii="Arial" w:hAnsi="Arial" w:cs="Arial"/>
          <w:lang w:val="es-ES"/>
        </w:rPr>
        <w:t xml:space="preserve"> </w:t>
      </w:r>
      <w:r w:rsidR="00CF7655" w:rsidRPr="006F33AE">
        <w:rPr>
          <w:rFonts w:ascii="Arial" w:hAnsi="Arial" w:cs="Arial"/>
          <w:lang w:val="es-ES"/>
        </w:rPr>
        <w:fldChar w:fldCharType="begin" w:fldLock="1"/>
      </w:r>
      <w:r w:rsidR="00105895" w:rsidRPr="006F33AE">
        <w:rPr>
          <w:rFonts w:ascii="Arial" w:hAnsi="Arial" w:cs="Arial"/>
          <w:lang w:val="es-ES"/>
        </w:rPr>
        <w:instrText>ADDIN CSL_CITATION {"citationItems":[{"id":"ITEM-1","itemData":{"DOI":"10.4037/ajcc2020763","ISSN":"1937710X","PMID":"32355973","abstract":"Background The Critical-Care Pain ObservationTool (CPOT) is recommended for evaluating pain behaviors in patients in the intensive care unit who are unable to report pain. The source of the only published Spanish version of the CPOT does not verify that it underwent a formal translation process. Objective To describe the translation into Spanish and cultural adaptation of the original French version of the CPOT. Methods Key persons in the translation process included one with a master’s degree in translation, a critical care physician, nurse faculty members with vast experience in intensive care units, and the instrument’s developer. This team followed the Principles of Good Practice for theTranslation and Cultural Adaptation Process for Patient-Reported Outcomes Measures as a guide to translate and culturally adapt the CPOT. Results The first Spanish-language version was back translated to French and was also compared with the English version. Revisions necessitated a second ver-sion, which was submitted to experts in critical care. Their modifications required a third version, which was back translated to French and discussed with the CPOT developer, after which a fourth version was created. Finally, a linguistic expert proofread the tool, and the translation leaders incorporated the recommendations, thereby obtaining a final Spanish version. Conclusion The Spanish version is ready to undergo validation with patients in the intensive care unit, which is the next step toward its use in assessing pain behaviors among patients in intensive care units where Spanish is spoken.","author":[{"dropping-particle":"","family":"Arroyo-Novoa","given":"Carmen Mabel","non-dropping-particle":"","parse-names":false,"suffix":""},{"dropping-particle":"","family":"Figueroa-Ramos","given":"Milagros I.","non-dropping-particle":"","parse-names":false,"suffix":""},{"dropping-particle":"","family":"Puntillo","given":"Kathleen A.","non-dropping-particle":"","parse-names":false,"suffix":""},{"dropping-particle":"","family":"Gélinas","given":"Céline","non-dropping-particle":"","parse-names":false,"suffix":""}],"container-title":"American Journal of Critical Care","id":"ITEM-1","issue":"3","issued":{"date-parts":[["2020"]]},"page":"226-232","title":"Translation into Spanish and cultural adaptation of the critical-care pain observation tool","type":"article-journal","volume":"29"},"uris":["http://www.mendeley.com/documents/?uuid=ef00cd8f-64ec-4519-a0f8-5c1d594a3bc5"]}],"mendeley":{"formattedCitation":"(16)","plainTextFormattedCitation":"(16)","previouslyFormattedCitation":"(16)"},"properties":{"noteIndex":0},"schema":"https://github.com/citation-style-language/schema/raw/master/csl-citation.json"}</w:instrText>
      </w:r>
      <w:r w:rsidR="00CF7655" w:rsidRPr="006F33AE">
        <w:rPr>
          <w:rFonts w:ascii="Arial" w:hAnsi="Arial" w:cs="Arial"/>
          <w:lang w:val="es-ES"/>
        </w:rPr>
        <w:fldChar w:fldCharType="separate"/>
      </w:r>
      <w:r w:rsidR="00693E84" w:rsidRPr="006F33AE">
        <w:rPr>
          <w:rFonts w:ascii="Arial" w:hAnsi="Arial" w:cs="Arial"/>
          <w:noProof/>
          <w:lang w:val="es-ES"/>
        </w:rPr>
        <w:t>(16)</w:t>
      </w:r>
      <w:r w:rsidR="00CF7655" w:rsidRPr="006F33AE">
        <w:rPr>
          <w:rFonts w:ascii="Arial" w:hAnsi="Arial" w:cs="Arial"/>
        </w:rPr>
        <w:fldChar w:fldCharType="end"/>
      </w:r>
      <w:r w:rsidR="00CF7655" w:rsidRPr="006F33AE">
        <w:rPr>
          <w:rFonts w:ascii="Arial" w:hAnsi="Arial" w:cs="Arial"/>
          <w:lang w:val="es-ES"/>
        </w:rPr>
        <w:t>. Una potencial explicación a la falta de registros con estos instrumentos</w:t>
      </w:r>
      <w:r w:rsidR="00B05B46" w:rsidRPr="006F33AE">
        <w:rPr>
          <w:rFonts w:ascii="Arial" w:hAnsi="Arial" w:cs="Arial"/>
          <w:lang w:val="es-ES"/>
        </w:rPr>
        <w:t xml:space="preserve"> es el desconocimiento de los profesionales </w:t>
      </w:r>
      <w:r w:rsidR="00693E84" w:rsidRPr="006F33AE">
        <w:rPr>
          <w:rFonts w:ascii="Arial" w:hAnsi="Arial" w:cs="Arial"/>
          <w:lang w:val="es-ES"/>
        </w:rPr>
        <w:t>su uso</w:t>
      </w:r>
      <w:r w:rsidR="00B05B46" w:rsidRPr="006F33AE">
        <w:rPr>
          <w:rFonts w:ascii="Arial" w:hAnsi="Arial" w:cs="Arial"/>
          <w:lang w:val="es-ES"/>
        </w:rPr>
        <w:t xml:space="preserve">. Esto es plausible dado </w:t>
      </w:r>
      <w:r w:rsidR="00CF7655" w:rsidRPr="006F33AE">
        <w:rPr>
          <w:rFonts w:ascii="Arial" w:hAnsi="Arial" w:cs="Arial"/>
          <w:lang w:val="es-ES"/>
        </w:rPr>
        <w:t xml:space="preserve">que sólo </w:t>
      </w:r>
      <w:r w:rsidR="00B05B46" w:rsidRPr="006F33AE">
        <w:rPr>
          <w:rFonts w:ascii="Arial" w:hAnsi="Arial" w:cs="Arial"/>
          <w:lang w:val="es-ES"/>
        </w:rPr>
        <w:t xml:space="preserve">un </w:t>
      </w:r>
      <w:r w:rsidR="00CF7655" w:rsidRPr="006F33AE">
        <w:rPr>
          <w:rFonts w:ascii="Arial" w:hAnsi="Arial" w:cs="Arial"/>
          <w:lang w:val="es-ES"/>
        </w:rPr>
        <w:t xml:space="preserve">profesional reportara el uso de BPS y </w:t>
      </w:r>
      <w:r w:rsidR="00B05B46" w:rsidRPr="006F33AE">
        <w:rPr>
          <w:rFonts w:ascii="Arial" w:hAnsi="Arial" w:cs="Arial"/>
          <w:lang w:val="es-ES"/>
        </w:rPr>
        <w:t xml:space="preserve">dos </w:t>
      </w:r>
      <w:r w:rsidR="00CF7655" w:rsidRPr="006F33AE">
        <w:rPr>
          <w:rFonts w:ascii="Arial" w:hAnsi="Arial" w:cs="Arial"/>
          <w:lang w:val="es-ES"/>
        </w:rPr>
        <w:t>reportaron el uso de CPOT para valorar el dolor en el paciente no cooperador</w:t>
      </w:r>
      <w:r w:rsidR="00B05B46" w:rsidRPr="006F33AE">
        <w:rPr>
          <w:rFonts w:ascii="Arial" w:hAnsi="Arial" w:cs="Arial"/>
          <w:lang w:val="es-ES"/>
        </w:rPr>
        <w:t xml:space="preserve"> en la encuesta administrativa.</w:t>
      </w:r>
      <w:r w:rsidR="00CF7655" w:rsidRPr="006F33AE">
        <w:rPr>
          <w:rFonts w:ascii="Arial" w:hAnsi="Arial" w:cs="Arial"/>
          <w:lang w:val="es-ES"/>
        </w:rPr>
        <w:t xml:space="preserve"> </w:t>
      </w:r>
    </w:p>
    <w:p w14:paraId="7A1C2A9A" w14:textId="77777777" w:rsidR="00CF7655" w:rsidRPr="006F33AE" w:rsidRDefault="00CF7655" w:rsidP="004C4FD0">
      <w:pPr>
        <w:spacing w:line="480" w:lineRule="auto"/>
        <w:ind w:left="57"/>
        <w:rPr>
          <w:rFonts w:ascii="Arial" w:hAnsi="Arial" w:cs="Arial"/>
          <w:lang w:val="es-ES"/>
        </w:rPr>
      </w:pPr>
    </w:p>
    <w:p w14:paraId="259B48F6" w14:textId="17F6D867" w:rsidR="00CF7655" w:rsidRPr="006F33AE" w:rsidRDefault="00CF7655" w:rsidP="004C4FD0">
      <w:pPr>
        <w:spacing w:line="480" w:lineRule="auto"/>
        <w:ind w:left="57"/>
        <w:rPr>
          <w:rFonts w:ascii="Arial" w:hAnsi="Arial" w:cs="Arial"/>
          <w:lang w:val="es-ES"/>
        </w:rPr>
      </w:pPr>
      <w:r w:rsidRPr="006F33AE">
        <w:rPr>
          <w:rFonts w:ascii="Arial" w:hAnsi="Arial" w:cs="Arial"/>
          <w:lang w:val="es-ES"/>
        </w:rPr>
        <w:lastRenderedPageBreak/>
        <w:t>El elemento “C” fue el segundo en obtener mayor cumplimiento y tiene consistencia con los resultados de la encuesta administrativa en la cual el 93,3% de los profesionales reportó la utilización de la escala RASS para determinar el estado de sedación. En Chile existe el reporte de la utilización de la escala SAS para determinar el estado de sedación</w:t>
      </w:r>
      <w:r w:rsidR="00C71A69" w:rsidRPr="006F33AE">
        <w:rPr>
          <w:rFonts w:ascii="Arial" w:hAnsi="Arial" w:cs="Arial"/>
          <w:lang w:val="es-ES"/>
        </w:rPr>
        <w:t xml:space="preserve"> </w:t>
      </w:r>
      <w:r w:rsidRPr="006F33AE">
        <w:rPr>
          <w:rFonts w:ascii="Arial" w:hAnsi="Arial" w:cs="Arial"/>
          <w:lang w:val="es-ES"/>
        </w:rPr>
        <w:fldChar w:fldCharType="begin" w:fldLock="1"/>
      </w:r>
      <w:r w:rsidR="00105895" w:rsidRPr="006F33AE">
        <w:rPr>
          <w:rFonts w:ascii="Arial" w:hAnsi="Arial" w:cs="Arial"/>
          <w:lang w:val="es-ES"/>
        </w:rPr>
        <w:instrText>ADDIN CSL_CITATION {"citationItems":[{"id":"ITEM-1","itemData":{"ISSN":"00349887 07176163","abstract":"Background: Sedatives and analgesic drugs give comfort and allow adequate respiratory support to critically ill patients in mechanical ventilation (MV). Its improper use may increase the duration of MV. Clinical guidelines suggest implementation of protocols, however this is seldom done in clinical practice. Aim: To compare in MV patients, nurse-applied guided by protocol administration of sedatives and analgesic drugs (protocol: group P) with the habitual practice using physicians criteria (control: group C). Material and methods: Inclusion criteria was the need of MV more than 48 h. The exclusion criteria were acute neurological diseases, hepatic cirrhosis, chronic renal failure and limitation of therapeutic efforts. Midazolam and fentanyl were used in both groups. The level of sedation was monitored with the Sedation Agitation Scale (SAS). In the P group, trained nurses applied algorithms to adjust the sedative doses according to a predefined SAS goal. Results: Forty patients were included, 22 aged 65?19 years in group P and 18 aged 54?21 years in group C. Apache II scores were 16?8 and 19?8 in each group. SAS score was more frequently evaluated within goal boundaries in group P than in group C (44% and 32%, respectively, p =0.001). No differences in the proportion of patients with inadequate sedation were observed between treatment groups. Midazolam doses were lower in P than in C group (0.04 (0.02-0.07) and 0.06 (0.03-0.08) mg/kg/h respectively, p =0.005). Conclusions: The implementation of sedation protocol applied by nurses improved the quality of sedation and reduced the doses of Midazolam in mechanically ventilated patients.","author":[{"dropping-particle":"","family":"Tobar A","given":"E.","non-dropping-particle":"","parse-names":false,"suffix":""},{"dropping-particle":"","family":"Lanas M","given":"A.","non-dropping-particle":"","parse-names":false,"suffix":""},{"dropping-particle":"","family":"Pino P","given":"S.","non-dropping-particle":"","parse-names":false,"suffix":""},{"dropping-particle":"","family":"Asp?e L","given":"P.","non-dropping-particle":"","parse-names":false,"suffix":""},{"dropping-particle":"","family":"Rivas V","given":"S.","non-dropping-particle":"","parse-names":false,"suffix":""},{"dropping-particle":"","family":"Prat R","given":"D.","non-dropping-particle":"","parse-names":false,"suffix":""},{"dropping-particle":"","family":"Asenjo B","given":"R.","non-dropping-particle":"","parse-names":false,"suffix":""},{"dropping-particle":"","family":"Castro O","given":"J.","non-dropping-particle":"","parse-names":false,"suffix":""}],"container-title":"Revista Medica de Chile","id":"ITEM-1","issue":"6","issued":{"date-parts":[["2008"]]},"page":"711-718","title":"Protocol based sedation versus conventional treatment in critically ill patients on mechanical ventilation | Sedaci?n guiada por protocolo versus manejo convencional en pacientes cr?ticos en ventilaci?n mec?nica","type":"article-journal","volume":"136"},"uris":["http://www.mendeley.com/documents/?uuid=8d71c25c-ec36-4435-bdd7-7db9bfae425c"]}],"mendeley":{"formattedCitation":"(17)","plainTextFormattedCitation":"(17)","previouslyFormattedCitation":"(17)"},"properties":{"noteIndex":0},"schema":"https://github.com/citation-style-language/schema/raw/master/csl-citation.json"}</w:instrText>
      </w:r>
      <w:r w:rsidRPr="006F33AE">
        <w:rPr>
          <w:rFonts w:ascii="Arial" w:hAnsi="Arial" w:cs="Arial"/>
          <w:lang w:val="es-ES"/>
        </w:rPr>
        <w:fldChar w:fldCharType="separate"/>
      </w:r>
      <w:r w:rsidR="00693E84" w:rsidRPr="006F33AE">
        <w:rPr>
          <w:rFonts w:ascii="Arial" w:hAnsi="Arial" w:cs="Arial"/>
          <w:noProof/>
          <w:lang w:val="es-ES"/>
        </w:rPr>
        <w:t>(17)</w:t>
      </w:r>
      <w:r w:rsidRPr="006F33AE">
        <w:rPr>
          <w:rFonts w:ascii="Arial" w:hAnsi="Arial" w:cs="Arial"/>
        </w:rPr>
        <w:fldChar w:fldCharType="end"/>
      </w:r>
      <w:r w:rsidRPr="006F33AE">
        <w:rPr>
          <w:rFonts w:ascii="Arial" w:hAnsi="Arial" w:cs="Arial"/>
          <w:lang w:val="es-ES"/>
        </w:rPr>
        <w:t xml:space="preserve">, sin embargo, este instrumento no cuenta con el proceso de adaptación transcultural, validez y confiabilidad al idioma español. La escala RASS por el contrario si posee una adaptación transcultural y propiedades </w:t>
      </w:r>
      <w:r w:rsidR="0028692B" w:rsidRPr="006F33AE">
        <w:rPr>
          <w:rFonts w:ascii="Arial" w:hAnsi="Arial" w:cs="Arial"/>
          <w:lang w:val="es-ES"/>
        </w:rPr>
        <w:t xml:space="preserve">clinimétricas </w:t>
      </w:r>
      <w:r w:rsidRPr="006F33AE">
        <w:rPr>
          <w:rFonts w:ascii="Arial" w:hAnsi="Arial" w:cs="Arial"/>
          <w:lang w:val="es-ES"/>
        </w:rPr>
        <w:t>en español</w:t>
      </w:r>
      <w:r w:rsidR="00C71A69" w:rsidRPr="006F33AE">
        <w:rPr>
          <w:rFonts w:ascii="Arial" w:hAnsi="Arial" w:cs="Arial"/>
          <w:lang w:val="es-ES"/>
        </w:rPr>
        <w:t xml:space="preserve"> </w:t>
      </w:r>
      <w:r w:rsidRPr="006F33AE">
        <w:rPr>
          <w:rFonts w:ascii="Arial" w:hAnsi="Arial" w:cs="Arial"/>
          <w:lang w:val="es-ES"/>
        </w:rPr>
        <w:fldChar w:fldCharType="begin" w:fldLock="1"/>
      </w:r>
      <w:r w:rsidR="00105895" w:rsidRPr="006F33AE">
        <w:rPr>
          <w:rFonts w:ascii="Arial" w:hAnsi="Arial" w:cs="Arial"/>
          <w:lang w:val="es-ES"/>
        </w:rPr>
        <w:instrText>ADDIN CSL_CITATION {"citationItems":[{"id":"ITEM-1","itemData":{"DOI":"10.1016/j.rca.2016.04.003","ISSN":"22562087","abstract":"Introduction Goal oriented sedation is standard in the management of critically ill patients, but its systematic evaluation is not frequent. The Richmond agitation sedation scale's efficient operative features make it a validated instrument for sedation assessment. Objectives To translate and validate the Richmond agitation sedation scale into Spanish. Method A cultural and linguistic adaptation study was designed. Translation into Spanish included back-translation and pilot testing. The inter-rater reliability testing was conducted in Clínica Colombia's cardiovascular and general intensive care unit, including 100 patients mechanically ventilated and sedated. Inter-rater reliability was tested using Kappa statistics and intra-class correlation coefficient. This study was approved by Fundación Universitaria Sanitas Research and Ethics Institute and Clínica Sanitas Research Committee. Results 300 assessments using the Spanish version of the Richmond agitation sedation scale were performed by three independent evaluators. The intra-class correlation coefficient was 0.977 (CI 95% 0.968–0.984). The kappa was 0.84 between the first and second evaluators 0.85 between the first and third evaluators and 0.86 between the second and third evaluators. Conclusion The product of this study, the Spanish version of the Richmond agitation sedation scale, is conceptually equivalent to the original scale, being reproducible and understandable to physicians whose native language is Spanish.","author":[{"dropping-particle":"","family":"Rojas-Gambasica","given":"José Antonio","non-dropping-particle":"","parse-names":false,"suffix":""},{"dropping-particle":"","family":"Valencia-Moreno","given":"Albert","non-dropping-particle":"","parse-names":false,"suffix":""},{"dropping-particle":"","family":"Nieto-Estrada","given":"Víctor Hugo","non-dropping-particle":"","parse-names":false,"suffix":""},{"dropping-particle":"","family":"Méndez-Osorio","given":"Pablo","non-dropping-particle":"","parse-names":false,"suffix":""},{"dropping-particle":"","family":"Molano-Franco","given":"Daniel","non-dropping-particle":"","parse-names":false,"suffix":""},{"dropping-particle":"","family":"Jiménez-Quimbaya","given":"Álvaro Tito","non-dropping-particle":"","parse-names":false,"suffix":""},{"dropping-particle":"","family":"Escobar-Modesto","given":"Raúl","non-dropping-particle":"","parse-names":false,"suffix":""},{"dropping-particle":"","family":"Cortés-Rodríguez","given":"Nayibe","non-dropping-particle":"","parse-names":false,"suffix":""},{"dropping-particle":"","family":"Correa","given":"Liliana Paola","non-dropping-particle":"","parse-names":false,"suffix":""}],"container-title":"Revista Colombiana de Anestesiologia","id":"ITEM-1","issue":"3","issued":{"date-parts":[["2016"]]},"page":"218-223","title":"Transcultural and linguistic adaptation of the Richmond agitation-sedation scale to spanish","type":"article-journal","volume":"44"},"uris":["http://www.mendeley.com/documents/?uuid=0035dc5f-f2f4-494d-9515-f74bcf800eba"]}],"mendeley":{"formattedCitation":"(18)","plainTextFormattedCitation":"(18)","previouslyFormattedCitation":"(18)"},"properties":{"noteIndex":0},"schema":"https://github.com/citation-style-language/schema/raw/master/csl-citation.json"}</w:instrText>
      </w:r>
      <w:r w:rsidRPr="006F33AE">
        <w:rPr>
          <w:rFonts w:ascii="Arial" w:hAnsi="Arial" w:cs="Arial"/>
          <w:lang w:val="es-ES"/>
        </w:rPr>
        <w:fldChar w:fldCharType="separate"/>
      </w:r>
      <w:r w:rsidR="00693E84" w:rsidRPr="006F33AE">
        <w:rPr>
          <w:rFonts w:ascii="Arial" w:hAnsi="Arial" w:cs="Arial"/>
          <w:noProof/>
          <w:lang w:val="es-ES"/>
        </w:rPr>
        <w:t>(18)</w:t>
      </w:r>
      <w:r w:rsidRPr="006F33AE">
        <w:rPr>
          <w:rFonts w:ascii="Arial" w:hAnsi="Arial" w:cs="Arial"/>
        </w:rPr>
        <w:fldChar w:fldCharType="end"/>
      </w:r>
      <w:r w:rsidRPr="006F33AE">
        <w:rPr>
          <w:rFonts w:ascii="Arial" w:hAnsi="Arial" w:cs="Arial"/>
          <w:lang w:val="es-ES"/>
        </w:rPr>
        <w:t xml:space="preserve">. Una razón por la cual este elemento presentó un alto cumplimiento podría ser la actualización del protocolo interno de sedación y analgesia, utilizando infografías que contienen la escala RASS en el lugar donde se realizan los registros clínicos, siendo un estímulo constante para su correcta implementación. </w:t>
      </w:r>
    </w:p>
    <w:p w14:paraId="514AD850" w14:textId="77777777" w:rsidR="00CF7655" w:rsidRPr="006F33AE" w:rsidRDefault="00CF7655" w:rsidP="004C4FD0">
      <w:pPr>
        <w:spacing w:line="480" w:lineRule="auto"/>
        <w:ind w:left="57"/>
        <w:rPr>
          <w:rFonts w:ascii="Arial" w:hAnsi="Arial" w:cs="Arial"/>
          <w:lang w:val="es-ES"/>
        </w:rPr>
      </w:pPr>
    </w:p>
    <w:p w14:paraId="3F5951D3" w14:textId="3806B469" w:rsidR="00CF7655" w:rsidRPr="006F33AE" w:rsidRDefault="00CF7655" w:rsidP="004C4FD0">
      <w:pPr>
        <w:spacing w:line="480" w:lineRule="auto"/>
        <w:ind w:left="57"/>
        <w:rPr>
          <w:rFonts w:ascii="Arial" w:hAnsi="Arial" w:cs="Arial"/>
          <w:lang w:val="es-ES"/>
        </w:rPr>
      </w:pPr>
      <w:r w:rsidRPr="006F33AE">
        <w:rPr>
          <w:rFonts w:ascii="Arial" w:hAnsi="Arial" w:cs="Arial"/>
          <w:lang w:val="es-ES"/>
        </w:rPr>
        <w:t>Pese a que el elemento “D” obtuvo un 24% de cumplimiento y el 100% de los registros fue utilizando CAM-ICU, existe una gran diferencia con la incidencia de deliri</w:t>
      </w:r>
      <w:r w:rsidR="007E5AF7" w:rsidRPr="006F33AE">
        <w:rPr>
          <w:rFonts w:ascii="Arial" w:hAnsi="Arial" w:cs="Arial"/>
          <w:lang w:val="es-ES"/>
        </w:rPr>
        <w:t>o</w:t>
      </w:r>
      <w:r w:rsidRPr="006F33AE">
        <w:rPr>
          <w:rFonts w:ascii="Arial" w:hAnsi="Arial" w:cs="Arial"/>
          <w:lang w:val="es-ES"/>
        </w:rPr>
        <w:t xml:space="preserve"> reportada en la literatura. El 9</w:t>
      </w:r>
      <w:r w:rsidR="00167580" w:rsidRPr="006F33AE">
        <w:rPr>
          <w:rFonts w:ascii="Arial" w:hAnsi="Arial" w:cs="Arial"/>
          <w:lang w:val="es-ES"/>
        </w:rPr>
        <w:t>,</w:t>
      </w:r>
      <w:r w:rsidRPr="006F33AE">
        <w:rPr>
          <w:rFonts w:ascii="Arial" w:hAnsi="Arial" w:cs="Arial"/>
          <w:lang w:val="es-ES"/>
        </w:rPr>
        <w:t xml:space="preserve">6% de las evaluaciones totales registradas se reportó como CAM-ICU positivo, siendo esta incidencia del 12,3% </w:t>
      </w:r>
      <w:r w:rsidR="00B05B46" w:rsidRPr="006F33AE">
        <w:rPr>
          <w:rFonts w:ascii="Arial" w:hAnsi="Arial" w:cs="Arial"/>
          <w:lang w:val="es-ES"/>
        </w:rPr>
        <w:t>en</w:t>
      </w:r>
      <w:r w:rsidRPr="006F33AE">
        <w:rPr>
          <w:rFonts w:ascii="Arial" w:hAnsi="Arial" w:cs="Arial"/>
          <w:lang w:val="es-ES"/>
        </w:rPr>
        <w:t xml:space="preserve"> los días-paciente </w:t>
      </w:r>
      <w:r w:rsidR="00B05B46" w:rsidRPr="006F33AE">
        <w:rPr>
          <w:rFonts w:ascii="Arial" w:hAnsi="Arial" w:cs="Arial"/>
          <w:lang w:val="es-ES"/>
        </w:rPr>
        <w:t>en</w:t>
      </w:r>
      <w:r w:rsidRPr="006F33AE">
        <w:rPr>
          <w:rFonts w:ascii="Arial" w:hAnsi="Arial" w:cs="Arial"/>
          <w:lang w:val="es-ES"/>
        </w:rPr>
        <w:t xml:space="preserve"> VMI. Sin embargo, </w:t>
      </w:r>
      <w:r w:rsidR="00B05B46" w:rsidRPr="006F33AE">
        <w:rPr>
          <w:rFonts w:ascii="Arial" w:hAnsi="Arial" w:cs="Arial"/>
          <w:lang w:val="es-ES"/>
        </w:rPr>
        <w:t>la</w:t>
      </w:r>
      <w:r w:rsidRPr="006F33AE">
        <w:rPr>
          <w:rFonts w:ascii="Arial" w:hAnsi="Arial" w:cs="Arial"/>
          <w:lang w:val="es-ES"/>
        </w:rPr>
        <w:t xml:space="preserve"> incidencia </w:t>
      </w:r>
      <w:r w:rsidR="00B05B46" w:rsidRPr="006F33AE">
        <w:rPr>
          <w:rFonts w:ascii="Arial" w:hAnsi="Arial" w:cs="Arial"/>
          <w:lang w:val="es-ES"/>
        </w:rPr>
        <w:t xml:space="preserve">reportada es </w:t>
      </w:r>
      <w:r w:rsidRPr="006F33AE">
        <w:rPr>
          <w:rFonts w:ascii="Arial" w:hAnsi="Arial" w:cs="Arial"/>
          <w:lang w:val="es-ES"/>
        </w:rPr>
        <w:t>del 87%</w:t>
      </w:r>
      <w:r w:rsidR="007E240A" w:rsidRPr="006F33AE">
        <w:rPr>
          <w:rFonts w:ascii="Arial" w:hAnsi="Arial" w:cs="Arial"/>
          <w:lang w:val="es-ES"/>
        </w:rPr>
        <w:t xml:space="preserve"> </w:t>
      </w:r>
      <w:r w:rsidR="00DA0537" w:rsidRPr="006F33AE">
        <w:rPr>
          <w:rFonts w:ascii="Arial" w:hAnsi="Arial" w:cs="Arial"/>
          <w:lang w:val="es-ES"/>
        </w:rPr>
        <w:t>y la</w:t>
      </w:r>
      <w:r w:rsidR="00B05B46" w:rsidRPr="006F33AE">
        <w:rPr>
          <w:rFonts w:ascii="Arial" w:hAnsi="Arial" w:cs="Arial"/>
          <w:lang w:val="es-ES"/>
        </w:rPr>
        <w:t xml:space="preserve"> importancia del deliri</w:t>
      </w:r>
      <w:r w:rsidR="00DA0537" w:rsidRPr="006F33AE">
        <w:rPr>
          <w:rFonts w:ascii="Arial" w:hAnsi="Arial" w:cs="Arial"/>
          <w:lang w:val="es-ES"/>
        </w:rPr>
        <w:t>o</w:t>
      </w:r>
      <w:r w:rsidR="00B05B46" w:rsidRPr="006F33AE">
        <w:rPr>
          <w:rFonts w:ascii="Arial" w:hAnsi="Arial" w:cs="Arial"/>
          <w:lang w:val="es-ES"/>
        </w:rPr>
        <w:t xml:space="preserve"> es que los pacientes</w:t>
      </w:r>
      <w:r w:rsidRPr="006F33AE">
        <w:rPr>
          <w:rFonts w:ascii="Arial" w:hAnsi="Arial" w:cs="Arial"/>
        </w:rPr>
        <w:t xml:space="preserve"> con </w:t>
      </w:r>
      <w:r w:rsidR="00DA0537" w:rsidRPr="006F33AE">
        <w:rPr>
          <w:rFonts w:ascii="Arial" w:hAnsi="Arial" w:cs="Arial"/>
        </w:rPr>
        <w:t xml:space="preserve">esta condición </w:t>
      </w:r>
      <w:r w:rsidR="00B05B46" w:rsidRPr="006F33AE">
        <w:rPr>
          <w:rFonts w:ascii="Arial" w:hAnsi="Arial" w:cs="Arial"/>
        </w:rPr>
        <w:t xml:space="preserve">tienen </w:t>
      </w:r>
      <w:r w:rsidRPr="006F33AE">
        <w:rPr>
          <w:rFonts w:ascii="Arial" w:hAnsi="Arial" w:cs="Arial"/>
        </w:rPr>
        <w:t xml:space="preserve">tasas de mortalidad más altas en comparación a los que no </w:t>
      </w:r>
      <w:r w:rsidR="00DA0537" w:rsidRPr="006F33AE">
        <w:rPr>
          <w:rFonts w:ascii="Arial" w:hAnsi="Arial" w:cs="Arial"/>
        </w:rPr>
        <w:t xml:space="preserve">la presentaron </w:t>
      </w:r>
      <w:r w:rsidRPr="006F33AE">
        <w:rPr>
          <w:rFonts w:ascii="Arial" w:hAnsi="Arial" w:cs="Arial"/>
        </w:rPr>
        <w:t>presentaron (34% vs 15%, p = 0</w:t>
      </w:r>
      <w:r w:rsidR="00167580" w:rsidRPr="006F33AE">
        <w:rPr>
          <w:rFonts w:ascii="Arial" w:hAnsi="Arial" w:cs="Arial"/>
        </w:rPr>
        <w:t>,</w:t>
      </w:r>
      <w:r w:rsidRPr="006F33AE">
        <w:rPr>
          <w:rFonts w:ascii="Arial" w:hAnsi="Arial" w:cs="Arial"/>
        </w:rPr>
        <w:t>03)</w:t>
      </w:r>
      <w:r w:rsidRPr="006F33AE">
        <w:rPr>
          <w:rFonts w:ascii="Arial" w:hAnsi="Arial" w:cs="Arial"/>
        </w:rPr>
        <w:fldChar w:fldCharType="begin" w:fldLock="1"/>
      </w:r>
      <w:r w:rsidR="00105895" w:rsidRPr="006F33AE">
        <w:rPr>
          <w:rFonts w:ascii="Arial" w:hAnsi="Arial" w:cs="Arial"/>
        </w:rPr>
        <w:instrText>ADDIN CSL_CITATION {"citationItems":[{"id":"ITEM-1","itemData":{"DOI":"10.1001/jama.291.14.1753","ISSN":"00987484","abstract":"Context. In the intensive care unit (ICU), delirium is a common yet underdiagnosed form of organ dysfunction, and its contribution to patient outcomes is unclear. Objective. To determine if delirium is an independent predictor of clinical outcomes, including 6-month mortality and length of stay among ICU patients receiving mechanical ventilation. Design, Setting, and Participants. Prospective cohort study enrolling 275 consecutive mechanically ventilated patients admitted to adult medical and coronary ICUs of a US university-based medical center between February 2000 and May 2001. Patients were followed up for development of delirium over 2158 ICU days using the Confusion Assessment Method for the ICU and the Richmond Agitation-Sedation Scale. Main Outcome Measures. Primary outcomes included 6-month mortality, overall hospital length of stay, and length of stay in the post-ICU period. Secondary outcomes were ventilator-free days and cognitive impairment at hospital discharge. Results. Of 275 patients, 51 (18.5%) had persistent coma and died in the hospital. Among the remaining 224 patients, 183 (81.7%) developed delirium at some point during the ICU stay. Baseline demographics including age, comorbidity scores, dementia scores, activities of daily living, severity of illness, and admission diagnoses were similar between those with and without delirium (P&gt;.05 for all). Patients who developed delirium had higher 6-month mortality rates (34% vs 15%, P=.03) and spent 10 days longer in the hospital than those who never developed delirium (P&lt;.001). After adjusting for covariates (including age, severity of illness, comorbid conditions, coma, and use of sedatives or analgesic medications), delirium was independently associated with higher 6-month mortality (adjusted hazard ratio [HR], 3.2; 95% confidence interval [CI], 1.4-7.7; P=.008), and longer hospital stay (adjusted HR, 2.0; 95% CI, 1.4-3.0; P&lt;.001). Delirium in the ICU was also independently associated with a longer post-ICU stay (adjusted HR, 1.6; 95% CI, 1.2-2.3; P=.009), fewer median days alive and without mechanical ventilation (19 [interquartile range, 4-231 vs 24 [19-261; adjusted P=.03), and a higher incidence of cognitive impairment at hospital discharge (adjusted HR, 9.1; 95% CI, 2.3-35.3; P=.002). Conclusion. Delirium was an independent predictor of higher 6-month mortality and longer hospital stay even after adjusting for relevant covariates including coma, sedatives, and analgesics in patient…","author":[{"dropping-particle":"","family":"Ely","given":"E. Wesley","non-dropping-particle":"","parse-names":false,"suffix":""},{"dropping-particle":"","family":"Shintani","given":"Ayumi","non-dropping-particle":"","parse-names":false,"suffix":""},{"dropping-particle":"","family":"Truman","given":"Brenda","non-dropping-particle":"","parse-names":false,"suffix":""},{"dropping-particle":"","family":"Speroff","given":"Theodore","non-dropping-particle":"","parse-names":false,"suffix":""},{"dropping-particle":"","family":"Gordon","given":"Sharon M.","non-dropping-particle":"","parse-names":false,"suffix":""},{"dropping-particle":"","family":"Harrell","given":"Frank E.","non-dropping-particle":"","parse-names":false,"suffix":""},{"dropping-particle":"","family":"Inouye","given":"Sharon K.","non-dropping-particle":"","parse-names":false,"suffix":""},{"dropping-particle":"","family":"Bernard","given":"Gordon R.","non-dropping-particle":"","parse-names":false,"suffix":""},{"dropping-particle":"","family":"Dittus","given":"Robert S.","non-dropping-particle":"","parse-names":false,"suffix":""}],"container-title":"Journal of the American Medical Association","id":"ITEM-1","issue":"14","issued":{"date-parts":[["2004"]]},"page":"1753-1762","title":"Delirium as a Predictor of Mortality in Mechanically Ventilated Patients in the Intensive Care Unit","type":"article-journal","volume":"291"},"uris":["http://www.mendeley.com/documents/?uuid=b0e6c144-03f6-4c13-92a2-c83df1e6cf66"]}],"mendeley":{"formattedCitation":"(19)","plainTextFormattedCitation":"(19)","previouslyFormattedCitation":"(19)"},"properties":{"noteIndex":0},"schema":"https://github.com/citation-style-language/schema/raw/master/csl-citation.json"}</w:instrText>
      </w:r>
      <w:r w:rsidRPr="006F33AE">
        <w:rPr>
          <w:rFonts w:ascii="Arial" w:hAnsi="Arial" w:cs="Arial"/>
        </w:rPr>
        <w:fldChar w:fldCharType="separate"/>
      </w:r>
      <w:r w:rsidR="00693E84" w:rsidRPr="006F33AE">
        <w:rPr>
          <w:rFonts w:ascii="Arial" w:hAnsi="Arial" w:cs="Arial"/>
          <w:noProof/>
        </w:rPr>
        <w:t>(19)</w:t>
      </w:r>
      <w:r w:rsidRPr="006F33AE">
        <w:rPr>
          <w:rFonts w:ascii="Arial" w:hAnsi="Arial" w:cs="Arial"/>
        </w:rPr>
        <w:fldChar w:fldCharType="end"/>
      </w:r>
      <w:r w:rsidRPr="006F33AE">
        <w:rPr>
          <w:rFonts w:ascii="Arial" w:hAnsi="Arial" w:cs="Arial"/>
          <w:lang w:val="es-ES"/>
        </w:rPr>
        <w:t xml:space="preserve">. </w:t>
      </w:r>
      <w:r w:rsidR="00B05B46" w:rsidRPr="006F33AE">
        <w:rPr>
          <w:rFonts w:ascii="Arial" w:hAnsi="Arial" w:cs="Arial"/>
          <w:lang w:val="es-ES"/>
        </w:rPr>
        <w:t>La</w:t>
      </w:r>
      <w:r w:rsidR="0028692B" w:rsidRPr="006F33AE">
        <w:rPr>
          <w:rFonts w:ascii="Arial" w:hAnsi="Arial" w:cs="Arial"/>
          <w:lang w:val="es-ES"/>
        </w:rPr>
        <w:t xml:space="preserve"> subvaloración de</w:t>
      </w:r>
      <w:r w:rsidR="00B05B46" w:rsidRPr="006F33AE">
        <w:rPr>
          <w:rFonts w:ascii="Arial" w:hAnsi="Arial" w:cs="Arial"/>
          <w:lang w:val="es-ES"/>
        </w:rPr>
        <w:t>l</w:t>
      </w:r>
      <w:r w:rsidR="0028692B" w:rsidRPr="006F33AE">
        <w:rPr>
          <w:rFonts w:ascii="Arial" w:hAnsi="Arial" w:cs="Arial"/>
          <w:lang w:val="es-ES"/>
        </w:rPr>
        <w:t xml:space="preserve"> delirium</w:t>
      </w:r>
      <w:r w:rsidRPr="006F33AE">
        <w:rPr>
          <w:rFonts w:ascii="Arial" w:hAnsi="Arial" w:cs="Arial"/>
          <w:lang w:val="es-ES"/>
        </w:rPr>
        <w:t xml:space="preserve"> </w:t>
      </w:r>
      <w:r w:rsidR="00B05B46" w:rsidRPr="006F33AE">
        <w:rPr>
          <w:rFonts w:ascii="Arial" w:hAnsi="Arial" w:cs="Arial"/>
          <w:lang w:val="es-ES"/>
        </w:rPr>
        <w:t xml:space="preserve">se </w:t>
      </w:r>
      <w:r w:rsidR="00B05B46" w:rsidRPr="006F33AE">
        <w:rPr>
          <w:rFonts w:ascii="Arial" w:hAnsi="Arial" w:cs="Arial"/>
          <w:lang w:val="es-ES"/>
        </w:rPr>
        <w:lastRenderedPageBreak/>
        <w:t xml:space="preserve">podría explicar por una </w:t>
      </w:r>
      <w:r w:rsidRPr="006F33AE">
        <w:rPr>
          <w:rFonts w:ascii="Arial" w:hAnsi="Arial" w:cs="Arial"/>
          <w:lang w:val="es-ES"/>
        </w:rPr>
        <w:t xml:space="preserve">evaluación tardía, ya que el 66,2% de los registros se realizaron en días-paciente que no recibieron VMI, </w:t>
      </w:r>
      <w:r w:rsidR="00B05B46" w:rsidRPr="006F33AE">
        <w:rPr>
          <w:rFonts w:ascii="Arial" w:hAnsi="Arial" w:cs="Arial"/>
          <w:lang w:val="es-ES"/>
        </w:rPr>
        <w:t xml:space="preserve">lo cual </w:t>
      </w:r>
      <w:r w:rsidRPr="006F33AE">
        <w:rPr>
          <w:rFonts w:ascii="Arial" w:hAnsi="Arial" w:cs="Arial"/>
          <w:lang w:val="es-ES"/>
        </w:rPr>
        <w:t xml:space="preserve">disminuye las posibilidades de pesquisar la condición cuando </w:t>
      </w:r>
      <w:r w:rsidR="00B05B46" w:rsidRPr="006F33AE">
        <w:rPr>
          <w:rFonts w:ascii="Arial" w:hAnsi="Arial" w:cs="Arial"/>
          <w:lang w:val="es-ES"/>
        </w:rPr>
        <w:t xml:space="preserve">los pacientes </w:t>
      </w:r>
      <w:r w:rsidRPr="006F33AE">
        <w:rPr>
          <w:rFonts w:ascii="Arial" w:hAnsi="Arial" w:cs="Arial"/>
          <w:lang w:val="es-ES"/>
        </w:rPr>
        <w:t>estuvieron conectados a VMI</w:t>
      </w:r>
      <w:r w:rsidR="00693E84" w:rsidRPr="006F33AE">
        <w:rPr>
          <w:rFonts w:ascii="Arial" w:hAnsi="Arial" w:cs="Arial"/>
          <w:lang w:val="es-ES"/>
        </w:rPr>
        <w:t xml:space="preserve"> </w:t>
      </w:r>
      <w:r w:rsidR="00693E84" w:rsidRPr="006F33AE">
        <w:rPr>
          <w:rFonts w:ascii="Arial" w:hAnsi="Arial" w:cs="Arial"/>
          <w:lang w:val="es-ES"/>
        </w:rPr>
        <w:fldChar w:fldCharType="begin" w:fldLock="1"/>
      </w:r>
      <w:r w:rsidR="00105895" w:rsidRPr="006F33AE">
        <w:rPr>
          <w:rFonts w:ascii="Arial" w:hAnsi="Arial" w:cs="Arial"/>
          <w:lang w:val="es-ES"/>
        </w:rPr>
        <w:instrText>ADDIN CSL_CITATION {"citationItems":[{"id":"ITEM-1","itemData":{"DOI":"10.1186/s12871-019-0732-8","ISSN":"14712253","PMID":"31010417","abstract":"Following publication of the original article [1], the authors reported a missing data on Table 1 in their paper. The original article [1] has been updated. The correct Table 1 is shown below. [Table Presented].","author":[{"dropping-particle":"","family":"Chaiwat","given":"Onuma","non-dropping-particle":"","parse-names":false,"suffix":""},{"dropping-particle":"","family":"Chanidnuan","given":"Mellada","non-dropping-particle":"","parse-names":false,"suffix":""},{"dropping-particle":"","family":"Pancharoen","given":"Worapat","non-dropping-particle":"","parse-names":false,"suffix":""},{"dropping-particle":"","family":"Vijitmala","given":"Kittiya","non-dropping-particle":"","parse-names":false,"suffix":""},{"dropping-particle":"","family":"Danpornprasert","given":"Praniti","non-dropping-particle":"","parse-names":false,"suffix":""},{"dropping-particle":"","family":"Toadithep","given":"Puriwat","non-dropping-particle":"","parse-names":false,"suffix":""},{"dropping-particle":"","family":"Thanakiattiwibun","given":"Chayanan","non-dropping-particle":"","parse-names":false,"suffix":""}],"container-title":"BMC Anesthesiology","id":"ITEM-1","issue":"1","issued":{"date-parts":[["2019"]]},"page":"1-10","publisher":"BMC Anesthesiology","title":"Correction to: Postoperative delirium in critically ill surgical patients: incidence, risk factors, and predictive scores (BMC Anesthesiology (2019) 19 (39) 10.1186/s12871-019-0694-x)","type":"article-journal","volume":"19"},"uris":["http://www.mendeley.com/documents/?uuid=4aa8ee23-6241-471e-8145-efa4b1fafce5"]}],"mendeley":{"formattedCitation":"(20)","plainTextFormattedCitation":"(20)","previouslyFormattedCitation":"(20)"},"properties":{"noteIndex":0},"schema":"https://github.com/citation-style-language/schema/raw/master/csl-citation.json"}</w:instrText>
      </w:r>
      <w:r w:rsidR="00693E84" w:rsidRPr="006F33AE">
        <w:rPr>
          <w:rFonts w:ascii="Arial" w:hAnsi="Arial" w:cs="Arial"/>
          <w:lang w:val="es-ES"/>
        </w:rPr>
        <w:fldChar w:fldCharType="separate"/>
      </w:r>
      <w:r w:rsidR="00693E84" w:rsidRPr="006F33AE">
        <w:rPr>
          <w:rFonts w:ascii="Arial" w:hAnsi="Arial" w:cs="Arial"/>
          <w:noProof/>
          <w:lang w:val="es-ES"/>
        </w:rPr>
        <w:t>(20)</w:t>
      </w:r>
      <w:r w:rsidR="00693E84" w:rsidRPr="006F33AE">
        <w:rPr>
          <w:rFonts w:ascii="Arial" w:hAnsi="Arial" w:cs="Arial"/>
          <w:lang w:val="es-ES"/>
        </w:rPr>
        <w:fldChar w:fldCharType="end"/>
      </w:r>
      <w:r w:rsidRPr="006F33AE">
        <w:rPr>
          <w:rFonts w:ascii="Arial" w:hAnsi="Arial" w:cs="Arial"/>
          <w:lang w:val="es-ES"/>
        </w:rPr>
        <w:t xml:space="preserve">. </w:t>
      </w:r>
    </w:p>
    <w:p w14:paraId="60A4E08B" w14:textId="77777777" w:rsidR="00CF7655" w:rsidRPr="006F33AE" w:rsidRDefault="00CF7655" w:rsidP="004C4FD0">
      <w:pPr>
        <w:spacing w:line="480" w:lineRule="auto"/>
        <w:ind w:left="57"/>
        <w:rPr>
          <w:rFonts w:ascii="Arial" w:hAnsi="Arial" w:cs="Arial"/>
          <w:lang w:val="es-ES"/>
        </w:rPr>
      </w:pPr>
    </w:p>
    <w:p w14:paraId="30472CFB" w14:textId="726BCF00" w:rsidR="00CF7655" w:rsidRPr="006F33AE" w:rsidRDefault="00CF7655" w:rsidP="004C4FD0">
      <w:pPr>
        <w:spacing w:line="480" w:lineRule="auto"/>
        <w:ind w:left="57"/>
        <w:rPr>
          <w:rFonts w:ascii="Arial" w:hAnsi="Arial" w:cs="Arial"/>
          <w:highlight w:val="yellow"/>
          <w:lang w:val="es-ES"/>
        </w:rPr>
      </w:pPr>
      <w:r w:rsidRPr="006F33AE">
        <w:rPr>
          <w:rFonts w:ascii="Arial" w:hAnsi="Arial" w:cs="Arial"/>
          <w:lang w:val="es-ES"/>
        </w:rPr>
        <w:t xml:space="preserve">Realizar </w:t>
      </w:r>
      <w:r w:rsidR="00A4509E" w:rsidRPr="006F33AE">
        <w:rPr>
          <w:rFonts w:ascii="Arial" w:hAnsi="Arial" w:cs="Arial"/>
          <w:lang w:val="es-ES"/>
        </w:rPr>
        <w:t xml:space="preserve">movilización temprana </w:t>
      </w:r>
      <w:r w:rsidRPr="006F33AE">
        <w:rPr>
          <w:rFonts w:ascii="Arial" w:hAnsi="Arial" w:cs="Arial"/>
          <w:lang w:val="es-ES"/>
        </w:rPr>
        <w:t>en un paciente que recibe VMI es un proceso complejo, ya que requiere cambios en las rutinas clínicas, colaboración, comunicación oportuna y eficiente entre disciplinas profesionales</w:t>
      </w:r>
      <w:r w:rsidR="00DD4E62" w:rsidRPr="006F33AE">
        <w:rPr>
          <w:rFonts w:ascii="Arial" w:hAnsi="Arial" w:cs="Arial"/>
          <w:lang w:val="es-ES"/>
        </w:rPr>
        <w:t xml:space="preserve"> </w:t>
      </w:r>
      <w:r w:rsidRPr="006F33AE">
        <w:rPr>
          <w:rFonts w:ascii="Arial" w:hAnsi="Arial" w:cs="Arial"/>
          <w:lang w:val="es-ES"/>
        </w:rPr>
        <w:fldChar w:fldCharType="begin" w:fldLock="1"/>
      </w:r>
      <w:r w:rsidR="00105895" w:rsidRPr="006F33AE">
        <w:rPr>
          <w:rFonts w:ascii="Arial" w:hAnsi="Arial" w:cs="Arial"/>
          <w:lang w:val="es-ES"/>
        </w:rPr>
        <w:instrText>ADDIN CSL_CITATION {"citationItems":[{"id":"ITEM-1","itemData":{"DOI":"10.1016/j.ijnurstu.2017.09.019","ISBN":"1873-491X","ISSN":"00207489","PMID":"29073462","abstract":"Background: The intensive care unit provides complex care for critically ill patients. Consequently, due to the nature of critical illness and the therapies administered in intensive care, patients are often on prolonged periods of bed rest with limited mobility. It has been recognised that mobilising critically ill patients is beneficial to patients' recovery, however implementing early mobility as a standard of care remains challenging in practice. Objectives: To identify the key factors that underpin successful implementation and sustainability of early mo-bilisation in adult intensive care units. Design: Integrative Review. Data source: A systematic search strategy guided by SPICE framework (Setting, Perspective, Intervention, Comparison, Evaluation) was used to formulate the research question, identify study inclusion and exclusion criteria, and guide the database search strategy. Computerised databases were searched from August–September 2016. Quality improvement articles that identified project implementation of early mobilisation of mechanically ventilated adult intensive care patients were included. Review methods: After screening the articles, extracting project data and completing summary tables, critical appraisal of the quality improvement projects was completed using the Quality Improvement Minimum Quality Criteria Set. A modified version of the Cochrane Effective Practice and Organisation of Care taxonomy was used to synthesise the multifaceted implementation strategies the projects utilised to help bring about changes in clinician behaviour. Results: Thirteen articles, reflecting 12 projects meeting the inclusion criteria were included in the final analysis. Eleven projects were conducted in the United States, and one in the United Kingdom. Quality scores ranged from 6 to 15. A formal framework to guide the quality improvement process was used in 9 projects. The three most frequently used groups of implementation strategies were educational meetings, clinical practice guidelines and tailored interventions. Managing the change process through strong leadership, designing strategies and inter-ventions to overcome barriers to implementation, multidisciplinary team collaboration and data collection and feedback underpinned successful and sustainable early mobility practice change. Conclusion: The use of a quality improvement appraisal tool can help identify high quality projects when planning a similar mobility program. Even though projects …","author":[{"dropping-particle":"","family":"Phelan","given":"Sonja","non-dropping-particle":"","parse-names":false,"suffix":""},{"dropping-particle":"","family":"Lin","given":"Frances","non-dropping-particle":"","parse-names":false,"suffix":""},{"dropping-particle":"","family":"Mitchell","given":"Marion","non-dropping-particle":"","parse-names":false,"suffix":""},{"dropping-particle":"","family":"Chaboyer","given":"Wendy","non-dropping-particle":"","parse-names":false,"suffix":""}],"container-title":"International Journal of Nursing Studies","id":"ITEM-1","issue":"March 2017","issued":{"date-parts":[["2017"]]},"page":"91-105","publisher":"Elsevier","title":"Implementing early mobilisation in the intensive care unit: An integrative review","type":"article-journal","volume":"77"},"uris":["http://www.mendeley.com/documents/?uuid=f4600c13-e176-4d9d-8297-75bf65842009"]}],"mendeley":{"formattedCitation":"(21)","plainTextFormattedCitation":"(21)","previouslyFormattedCitation":"(21)"},"properties":{"noteIndex":0},"schema":"https://github.com/citation-style-language/schema/raw/master/csl-citation.json"}</w:instrText>
      </w:r>
      <w:r w:rsidRPr="006F33AE">
        <w:rPr>
          <w:rFonts w:ascii="Arial" w:hAnsi="Arial" w:cs="Arial"/>
          <w:lang w:val="es-ES"/>
        </w:rPr>
        <w:fldChar w:fldCharType="separate"/>
      </w:r>
      <w:r w:rsidR="00693E84" w:rsidRPr="006F33AE">
        <w:rPr>
          <w:rFonts w:ascii="Arial" w:hAnsi="Arial" w:cs="Arial"/>
          <w:noProof/>
          <w:lang w:val="es-ES"/>
        </w:rPr>
        <w:t>(21)</w:t>
      </w:r>
      <w:r w:rsidRPr="006F33AE">
        <w:rPr>
          <w:rFonts w:ascii="Arial" w:hAnsi="Arial" w:cs="Arial"/>
        </w:rPr>
        <w:fldChar w:fldCharType="end"/>
      </w:r>
      <w:r w:rsidRPr="006F33AE">
        <w:rPr>
          <w:rFonts w:ascii="Arial" w:hAnsi="Arial" w:cs="Arial"/>
          <w:lang w:val="es-ES"/>
        </w:rPr>
        <w:t xml:space="preserve">. </w:t>
      </w:r>
      <w:r w:rsidR="00DD4E62" w:rsidRPr="006F33AE">
        <w:rPr>
          <w:rFonts w:ascii="Arial" w:hAnsi="Arial" w:cs="Arial"/>
          <w:lang w:val="es-ES"/>
        </w:rPr>
        <w:t>Aunque e</w:t>
      </w:r>
      <w:r w:rsidRPr="006F33AE">
        <w:rPr>
          <w:rFonts w:ascii="Arial" w:hAnsi="Arial" w:cs="Arial"/>
          <w:lang w:val="es-ES"/>
        </w:rPr>
        <w:t>l elemento “E” fue el más implementado</w:t>
      </w:r>
      <w:r w:rsidR="00DD4E62" w:rsidRPr="006F33AE">
        <w:rPr>
          <w:rFonts w:ascii="Arial" w:hAnsi="Arial" w:cs="Arial"/>
          <w:lang w:val="es-ES"/>
        </w:rPr>
        <w:t xml:space="preserve">, </w:t>
      </w:r>
      <w:r w:rsidRPr="006F33AE">
        <w:rPr>
          <w:rFonts w:ascii="Arial" w:hAnsi="Arial" w:cs="Arial"/>
          <w:lang w:val="es-ES"/>
        </w:rPr>
        <w:t>86%</w:t>
      </w:r>
      <w:r w:rsidR="00DD4E62" w:rsidRPr="006F33AE">
        <w:rPr>
          <w:rFonts w:ascii="Arial" w:hAnsi="Arial" w:cs="Arial"/>
          <w:lang w:val="es-ES"/>
        </w:rPr>
        <w:t xml:space="preserve"> </w:t>
      </w:r>
      <w:r w:rsidRPr="006F33AE">
        <w:rPr>
          <w:rFonts w:ascii="Arial" w:hAnsi="Arial" w:cs="Arial"/>
          <w:lang w:val="es-ES"/>
        </w:rPr>
        <w:t>de las modalidades de terapia física implementadas fueron en días-paciente que no recibieron VMI. En</w:t>
      </w:r>
      <w:r w:rsidR="00DD4E62" w:rsidRPr="006F33AE">
        <w:rPr>
          <w:rFonts w:ascii="Arial" w:hAnsi="Arial" w:cs="Arial"/>
          <w:lang w:val="es-ES"/>
        </w:rPr>
        <w:t xml:space="preserve"> términos del contenido de las sesiones,</w:t>
      </w:r>
      <w:r w:rsidRPr="006F33AE">
        <w:rPr>
          <w:rFonts w:ascii="Arial" w:hAnsi="Arial" w:cs="Arial"/>
          <w:lang w:val="es-ES"/>
        </w:rPr>
        <w:t xml:space="preserve"> </w:t>
      </w:r>
      <w:r w:rsidR="00DD4E62" w:rsidRPr="006F33AE">
        <w:rPr>
          <w:rFonts w:ascii="Arial" w:hAnsi="Arial" w:cs="Arial"/>
          <w:lang w:val="es-ES"/>
        </w:rPr>
        <w:t>pacientes sin VMI realizan más</w:t>
      </w:r>
      <w:r w:rsidRPr="006F33AE">
        <w:rPr>
          <w:rFonts w:ascii="Arial" w:hAnsi="Arial" w:cs="Arial"/>
          <w:lang w:val="es-ES"/>
        </w:rPr>
        <w:t xml:space="preserve"> actividades fuera de la cama, mientras que </w:t>
      </w:r>
      <w:r w:rsidR="00DD4E62" w:rsidRPr="006F33AE">
        <w:rPr>
          <w:rFonts w:ascii="Arial" w:hAnsi="Arial" w:cs="Arial"/>
          <w:lang w:val="es-ES"/>
        </w:rPr>
        <w:t xml:space="preserve">los pacientes en VM realizaron </w:t>
      </w:r>
      <w:r w:rsidRPr="006F33AE">
        <w:rPr>
          <w:rFonts w:ascii="Arial" w:hAnsi="Arial" w:cs="Arial"/>
          <w:lang w:val="es-ES"/>
        </w:rPr>
        <w:t>movilidad pasiva en cama, movilidad activa en cama y sedente al borde de la cama. Sólo 1 día-paciente con VMI recibió marcha en comparación a los 139 días-paciente sin VMI que realizó marcha.</w:t>
      </w:r>
      <w:r w:rsidR="00A4509E" w:rsidRPr="006F33AE">
        <w:rPr>
          <w:rFonts w:ascii="Arial" w:hAnsi="Arial" w:cs="Arial"/>
          <w:lang w:val="es-ES"/>
        </w:rPr>
        <w:t xml:space="preserve"> Nuestros resultados podrían tener consistencia con lo descrito </w:t>
      </w:r>
      <w:r w:rsidR="00851959" w:rsidRPr="006F33AE">
        <w:rPr>
          <w:rFonts w:ascii="Arial" w:hAnsi="Arial" w:cs="Arial"/>
          <w:lang w:val="es-ES"/>
        </w:rPr>
        <w:t xml:space="preserve">recientemente </w:t>
      </w:r>
      <w:r w:rsidR="00556351" w:rsidRPr="006F33AE">
        <w:rPr>
          <w:rFonts w:ascii="Arial" w:hAnsi="Arial" w:cs="Arial"/>
          <w:lang w:val="es-ES"/>
        </w:rPr>
        <w:t>en la literatura</w:t>
      </w:r>
      <w:r w:rsidR="00851959" w:rsidRPr="006F33AE">
        <w:rPr>
          <w:rFonts w:ascii="Arial" w:hAnsi="Arial" w:cs="Arial"/>
          <w:lang w:val="es-ES"/>
        </w:rPr>
        <w:t>,</w:t>
      </w:r>
      <w:r w:rsidR="00A4509E" w:rsidRPr="006F33AE">
        <w:rPr>
          <w:rFonts w:ascii="Arial" w:hAnsi="Arial" w:cs="Arial"/>
          <w:lang w:val="es-ES"/>
        </w:rPr>
        <w:t xml:space="preserve"> </w:t>
      </w:r>
      <w:r w:rsidR="00814A4A" w:rsidRPr="006F33AE">
        <w:rPr>
          <w:rFonts w:ascii="Arial" w:hAnsi="Arial" w:cs="Arial"/>
          <w:lang w:val="es-ES"/>
        </w:rPr>
        <w:t xml:space="preserve">reportándose </w:t>
      </w:r>
      <w:r w:rsidR="00A4509E" w:rsidRPr="006F33AE">
        <w:rPr>
          <w:rFonts w:ascii="Arial" w:hAnsi="Arial" w:cs="Arial"/>
          <w:lang w:val="es-ES"/>
        </w:rPr>
        <w:t xml:space="preserve">que los pacientes en UCI pasan el 97,5% del tiempo inactivos </w:t>
      </w:r>
      <w:r w:rsidR="00A4509E" w:rsidRPr="006F33AE">
        <w:rPr>
          <w:rFonts w:ascii="Arial" w:hAnsi="Arial" w:cs="Arial"/>
          <w:lang w:val="es-ES"/>
        </w:rPr>
        <w:fldChar w:fldCharType="begin" w:fldLock="1"/>
      </w:r>
      <w:r w:rsidR="00105895" w:rsidRPr="006F33AE">
        <w:rPr>
          <w:rFonts w:ascii="Arial" w:hAnsi="Arial" w:cs="Arial"/>
          <w:lang w:val="es-ES"/>
        </w:rPr>
        <w:instrText>ADDIN CSL_CITATION {"citationItems":[{"id":"ITEM-1","itemData":{"DOI":"10.1016/j.apmr.2020.04.019","ISSN":"1532821X","PMID":"32446906","abstract":"Objective: To evaluate the construct validity (hypotheses testing) of the Chilean-Spanish version of the Functional Status Score for the Intensive Care Unit (FSS-ICU) using continuous actigraphy from intensive care unit (ICU) admission to ICU discharge. Design: The Chilean-Spanish version of the FSS-ICU was used in a prospective observational study to mainly evaluate its correlation with actigraphy variables. The FSS-ICU was assessed on awakening and at ICU discharge, while actigraphy variables were recorded from ICU admission to ICU discharge. Setting: A 12-bed academic medical-surgical ICU. Participants: Mechanically ventilated patients (N=30), of 92 patients screened. Interventions: Not applicable. Main Outcome Measures: Construct validity of the FSS-ICU Chilean-Spanish version was assessed by testing 12 hypotheses, including the correlation with activity counts, activity time (&gt;99 counts/min), inactivity time (0-99 counts/min), muscle strength, ICU length of stay, and duration of mechanical ventilation. Results: The median FSS-ICU was 19 points (interquartile range [IQR], 10-26 points) on awakening and 28.5 points (IQR, 22-32 points) at ICU discharge. There was no floor/ceiling effect of the FSS-ICU at awakening (0%/0%) and only a ceiling effect at ICU discharge that was acceptable (0%/10%). Less activity time was associated with better mobility on the FSS-ICU at both awakening (ρ=−0.62, P&lt;.001) and ICU discharge (ρ=−0.79, P&lt;.001). Activity counts and activity time were not correlated as expected with the FSS-ICU. Conclusions: The Chilean-Spanish FSS-ICU had a strong correlation with inactivity time during the ICU stay. These findings enhance the available clinimetric properties of the FSS-ICU.","author":[{"dropping-particle":"","family":"Camus-Molina","given":"Agustín","non-dropping-particle":"","parse-names":false,"suffix":""},{"dropping-particle":"","family":"González-Seguel","given":"Felipe","non-dropping-particle":"","parse-names":false,"suffix":""},{"dropping-particle":"","family":"Castro-Ávila","given":"Ana Cristina","non-dropping-particle":"","parse-names":false,"suffix":""},{"dropping-particle":"","family":"Leppe","given":"Jaime","non-dropping-particle":"","parse-names":false,"suffix":""}],"container-title":"Archives of Physical Medicine and Rehabilitation","id":"ITEM-1","issue":"11","issued":{"date-parts":[["2020"]]},"page":"1914-1921","title":"Construct Validity of the Chilean-Spanish Version of the Functional Status Score for the Intensive Care Unit: A Prospective Observational Study Using Actigraphy in Mechanically Ventilated Patients","type":"article-journal","volume":"101"},"uris":["http://www.mendeley.com/documents/?uuid=ace564e5-3110-48e5-a4ef-adf488e3b324"]}],"mendeley":{"formattedCitation":"(22)","plainTextFormattedCitation":"(22)","previouslyFormattedCitation":"(22)"},"properties":{"noteIndex":0},"schema":"https://github.com/citation-style-language/schema/raw/master/csl-citation.json"}</w:instrText>
      </w:r>
      <w:r w:rsidR="00A4509E" w:rsidRPr="006F33AE">
        <w:rPr>
          <w:rFonts w:ascii="Arial" w:hAnsi="Arial" w:cs="Arial"/>
          <w:lang w:val="es-ES"/>
        </w:rPr>
        <w:fldChar w:fldCharType="separate"/>
      </w:r>
      <w:r w:rsidR="00693E84" w:rsidRPr="006F33AE">
        <w:rPr>
          <w:rFonts w:ascii="Arial" w:hAnsi="Arial" w:cs="Arial"/>
          <w:noProof/>
          <w:lang w:val="es-ES"/>
        </w:rPr>
        <w:t>(22)</w:t>
      </w:r>
      <w:r w:rsidR="00A4509E" w:rsidRPr="006F33AE">
        <w:rPr>
          <w:rFonts w:ascii="Arial" w:hAnsi="Arial" w:cs="Arial"/>
          <w:lang w:val="es-ES"/>
        </w:rPr>
        <w:fldChar w:fldCharType="end"/>
      </w:r>
      <w:r w:rsidR="00A4509E" w:rsidRPr="006F33AE">
        <w:rPr>
          <w:rFonts w:ascii="Arial" w:hAnsi="Arial" w:cs="Arial"/>
          <w:lang w:val="es-ES"/>
        </w:rPr>
        <w:t xml:space="preserve">. </w:t>
      </w:r>
      <w:r w:rsidRPr="006F33AE">
        <w:rPr>
          <w:rFonts w:ascii="Arial" w:hAnsi="Arial" w:cs="Arial"/>
          <w:lang w:val="es-ES"/>
        </w:rPr>
        <w:t>Por lo tanto, la cultura de la unidad,</w:t>
      </w:r>
      <w:r w:rsidR="00A54467" w:rsidRPr="006F33AE">
        <w:rPr>
          <w:rFonts w:ascii="Arial" w:hAnsi="Arial" w:cs="Arial"/>
          <w:lang w:val="es-ES"/>
        </w:rPr>
        <w:t xml:space="preserve"> </w:t>
      </w:r>
      <w:r w:rsidRPr="006F33AE">
        <w:rPr>
          <w:rFonts w:ascii="Arial" w:hAnsi="Arial" w:cs="Arial"/>
          <w:lang w:val="es-ES"/>
        </w:rPr>
        <w:t xml:space="preserve">la falta de conocimiento de los otros estamentos profesionales, de planificación y de recursos podrían explicar </w:t>
      </w:r>
      <w:r w:rsidR="00DD4E62" w:rsidRPr="006F33AE">
        <w:rPr>
          <w:rFonts w:ascii="Arial" w:hAnsi="Arial" w:cs="Arial"/>
          <w:lang w:val="es-ES"/>
        </w:rPr>
        <w:t>este hallazgo</w:t>
      </w:r>
      <w:r w:rsidRPr="006F33AE">
        <w:rPr>
          <w:rFonts w:ascii="Arial" w:hAnsi="Arial" w:cs="Arial"/>
          <w:lang w:val="es-ES"/>
        </w:rPr>
        <w:t xml:space="preserve"> </w:t>
      </w:r>
      <w:r w:rsidRPr="006F33AE">
        <w:rPr>
          <w:rFonts w:ascii="Arial" w:hAnsi="Arial" w:cs="Arial"/>
          <w:lang w:val="es-ES"/>
        </w:rPr>
        <w:fldChar w:fldCharType="begin" w:fldLock="1"/>
      </w:r>
      <w:r w:rsidR="00105895" w:rsidRPr="006F33AE">
        <w:rPr>
          <w:rFonts w:ascii="Arial" w:hAnsi="Arial" w:cs="Arial"/>
          <w:lang w:val="es-ES"/>
        </w:rPr>
        <w:instrText>ADDIN CSL_CITATION {"citationItems":[{"id":"ITEM-1","itemData":{"DOI":"10.1513/AnnalsATS.201509-586CME","author":[{"dropping-particle":"","family":"Dubb","given":"Rolf","non-dropping-particle":"","parse-names":false,"suffix":""},{"dropping-particle":"","family":"Nydahl","given":"Peter","non-dropping-particle":"","parse-names":false,"suffix":""},{"dropping-particle":"","family":"Hermes","given":"Carsten","non-dropping-particle":"","parse-names":false,"suffix":""},{"dropping-particle":"","family":"Schwabbauer","given":"Norbert","non-dropping-particle":"","parse-names":false,"suffix":""},{"dropping-particle":"","family":"Toonstra","given":"Amy","non-dropping-particle":"","parse-names":false,"suffix":""},{"dropping-particle":"","family":"Parker","given":"Ann M","non-dropping-particle":"","parse-names":false,"suffix":""},{"dropping-particle":"","family":"Kaltwasser","given":"Arnold","non-dropping-particle":"","parse-names":false,"suffix":""},{"dropping-particle":"","family":"Needham","given":"Dale M","non-dropping-particle":"","parse-names":false,"suffix":""}],"id":"ITEM-1","issue":"5","issued":{"date-parts":[["2016"]]},"title":"Barriers and Strategies for Early Mobilization of Patients in Intensive Care Units","type":"article-journal","volume":"13"},"uris":["http://www.mendeley.com/documents/?uuid=1daf76f8-12dc-4138-9e16-3f0f43089e88"]}],"mendeley":{"formattedCitation":"(23)","plainTextFormattedCitation":"(23)","previouslyFormattedCitation":"(23)"},"properties":{"noteIndex":0},"schema":"https://github.com/citation-style-language/schema/raw/master/csl-citation.json"}</w:instrText>
      </w:r>
      <w:r w:rsidRPr="006F33AE">
        <w:rPr>
          <w:rFonts w:ascii="Arial" w:hAnsi="Arial" w:cs="Arial"/>
          <w:lang w:val="es-ES"/>
        </w:rPr>
        <w:fldChar w:fldCharType="separate"/>
      </w:r>
      <w:r w:rsidR="00693E84" w:rsidRPr="006F33AE">
        <w:rPr>
          <w:rFonts w:ascii="Arial" w:hAnsi="Arial" w:cs="Arial"/>
          <w:noProof/>
          <w:lang w:val="es-ES"/>
        </w:rPr>
        <w:t>(23)</w:t>
      </w:r>
      <w:r w:rsidRPr="006F33AE">
        <w:rPr>
          <w:rFonts w:ascii="Arial" w:hAnsi="Arial" w:cs="Arial"/>
        </w:rPr>
        <w:fldChar w:fldCharType="end"/>
      </w:r>
      <w:r w:rsidRPr="006F33AE">
        <w:rPr>
          <w:rFonts w:ascii="Arial" w:hAnsi="Arial" w:cs="Arial"/>
          <w:lang w:val="es-ES"/>
        </w:rPr>
        <w:t xml:space="preserve">. </w:t>
      </w:r>
      <w:r w:rsidR="00DD4E62" w:rsidRPr="006F33AE">
        <w:rPr>
          <w:rFonts w:ascii="Arial" w:hAnsi="Arial" w:cs="Arial"/>
          <w:lang w:val="es-ES"/>
        </w:rPr>
        <w:t xml:space="preserve">Además, </w:t>
      </w:r>
      <w:r w:rsidRPr="006F33AE">
        <w:rPr>
          <w:rFonts w:ascii="Arial" w:hAnsi="Arial" w:cs="Arial"/>
          <w:lang w:val="es-ES_tradnl"/>
        </w:rPr>
        <w:t>las influencias sociales y la regulación del comportamiento en el equipo de profesionales podría ser una barrera para la implementación de movilización temprana en pacientes que recibieron VMI</w:t>
      </w:r>
      <w:r w:rsidR="00167580" w:rsidRPr="006F33AE">
        <w:rPr>
          <w:rFonts w:ascii="Arial" w:hAnsi="Arial" w:cs="Arial"/>
          <w:lang w:val="es-ES_tradnl"/>
        </w:rPr>
        <w:t xml:space="preserve"> </w:t>
      </w:r>
      <w:r w:rsidRPr="006F33AE">
        <w:rPr>
          <w:rFonts w:ascii="Arial" w:hAnsi="Arial" w:cs="Arial"/>
          <w:lang w:val="es-ES_tradnl"/>
        </w:rPr>
        <w:fldChar w:fldCharType="begin" w:fldLock="1"/>
      </w:r>
      <w:r w:rsidR="00105895" w:rsidRPr="006F33AE">
        <w:rPr>
          <w:rFonts w:ascii="Arial" w:hAnsi="Arial" w:cs="Arial"/>
          <w:lang w:val="es-ES_tradnl"/>
        </w:rPr>
        <w:instrText>ADDIN CSL_CITATION {"citationItems":[{"id":"ITEM-1","itemData":{"DOI":"10.1186/s40560-018-0273-0","ISSN":"20520492","abstract":"Background Despite a supportive evidence base and a push to implement, the uptake of early rehabilitation in critical care has been inconsistent. The objective of this study was to explore barriers and facilitators to early rehabilitation for critically ill patients receiving invasive mechanical ventilation. Methods Using the Theoretical Domains Framework (TDF) of behavior change, we conducted semi-structured interviews exploring barriers and facilitators to early rehabilitation among four purposively sampled ICU clinician groups (nurses, rehabilitation professionals, respiratory therapists, and physicians). The TDF is a comprehensive framework of 14 \"construct domains,\" synthesized from 33 theories of behavior that was developed to study determinants of behavior and to design interventions to improve evidence-based healthcare practice. A topic guide was developed and piloted based on the TDF and expert knowledge. Interviews were audio-recorded and transcribed verbatim. Transcripts were content analyzed by coding items into domains and then synthesized into more specific, over-arching themes or \"beliefs.\" An expert consensus group used structured decision rules to classify beliefs as high, moderate, or low in importance. Results We interviewed 40 stakeholders from the four clinician groups and identified 135 separate beliefs. Of these, 19 were classified as high, 40 as moderate, and 76 of low importance as barriers or facilitators. All beliefs classified as highly important fell within one of seven TDF domains: skills, social/professional role and identity, beliefs about capabilities, beliefs about consequences, environmental context/resources, social influences, and behavioral regulation. Beliefs of lower importance fell under the following seven domains: knowledge; optimism; reinforcement; intention; goals; memory, attention, and decision processes; and emotion. Quantitative differences in stated beliefs about early rehabilitation between professional groups were not common. Conclusions This study identified important barriers and facilitators to early rehabilitation in critical care patients. Domains identified as important should be considered when designing interventions to increase uptake of early rehabilitation.","author":[{"dropping-particle":"","family":"Goddard","given":"Shannon L.","non-dropping-particle":"","parse-names":false,"suffix":""},{"dropping-particle":"","family":"Lorencatto","given":"Fabiana","non-dropping-particle":"","parse-names":false,"suffix":""},{"dropping-particle":"","family":"Koo","given":"Ellen","non-dropping-particle":"","parse-names":false,"suffix":""},{"dropping-particle":"","family":"Rose","given":"Louise","non-dropping-particle":"","parse-names":false,"suffix":""},{"dropping-particle":"","family":"Fan","given":"Eddy","non-dropping-particle":"","parse-names":false,"suffix":""},{"dropping-particle":"","family":"Kho","given":"Michelle E.","non-dropping-particle":"","parse-names":false,"suffix":""},{"dropping-particle":"","family":"Needham","given":"Dale M.","non-dropping-particle":"","parse-names":false,"suffix":""},{"dropping-particle":"","family":"Rubenfeld","given":"Gordon D.","non-dropping-particle":"","parse-names":false,"suffix":""},{"dropping-particle":"","family":"Francis","given":"Jill J.","non-dropping-particle":"","parse-names":false,"suffix":""},{"dropping-particle":"","family":"Cuthbertson","given":"Brian H.","non-dropping-particle":"","parse-names":false,"suffix":""}],"container-title":"Journal of Intensive Care","id":"ITEM-1","issue":"1","issued":{"date-parts":[["2018"]]},"page":"1-8","publisher":"Journal of Intensive Care","title":"Barriers and facilitators to early rehabilitation in mechanically ventilated patients-a theory-driven interview study","type":"article-journal","volume":"6"},"uris":["http://www.mendeley.com/documents/?uuid=0b7bdfdf-a7be-4d23-8b07-f1d58b190321"]}],"mendeley":{"formattedCitation":"(24)","plainTextFormattedCitation":"(24)","previouslyFormattedCitation":"(24)"},"properties":{"noteIndex":0},"schema":"https://github.com/citation-style-language/schema/raw/master/csl-citation.json"}</w:instrText>
      </w:r>
      <w:r w:rsidRPr="006F33AE">
        <w:rPr>
          <w:rFonts w:ascii="Arial" w:hAnsi="Arial" w:cs="Arial"/>
          <w:lang w:val="es-ES_tradnl"/>
        </w:rPr>
        <w:fldChar w:fldCharType="separate"/>
      </w:r>
      <w:r w:rsidR="00693E84" w:rsidRPr="006F33AE">
        <w:rPr>
          <w:rFonts w:ascii="Arial" w:hAnsi="Arial" w:cs="Arial"/>
          <w:noProof/>
          <w:lang w:val="es-ES_tradnl"/>
        </w:rPr>
        <w:t>(24)</w:t>
      </w:r>
      <w:r w:rsidRPr="006F33AE">
        <w:rPr>
          <w:rFonts w:ascii="Arial" w:hAnsi="Arial" w:cs="Arial"/>
        </w:rPr>
        <w:fldChar w:fldCharType="end"/>
      </w:r>
      <w:r w:rsidRPr="006F33AE">
        <w:rPr>
          <w:rFonts w:ascii="Arial" w:hAnsi="Arial" w:cs="Arial"/>
          <w:lang w:val="es-ES_tradnl"/>
        </w:rPr>
        <w:t>.</w:t>
      </w:r>
    </w:p>
    <w:p w14:paraId="35957605" w14:textId="77777777" w:rsidR="00CF7655" w:rsidRPr="006F33AE" w:rsidRDefault="00CF7655" w:rsidP="004C4FD0">
      <w:pPr>
        <w:spacing w:line="480" w:lineRule="auto"/>
        <w:ind w:left="57"/>
        <w:rPr>
          <w:rFonts w:ascii="Arial" w:hAnsi="Arial" w:cs="Arial"/>
          <w:lang w:val="es-ES_tradnl"/>
        </w:rPr>
      </w:pPr>
    </w:p>
    <w:p w14:paraId="41DD79AE" w14:textId="3FA174C3" w:rsidR="00CF7655" w:rsidRPr="006F33AE" w:rsidRDefault="00CF7655" w:rsidP="004C4FD0">
      <w:pPr>
        <w:spacing w:line="480" w:lineRule="auto"/>
        <w:ind w:left="57"/>
        <w:rPr>
          <w:rFonts w:ascii="Arial" w:hAnsi="Arial" w:cs="Arial"/>
          <w:lang w:val="es-ES"/>
        </w:rPr>
      </w:pPr>
      <w:r w:rsidRPr="006F33AE">
        <w:rPr>
          <w:rFonts w:ascii="Arial" w:hAnsi="Arial" w:cs="Arial"/>
          <w:lang w:val="es-ES_tradnl"/>
        </w:rPr>
        <w:t xml:space="preserve">El 0,17% de cumplimiento </w:t>
      </w:r>
      <w:r w:rsidR="00D708CE" w:rsidRPr="006F33AE">
        <w:rPr>
          <w:rFonts w:ascii="Arial" w:hAnsi="Arial" w:cs="Arial"/>
          <w:lang w:val="es-ES_tradnl"/>
        </w:rPr>
        <w:t>en el</w:t>
      </w:r>
      <w:r w:rsidRPr="006F33AE">
        <w:rPr>
          <w:rFonts w:ascii="Arial" w:hAnsi="Arial" w:cs="Arial"/>
          <w:lang w:val="es-ES_tradnl"/>
        </w:rPr>
        <w:t xml:space="preserve"> elemento “F” también tiene consistencia con la percepci</w:t>
      </w:r>
      <w:r w:rsidR="00DD4E62" w:rsidRPr="006F33AE">
        <w:rPr>
          <w:rFonts w:ascii="Arial" w:hAnsi="Arial" w:cs="Arial"/>
          <w:lang w:val="es-ES_tradnl"/>
        </w:rPr>
        <w:t>ó</w:t>
      </w:r>
      <w:r w:rsidRPr="006F33AE">
        <w:rPr>
          <w:rFonts w:ascii="Arial" w:hAnsi="Arial" w:cs="Arial"/>
          <w:lang w:val="es-ES_tradnl"/>
        </w:rPr>
        <w:t xml:space="preserve">n del </w:t>
      </w:r>
      <w:r w:rsidRPr="006F33AE">
        <w:rPr>
          <w:rFonts w:ascii="Arial" w:hAnsi="Arial" w:cs="Arial"/>
          <w:lang w:val="es-ES"/>
        </w:rPr>
        <w:t xml:space="preserve">73,3% de los </w:t>
      </w:r>
      <w:r w:rsidRPr="006F33AE">
        <w:rPr>
          <w:rFonts w:ascii="Arial" w:hAnsi="Arial" w:cs="Arial"/>
          <w:lang w:val="es-ES_tradnl"/>
        </w:rPr>
        <w:t xml:space="preserve">profesionales de la UCI </w:t>
      </w:r>
      <w:r w:rsidR="00DD4E62" w:rsidRPr="006F33AE">
        <w:rPr>
          <w:rFonts w:ascii="Arial" w:hAnsi="Arial" w:cs="Arial"/>
          <w:lang w:val="es-ES_tradnl"/>
        </w:rPr>
        <w:t>de</w:t>
      </w:r>
      <w:r w:rsidRPr="006F33AE">
        <w:rPr>
          <w:rFonts w:ascii="Arial" w:hAnsi="Arial" w:cs="Arial"/>
          <w:lang w:val="es-ES"/>
        </w:rPr>
        <w:t xml:space="preserve"> que la inclusión de la familia </w:t>
      </w:r>
      <w:r w:rsidR="00C20FCC" w:rsidRPr="006F33AE">
        <w:rPr>
          <w:rFonts w:ascii="Arial" w:hAnsi="Arial" w:cs="Arial"/>
          <w:lang w:val="es-ES"/>
        </w:rPr>
        <w:t>e</w:t>
      </w:r>
      <w:r w:rsidRPr="006F33AE">
        <w:rPr>
          <w:rFonts w:ascii="Arial" w:hAnsi="Arial" w:cs="Arial"/>
          <w:lang w:val="es-ES"/>
        </w:rPr>
        <w:t xml:space="preserve">n la unidad es baja. </w:t>
      </w:r>
      <w:r w:rsidR="00814A4A" w:rsidRPr="006F33AE">
        <w:rPr>
          <w:rFonts w:ascii="Arial" w:hAnsi="Arial" w:cs="Arial"/>
          <w:lang w:val="es-ES"/>
        </w:rPr>
        <w:t>El año 2017 se</w:t>
      </w:r>
      <w:r w:rsidR="00DD4E62" w:rsidRPr="006F33AE">
        <w:rPr>
          <w:rFonts w:ascii="Arial" w:hAnsi="Arial" w:cs="Arial"/>
          <w:lang w:val="es-ES"/>
        </w:rPr>
        <w:t xml:space="preserve"> realizó u</w:t>
      </w:r>
      <w:r w:rsidRPr="006F33AE">
        <w:rPr>
          <w:rFonts w:ascii="Arial" w:hAnsi="Arial" w:cs="Arial"/>
          <w:lang w:val="es-ES"/>
        </w:rPr>
        <w:t>na encuesta mundial</w:t>
      </w:r>
      <w:r w:rsidR="00814A4A" w:rsidRPr="006F33AE">
        <w:rPr>
          <w:rFonts w:ascii="Arial" w:hAnsi="Arial" w:cs="Arial"/>
          <w:lang w:val="es-ES"/>
        </w:rPr>
        <w:t xml:space="preserve"> en función del </w:t>
      </w:r>
      <w:r w:rsidR="00AD58D7" w:rsidRPr="006F33AE">
        <w:rPr>
          <w:rFonts w:ascii="Arial" w:hAnsi="Arial" w:cs="Arial"/>
          <w:lang w:val="es-ES"/>
        </w:rPr>
        <w:t>“</w:t>
      </w:r>
      <w:proofErr w:type="spellStart"/>
      <w:r w:rsidR="00AD58D7" w:rsidRPr="006F33AE">
        <w:rPr>
          <w:rFonts w:ascii="Arial" w:hAnsi="Arial" w:cs="Arial"/>
          <w:lang w:val="es-ES"/>
        </w:rPr>
        <w:t>bundle</w:t>
      </w:r>
      <w:proofErr w:type="spellEnd"/>
      <w:r w:rsidR="00AD58D7" w:rsidRPr="006F33AE">
        <w:rPr>
          <w:rFonts w:ascii="Arial" w:hAnsi="Arial" w:cs="Arial"/>
          <w:lang w:val="es-ES"/>
        </w:rPr>
        <w:t>”</w:t>
      </w:r>
      <w:r w:rsidR="00DD4E62" w:rsidRPr="006F33AE">
        <w:rPr>
          <w:rFonts w:ascii="Arial" w:hAnsi="Arial" w:cs="Arial"/>
          <w:lang w:val="es-ES"/>
        </w:rPr>
        <w:t>, encontrando que</w:t>
      </w:r>
      <w:r w:rsidRPr="006F33AE">
        <w:rPr>
          <w:rFonts w:ascii="Arial" w:hAnsi="Arial" w:cs="Arial"/>
          <w:lang w:val="es-ES"/>
        </w:rPr>
        <w:t xml:space="preserve"> en Sudamérica el 77% de las UCI no poseen una política</w:t>
      </w:r>
      <w:r w:rsidR="00A54467" w:rsidRPr="006F33AE">
        <w:rPr>
          <w:rFonts w:ascii="Arial" w:hAnsi="Arial" w:cs="Arial"/>
          <w:lang w:val="es-ES"/>
        </w:rPr>
        <w:t xml:space="preserve"> </w:t>
      </w:r>
      <w:r w:rsidR="00DD4E62" w:rsidRPr="006F33AE">
        <w:rPr>
          <w:rFonts w:ascii="Arial" w:hAnsi="Arial" w:cs="Arial"/>
          <w:lang w:val="es-ES"/>
        </w:rPr>
        <w:t xml:space="preserve">de visita </w:t>
      </w:r>
      <w:r w:rsidRPr="006F33AE">
        <w:rPr>
          <w:rFonts w:ascii="Arial" w:hAnsi="Arial" w:cs="Arial"/>
          <w:lang w:val="es-ES"/>
        </w:rPr>
        <w:t xml:space="preserve">abierta a los familiares las 24 hrs al día </w:t>
      </w:r>
      <w:r w:rsidRPr="006F33AE">
        <w:rPr>
          <w:rFonts w:ascii="Arial" w:hAnsi="Arial" w:cs="Arial"/>
          <w:lang w:val="es-ES"/>
        </w:rPr>
        <w:fldChar w:fldCharType="begin" w:fldLock="1"/>
      </w:r>
      <w:r w:rsidR="00A4509E" w:rsidRPr="006F33AE">
        <w:rPr>
          <w:rFonts w:ascii="Arial" w:hAnsi="Arial" w:cs="Arial"/>
          <w:lang w:val="es-ES"/>
        </w:rPr>
        <w:instrText>ADDIN CSL_CITATION {"citationItems":[{"id":"ITEM-1","itemData":{"DOI":"10.1097/CCM.0000000000002640","ISBN":"0000000000","ISSN":"15300293","PMID":"28787293","abstract":"OBJECTIVES: To assess the knowledge and use of the Assessment, prevention, and management of pain; spontaneous awakening and breathing trials; Choice of analgesia and sedation; Delirium assessment; Early mobility and exercise; and Family engagement and empowerment (ABCDEF) bundle to implement the Pain, Agitation, Delirium guidelines.\nDESIGN: Worldwide online survey.\nSETTING: Intensive care.\nINTERVENTION: A cross-sectional online survey using the Delphi method was administered to intensivists worldwide, to assess the knowledge and use of all aspects of the ABCDEF bundle.\nMEASUREMENT AND MAIN RESULTS: There were 1,521 respondents from 47 countries, 57% had implemented the ABCDEF bundle, with varying degrees of compliance across continents. Most of the respondents (83%) used a scale to evaluate pain. Spontaneous awakening trials and spontaneous breathing trials are performed in 66% and 67% of the responder ICUs, respectively. Sedation scale was used in 89% of ICUs. Delirium monitoring was implemented in 70% of ICUs, but only 42% used a validated delirium tool. Likewise, early mobilization was \"prescribed\" by most, but 69% had no mobility team and 79% used no formal mobility scale. Only 36% of the respondents assessed ICU-acquired weakness. Family members were actively involved in 67% of ICUs; however, only 33% used dedicated staff to support families and only 35% reported that their unit was open 24 hr/d for family visits.\nCONCLUSIONS: The current implementation of the ABCDEF bundle varies across individual components and regions. We identified specific targets for quality improvement and adoption of the ABCDEF bundle. Our data reflect a significant but incomplete shift toward patient- and family-centered ICU care in accordance with the Pain, Agitation, Delirium guidelines.","author":[{"dropping-particle":"","family":"Morandi","given":"Alessandro","non-dropping-particle":"","parse-names":false,"suffix":""},{"dropping-particle":"","family":"Piva","given":"Simone","non-dropping-particle":"","parse-names":false,"suffix":""},{"dropping-particle":"","family":"Ely","given":"E. Wesley","non-dropping-particle":"","parse-names":false,"suffix":""},{"dropping-particle":"","family":"Myatra","given":"Sheila Nainan","non-dropping-particle":"","parse-names":false,"suffix":""},{"dropping-particle":"","family":"Salluh","given":"Jorge I.F.","non-dropping-particle":"","parse-names":false,"suffix":""},{"dropping-particle":"","family":"Amare","given":"Dawit","non-dropping-particle":"","parse-names":false,"suffix":""},{"dropping-particle":"","family":"Azoulay","given":"Elie","non-dropping-particle":"","parse-names":false,"suffix":""},{"dropping-particle":"","family":"Bellelli","given":"Giuseppe","non-dropping-particle":"","parse-names":false,"suffix":""},{"dropping-particle":"","family":"Csomos","given":"Akos","non-dropping-particle":"","parse-names":false,"suffix":""},{"dropping-particle":"","family":"Fan","given":"Eddy","non-dropping-particle":"","parse-names":false,"suffix":""},{"dropping-particle":"","family":"Fagoni","given":"Nazzareno","non-dropping-particle":"","parse-names":false,"suffix":""},{"dropping-particle":"","family":"Girard","given":"Timothy D.","non-dropping-particle":"","parse-names":false,"suffix":""},{"dropping-particle":"","family":"Heras La Calle","given":"Gabriel","non-dropping-particle":"","parse-names":false,"suffix":""},{"dropping-particle":"","family":"Inoue","given":"Shigeaki","non-dropping-particle":"","parse-names":false,"suffix":""},{"dropping-particle":"","family":"Lim","given":"Chae Man","non-dropping-particle":"","parse-names":false,"suffix":""},{"dropping-particle":"","family":"Kaps","given":"Rafael","non-dropping-particle":"","parse-names":false,"suffix":""},{"dropping-particle":"","family":"Kotfis","given":"Katarzyna","non-dropping-particle":"","parse-names":false,"suffix":""},{"dropping-particle":"","family":"Koh","given":"Younsuck","non-dropping-particle":"","parse-names":false,"suffix":""},{"dropping-particle":"","family":"Misango","given":"David","non-dropping-particle":"","parse-names":false,"suffix":""},{"dropping-particle":"","family":"Pandharipande","given":"Pratik P.","non-dropping-particle":"","parse-names":false,"suffix":""},{"dropping-particle":"","family":"Permpikul","given":"Chairat","non-dropping-particle":"","parse-names":false,"suffix":""},{"dropping-particle":"","family":"Cheng Tan","given":"Cheng","non-dropping-particle":"","parse-names":false,"suffix":""},{"dropping-particle":"","family":"Wang","given":"Dong Xin","non-dropping-particle":"","parse-names":false,"suffix":""},{"dropping-particle":"","family":"Sharshar","given":"Tarek","non-dropping-particle":"","parse-names":false,"suffix":""},{"dropping-particle":"","family":"Shehabi","given":"Yahya","non-dropping-particle":"","parse-names":false,"suffix":""},{"dropping-particle":"","family":"Skrobik","given":"Yoanna","non-dropping-particle":"","parse-names":false,"suffix":""},{"dropping-particle":"","family":"Singh","given":"Jeffrey M.","non-dropping-particle":"","parse-names":false,"suffix":""},{"dropping-particle":"","family":"Slooter","given":"Arjen","non-dropping-particle":"","parse-names":false,"suffix":""},{"dropping-particle":"","family":"Smith","given":"Martin","non-dropping-particle":"","parse-names":false,"suffix":""},{"dropping-particle":"","family":"Tsuruta","given":"Ryosuke","non-dropping-particle":"","parse-names":false,"suffix":""},{"dropping-particle":"","family":"Latronico","given":"Nicola","non-dropping-particle":"","parse-names":false,"suffix":""}],"container-title":"Critical care medicine","id":"ITEM-1","issue":"11","issued":{"date-parts":[["2017"]]},"page":"e1111-e1122","title":"Worldwide Survey of the \"Assessing Pain, Both Spontaneous Awakening and Breathing Trials, Choice of Drugs, Delirium Monitoring/Management, Early Exercise/Mobility, and Family Empowerment\" (ABCDEF) Bundle","type":"article-journal","volume":"45"},"uris":["http://www.mendeley.com/documents/?uuid=6be811e5-a302-4e06-ad2d-d3575dfbec0f"]}],"mendeley":{"formattedCitation":"(5)","plainTextFormattedCitation":"(5)","previouslyFormattedCitation":"(5)"},"properties":{"noteIndex":0},"schema":"https://github.com/citation-style-language/schema/raw/master/csl-citation.json"}</w:instrText>
      </w:r>
      <w:r w:rsidRPr="006F33AE">
        <w:rPr>
          <w:rFonts w:ascii="Arial" w:hAnsi="Arial" w:cs="Arial"/>
          <w:lang w:val="es-ES"/>
        </w:rPr>
        <w:fldChar w:fldCharType="separate"/>
      </w:r>
      <w:r w:rsidR="00A4509E" w:rsidRPr="006F33AE">
        <w:rPr>
          <w:rFonts w:ascii="Arial" w:hAnsi="Arial" w:cs="Arial"/>
          <w:noProof/>
          <w:lang w:val="es-ES"/>
        </w:rPr>
        <w:t>(5)</w:t>
      </w:r>
      <w:r w:rsidRPr="006F33AE">
        <w:rPr>
          <w:rFonts w:ascii="Arial" w:hAnsi="Arial" w:cs="Arial"/>
        </w:rPr>
        <w:fldChar w:fldCharType="end"/>
      </w:r>
      <w:r w:rsidRPr="006F33AE">
        <w:rPr>
          <w:rFonts w:ascii="Arial" w:hAnsi="Arial" w:cs="Arial"/>
          <w:lang w:val="es-ES"/>
        </w:rPr>
        <w:t>, lo cual podría explicar la escasa implementación de este ítem. A pesar de que existe una actitud positiva tanto entre los miembros de la familia y los profesionales de salud hacia la participación de los miembros de la familia en las tareas de cuidado activo</w:t>
      </w:r>
      <w:r w:rsidR="00DD4E62" w:rsidRPr="006F33AE">
        <w:rPr>
          <w:rFonts w:ascii="Arial" w:hAnsi="Arial" w:cs="Arial"/>
          <w:lang w:val="es-ES"/>
        </w:rPr>
        <w:t xml:space="preserve"> de su ser querido en la UCI</w:t>
      </w:r>
      <w:r w:rsidRPr="006F33AE">
        <w:rPr>
          <w:rFonts w:ascii="Arial" w:hAnsi="Arial" w:cs="Arial"/>
          <w:lang w:val="es-ES"/>
        </w:rPr>
        <w:t xml:space="preserve">, como dar masajes para prevenir las úlceras por presión, bañarse, </w:t>
      </w:r>
      <w:r w:rsidR="00DD4E62" w:rsidRPr="006F33AE">
        <w:rPr>
          <w:rFonts w:ascii="Arial" w:hAnsi="Arial" w:cs="Arial"/>
          <w:lang w:val="es-ES"/>
        </w:rPr>
        <w:t>cuidado bucal</w:t>
      </w:r>
      <w:r w:rsidRPr="006F33AE">
        <w:rPr>
          <w:rFonts w:ascii="Arial" w:hAnsi="Arial" w:cs="Arial"/>
          <w:lang w:val="es-ES"/>
        </w:rPr>
        <w:t xml:space="preserve"> y </w:t>
      </w:r>
      <w:r w:rsidR="00DD4E62" w:rsidRPr="006F33AE">
        <w:rPr>
          <w:rFonts w:ascii="Arial" w:hAnsi="Arial" w:cs="Arial"/>
          <w:lang w:val="es-ES"/>
        </w:rPr>
        <w:t>ocular</w:t>
      </w:r>
      <w:r w:rsidRPr="006F33AE">
        <w:rPr>
          <w:rFonts w:ascii="Arial" w:hAnsi="Arial" w:cs="Arial"/>
          <w:lang w:val="es-ES"/>
        </w:rPr>
        <w:t xml:space="preserve">, aún se desconoce </w:t>
      </w:r>
      <w:r w:rsidR="00167580" w:rsidRPr="006F33AE">
        <w:rPr>
          <w:rFonts w:ascii="Arial" w:hAnsi="Arial" w:cs="Arial"/>
          <w:lang w:val="es-ES"/>
        </w:rPr>
        <w:t>cómo</w:t>
      </w:r>
      <w:r w:rsidRPr="006F33AE">
        <w:rPr>
          <w:rFonts w:ascii="Arial" w:hAnsi="Arial" w:cs="Arial"/>
          <w:lang w:val="es-ES"/>
        </w:rPr>
        <w:t xml:space="preserve"> se debe estructurar este proceso, al igual que los potenciales resultados que podrían obtener los pacientes</w:t>
      </w:r>
      <w:r w:rsidR="00167580" w:rsidRPr="006F33AE">
        <w:rPr>
          <w:rFonts w:ascii="Arial" w:hAnsi="Arial" w:cs="Arial"/>
          <w:lang w:val="es-ES"/>
        </w:rPr>
        <w:t xml:space="preserve"> </w:t>
      </w:r>
      <w:r w:rsidRPr="006F33AE">
        <w:rPr>
          <w:rFonts w:ascii="Arial" w:hAnsi="Arial" w:cs="Arial"/>
          <w:lang w:val="es-ES"/>
        </w:rPr>
        <w:fldChar w:fldCharType="begin" w:fldLock="1"/>
      </w:r>
      <w:r w:rsidR="00105895" w:rsidRPr="006F33AE">
        <w:rPr>
          <w:rFonts w:ascii="Arial" w:hAnsi="Arial" w:cs="Arial"/>
          <w:lang w:val="es-ES"/>
        </w:rPr>
        <w:instrText>ADDIN CSL_CITATION {"citationItems":[{"id":"ITEM-1","itemData":{"DOI":"10.1097/CCM.0000000000001641","ISBN":"0000000000","ISSN":"15300293","PMID":"26958747","abstract":"Objective: The objective of this article is to provide a summary of the perceptions of healthcare providers and family members toward their role in active patient care in the ICU and compare the views of healthcare providers with those of relatives of critically ill patients. Data Sources: The search was conducted using PubMed as the primary search engine and EMBASE as a secondary search engine. Study Selection: Studies were included if they were conducted in the ICU, had an adult patient population, and contained a discussion of active patient care, including perspective or actions of family members or healthcare providers about the active participation. Data Extraction: Titles and abstracts of articles identified through PubMed and EMBASE were assessed for relevancy of family involvement. The full article was reviewed of titles and abstracts involving family involvement of care in the ICU to assess if the topic was active care and if the article involved perceptions of healthcare providers or family members. The references of all selected articles were then evaluated for the inclusion of additional studies. Data Synthesis: Articles including perceptions of healthcare providers were grouped separately from articles including attitudes of family members. Articles that contained the perceptions of both healthcare providers and family members were considered in both groups but were evaluated with each perspective separately. Examples of specific patient care tasks that were mentioned in each article were identified. Conclusions: A positive attitude exists among both family members and providers toward the involvement of family members in active care tasks. Providers and family members share the attitude that a partnership is necessary and that encouragement for family members to participate is essential. The findings in this review support the need for more objective research regarding how families are caring for their loved ones and how family involvement in care is affecting patient and family outcomes.","author":[{"dropping-particle":"","family":"Liput","given":"Shea A.","non-dropping-particle":"","parse-names":false,"suffix":""},{"dropping-particle":"","family":"Kane-Gill","given":"Sandra L.","non-dropping-particle":"","parse-names":false,"suffix":""},{"dropping-particle":"","family":"Seybert","given":"Amy L.","non-dropping-particle":"","parse-names":false,"suffix":""},{"dropping-particle":"","family":"Smithburger","given":"Pamela L.","non-dropping-particle":"","parse-names":false,"suffix":""}],"container-title":"Critical Care Medicine","id":"ITEM-1","issue":"6","issued":{"date-parts":[["2016"]]},"page":"1191-1197","title":"A review of the perceptions of healthcare providers and family members toward family involvement in active adult patient care in the ICU","type":"article-journal","volume":"44"},"uris":["http://www.mendeley.com/documents/?uuid=c23c7be0-e1cd-454c-9ac7-08031b8321a0"]}],"mendeley":{"formattedCitation":"(25)","plainTextFormattedCitation":"(25)","previouslyFormattedCitation":"(25)"},"properties":{"noteIndex":0},"schema":"https://github.com/citation-style-language/schema/raw/master/csl-citation.json"}</w:instrText>
      </w:r>
      <w:r w:rsidRPr="006F33AE">
        <w:rPr>
          <w:rFonts w:ascii="Arial" w:hAnsi="Arial" w:cs="Arial"/>
          <w:lang w:val="es-ES"/>
        </w:rPr>
        <w:fldChar w:fldCharType="separate"/>
      </w:r>
      <w:r w:rsidR="00693E84" w:rsidRPr="006F33AE">
        <w:rPr>
          <w:rFonts w:ascii="Arial" w:hAnsi="Arial" w:cs="Arial"/>
          <w:noProof/>
          <w:lang w:val="es-ES"/>
        </w:rPr>
        <w:t>(25)</w:t>
      </w:r>
      <w:r w:rsidRPr="006F33AE">
        <w:rPr>
          <w:rFonts w:ascii="Arial" w:hAnsi="Arial" w:cs="Arial"/>
        </w:rPr>
        <w:fldChar w:fldCharType="end"/>
      </w:r>
      <w:r w:rsidRPr="006F33AE">
        <w:rPr>
          <w:rFonts w:ascii="Arial" w:hAnsi="Arial" w:cs="Arial"/>
          <w:lang w:val="es-ES"/>
        </w:rPr>
        <w:t>.</w:t>
      </w:r>
      <w:r w:rsidR="00693E84" w:rsidRPr="006F33AE">
        <w:rPr>
          <w:rFonts w:ascii="Arial" w:hAnsi="Arial" w:cs="Arial"/>
          <w:lang w:val="es-ES"/>
        </w:rPr>
        <w:t xml:space="preserve"> Por lo tanto</w:t>
      </w:r>
      <w:r w:rsidR="00167580" w:rsidRPr="006F33AE">
        <w:rPr>
          <w:rFonts w:ascii="Arial" w:hAnsi="Arial" w:cs="Arial"/>
          <w:lang w:val="es-ES"/>
        </w:rPr>
        <w:t>,</w:t>
      </w:r>
      <w:r w:rsidR="00693E84" w:rsidRPr="006F33AE">
        <w:rPr>
          <w:rFonts w:ascii="Arial" w:hAnsi="Arial" w:cs="Arial"/>
          <w:lang w:val="es-ES"/>
        </w:rPr>
        <w:t xml:space="preserve"> se deben desarrollar estrategias para involucrar a la familia y deben ser estudiadas para conocer su impacto en los resultados de los pacientes.</w:t>
      </w:r>
    </w:p>
    <w:p w14:paraId="6891D636" w14:textId="4AE92B7A" w:rsidR="00CF7655" w:rsidRPr="006F33AE" w:rsidRDefault="00CF7655" w:rsidP="004C4FD0">
      <w:pPr>
        <w:spacing w:line="480" w:lineRule="auto"/>
        <w:ind w:left="57"/>
        <w:rPr>
          <w:rFonts w:ascii="Arial" w:hAnsi="Arial" w:cs="Arial"/>
          <w:lang w:val="es-ES"/>
        </w:rPr>
      </w:pPr>
    </w:p>
    <w:p w14:paraId="6E35BDB6" w14:textId="57E467A3" w:rsidR="00DD4E62" w:rsidRPr="006F33AE" w:rsidRDefault="003A5691" w:rsidP="004C4FD0">
      <w:pPr>
        <w:spacing w:line="480" w:lineRule="auto"/>
        <w:ind w:left="57"/>
        <w:rPr>
          <w:rFonts w:ascii="Arial" w:hAnsi="Arial" w:cs="Arial"/>
          <w:lang w:val="es-ES"/>
        </w:rPr>
      </w:pPr>
      <w:r w:rsidRPr="006F33AE">
        <w:rPr>
          <w:rFonts w:ascii="Arial" w:hAnsi="Arial" w:cs="Arial"/>
          <w:lang w:val="es-ES"/>
        </w:rPr>
        <w:t xml:space="preserve">La prueba de interrupción de la sedación es una práctica de rutina en el 66% de las UCI del mundo y del 77% de las UCI de Sudamérica </w:t>
      </w:r>
      <w:r w:rsidRPr="006F33AE">
        <w:rPr>
          <w:rFonts w:ascii="Arial" w:hAnsi="Arial" w:cs="Arial"/>
          <w:lang w:val="es-ES"/>
        </w:rPr>
        <w:fldChar w:fldCharType="begin" w:fldLock="1"/>
      </w:r>
      <w:r w:rsidRPr="006F33AE">
        <w:rPr>
          <w:rFonts w:ascii="Arial" w:hAnsi="Arial" w:cs="Arial"/>
          <w:lang w:val="es-ES"/>
        </w:rPr>
        <w:instrText>ADDIN CSL_CITATION {"citationItems":[{"id":"ITEM-1","itemData":{"DOI":"10.1097/CCM.0000000000002640","ISBN":"0000000000","ISSN":"15300293","PMID":"28787293","abstract":"OBJECTIVES: To assess the knowledge and use of the Assessment, prevention, and management of pain; spontaneous awakening and breathing trials; Choice of analgesia and sedation; Delirium assessment; Early mobility and exercise; and Family engagement and empowerment (ABCDEF) bundle to implement the Pain, Agitation, Delirium guidelines.\nDESIGN: Worldwide online survey.\nSETTING: Intensive care.\nINTERVENTION: A cross-sectional online survey using the Delphi method was administered to intensivists worldwide, to assess the knowledge and use of all aspects of the ABCDEF bundle.\nMEASUREMENT AND MAIN RESULTS: There were 1,521 respondents from 47 countries, 57% had implemented the ABCDEF bundle, with varying degrees of compliance across continents. Most of the respondents (83%) used a scale to evaluate pain. Spontaneous awakening trials and spontaneous breathing trials are performed in 66% and 67% of the responder ICUs, respectively. Sedation scale was used in 89% of ICUs. Delirium monitoring was implemented in 70% of ICUs, but only 42% used a validated delirium tool. Likewise, early mobilization was \"prescribed\" by most, but 69% had no mobility team and 79% used no formal mobility scale. Only 36% of the respondents assessed ICU-acquired weakness. Family members were actively involved in 67% of ICUs; however, only 33% used dedicated staff to support families and only 35% reported that their unit was open 24 hr/d for family visits.\nCONCLUSIONS: The current implementation of the ABCDEF bundle varies across individual components and regions. We identified specific targets for quality improvement and adoption of the ABCDEF bundle. Our data reflect a significant but incomplete shift toward patient- and family-centered ICU care in accordance with the Pain, Agitation, Delirium guidelines.","author":[{"dropping-particle":"","family":"Morandi","given":"Alessandro","non-dropping-particle":"","parse-names":false,"suffix":""},{"dropping-particle":"","family":"Piva","given":"Simone","non-dropping-particle":"","parse-names":false,"suffix":""},{"dropping-particle":"","family":"Ely","given":"E. Wesley","non-dropping-particle":"","parse-names":false,"suffix":""},{"dropping-particle":"","family":"Myatra","given":"Sheila Nainan","non-dropping-particle":"","parse-names":false,"suffix":""},{"dropping-particle":"","family":"Salluh","given":"Jorge I.F.","non-dropping-particle":"","parse-names":false,"suffix":""},{"dropping-particle":"","family":"Amare","given":"Dawit","non-dropping-particle":"","parse-names":false,"suffix":""},{"dropping-particle":"","family":"Azoulay","given":"Elie","non-dropping-particle":"","parse-names":false,"suffix":""},{"dropping-particle":"","family":"Bellelli","given":"Giuseppe","non-dropping-particle":"","parse-names":false,"suffix":""},{"dropping-particle":"","family":"Csomos","given":"Akos","non-dropping-particle":"","parse-names":false,"suffix":""},{"dropping-particle":"","family":"Fan","given":"Eddy","non-dropping-particle":"","parse-names":false,"suffix":""},{"dropping-particle":"","family":"Fagoni","given":"Nazzareno","non-dropping-particle":"","parse-names":false,"suffix":""},{"dropping-particle":"","family":"Girard","given":"Timothy D.","non-dropping-particle":"","parse-names":false,"suffix":""},{"dropping-particle":"","family":"Heras La Calle","given":"Gabriel","non-dropping-particle":"","parse-names":false,"suffix":""},{"dropping-particle":"","family":"Inoue","given":"Shigeaki","non-dropping-particle":"","parse-names":false,"suffix":""},{"dropping-particle":"","family":"Lim","given":"Chae Man","non-dropping-particle":"","parse-names":false,"suffix":""},{"dropping-particle":"","family":"Kaps","given":"Rafael","non-dropping-particle":"","parse-names":false,"suffix":""},{"dropping-particle":"","family":"Kotfis","given":"Katarzyna","non-dropping-particle":"","parse-names":false,"suffix":""},{"dropping-particle":"","family":"Koh","given":"Younsuck","non-dropping-particle":"","parse-names":false,"suffix":""},{"dropping-particle":"","family":"Misango","given":"David","non-dropping-particle":"","parse-names":false,"suffix":""},{"dropping-particle":"","family":"Pandharipande","given":"Pratik P.","non-dropping-particle":"","parse-names":false,"suffix":""},{"dropping-particle":"","family":"Permpikul","given":"Chairat","non-dropping-particle":"","parse-names":false,"suffix":""},{"dropping-particle":"","family":"Cheng Tan","given":"Cheng","non-dropping-particle":"","parse-names":false,"suffix":""},{"dropping-particle":"","family":"Wang","given":"Dong Xin","non-dropping-particle":"","parse-names":false,"suffix":""},{"dropping-particle":"","family":"Sharshar","given":"Tarek","non-dropping-particle":"","parse-names":false,"suffix":""},{"dropping-particle":"","family":"Shehabi","given":"Yahya","non-dropping-particle":"","parse-names":false,"suffix":""},{"dropping-particle":"","family":"Skrobik","given":"Yoanna","non-dropping-particle":"","parse-names":false,"suffix":""},{"dropping-particle":"","family":"Singh","given":"Jeffrey M.","non-dropping-particle":"","parse-names":false,"suffix":""},{"dropping-particle":"","family":"Slooter","given":"Arjen","non-dropping-particle":"","parse-names":false,"suffix":""},{"dropping-particle":"","family":"Smith","given":"Martin","non-dropping-particle":"","parse-names":false,"suffix":""},{"dropping-particle":"","family":"Tsuruta","given":"Ryosuke","non-dropping-particle":"","parse-names":false,"suffix":""},{"dropping-particle":"","family":"Latronico","given":"Nicola","non-dropping-particle":"","parse-names":false,"suffix":""}],"container-title":"Critical care medicine","id":"ITEM-1","issue":"11","issued":{"date-parts":[["2017"]]},"page":"e1111-e1122","title":"Worldwide Survey of the \"Assessing Pain, Both Spontaneous Awakening and Breathing Trials, Choice of Drugs, Delirium Monitoring/Management, Early Exercise/Mobility, and Family Empowerment\" (ABCDEF) Bundle","type":"article-journal","volume":"45"},"uris":["http://www.mendeley.com/documents/?uuid=6be811e5-a302-4e06-ad2d-d3575dfbec0f"]}],"mendeley":{"formattedCitation":"(5)","plainTextFormattedCitation":"(5)","previouslyFormattedCitation":"(5)"},"properties":{"noteIndex":0},"schema":"https://github.com/citation-style-language/schema/raw/master/csl-citation.json"}</w:instrText>
      </w:r>
      <w:r w:rsidRPr="006F33AE">
        <w:rPr>
          <w:rFonts w:ascii="Arial" w:hAnsi="Arial" w:cs="Arial"/>
          <w:lang w:val="es-ES"/>
        </w:rPr>
        <w:fldChar w:fldCharType="separate"/>
      </w:r>
      <w:r w:rsidRPr="006F33AE">
        <w:rPr>
          <w:rFonts w:ascii="Arial" w:hAnsi="Arial" w:cs="Arial"/>
          <w:noProof/>
          <w:lang w:val="es-ES"/>
        </w:rPr>
        <w:t>(5)</w:t>
      </w:r>
      <w:r w:rsidRPr="006F33AE">
        <w:rPr>
          <w:rFonts w:ascii="Arial" w:hAnsi="Arial" w:cs="Arial"/>
        </w:rPr>
        <w:fldChar w:fldCharType="end"/>
      </w:r>
      <w:r w:rsidRPr="006F33AE">
        <w:rPr>
          <w:rFonts w:ascii="Arial" w:hAnsi="Arial" w:cs="Arial"/>
          <w:lang w:val="es-ES"/>
        </w:rPr>
        <w:t xml:space="preserve">. Sin embargo, no se ha podido comprobar que reduzca la duración de la VM, la mortalidad, la duración de la estancia en la UCI o el hospital, las tasas de eventos adversos, el consumo de fármacos o la calidad de vida de los adultos en estado crítico que reciben VM en comparación con otras estrategias de sedación que no </w:t>
      </w:r>
      <w:r w:rsidRPr="006F33AE">
        <w:rPr>
          <w:rFonts w:ascii="Arial" w:hAnsi="Arial" w:cs="Arial"/>
          <w:lang w:val="es-ES"/>
        </w:rPr>
        <w:lastRenderedPageBreak/>
        <w:t xml:space="preserve">realizan interrupción </w:t>
      </w:r>
      <w:r w:rsidRPr="006F33AE">
        <w:rPr>
          <w:rFonts w:ascii="Arial" w:hAnsi="Arial" w:cs="Arial"/>
          <w:lang w:val="es-ES"/>
        </w:rPr>
        <w:fldChar w:fldCharType="begin" w:fldLock="1"/>
      </w:r>
      <w:r w:rsidR="00105895" w:rsidRPr="006F33AE">
        <w:rPr>
          <w:rFonts w:ascii="Arial" w:hAnsi="Arial" w:cs="Arial"/>
          <w:lang w:val="es-ES"/>
        </w:rPr>
        <w:instrText>ADDIN CSL_CITATION {"citationItems":[{"id":"ITEM-1","itemData":{"DOI":"10.1002/14651858.CD009176.pub2","ISSN":"1469493X","PMID":"25005604","abstract":"Background: Daily sedation interruption (DSI) is thought to limit drug bioaccumulation, promote a more awake state, and thereby reduce the duration of mechanical ventilation. Available evidence has shown DSI to either reduce, not alter, or prolong the duration of mechanical ventilation. Objectives: The primary objective of this review was to compare the total duration of invasive mechanical ventilation for critically ill adult patients requiring intravenous sedation who were managed with DSI versus those with no DSI. Our other objectives were to determine whether DSI influenced mortality, intensive care unit (ICU) and hospital lengths of stay, adverse events, the total doses of sedative drug administered, and quality of life. Search methods: We searched, from database inception to February 2014, the Cochrane Central Register of Controlled Trials (CENTRAL) (The Cochrane Library 2014, Issue 1); MEDLINE (OvidSP); EMBASE (OvidSP); CINAHL (EBSCOhost); Latin American and Caribbean Health Sciences Literature (LILACS); Web of Science Science Citation Index; Database of Abstracts of Reviews of Effects (DARE); the Health Technology Assessment Database (HTA Database); trial registration websites, and reference lists of relevant articles. We did not apply language restrictions. The reference lists of all retrieved articles were reviewed for additional, potentially relevant studies. Selection criteria: We included randomized controlled trials that compared DSI with sedation strategies that did not include DSI in mechanically ventilated, critically ill adults. Data collection and analysis: Two authors independently extracted data and three authors assessed risk of bias. We contacted study authors for additional information as required. We combined data in forest plots using random-effects modelling. A priori subgroups and sensitivity analyses were performed. Main results: Nine trials were used in the analysis (n = 1282 patients). These trials were found to be predominantly at low risk of bias. We did not find strong evidence of an effect of DSI on the total duration of ventilation. Pooled data from nine trials demonstrated a 13% reduction in the geometric mean, with relatively wide confidence intervals (CI) indicating imprecision (95% CI 26% reduction to 2% increase, moderate quality evidence). Similarly, we did not find strong evidence of an effect on ICU length of stay (-10%, 95% CI -20% to 3%, n = 9 trials, moderate quality evidence) or hospital length of stay (-6…","author":[{"dropping-particle":"","family":"Burry","given":"Lisa","non-dropping-particle":"","parse-names":false,"suffix":""},{"dropping-particle":"","family":"Rose","given":"Louise","non-dropping-particle":"","parse-names":false,"suffix":""},{"dropping-particle":"","family":"Mccullagh","given":"Iain J.","non-dropping-particle":"","parse-names":false,"suffix":""},{"dropping-particle":"","family":"Fergusson","given":"Dean A.","non-dropping-particle":"","parse-names":false,"suffix":""},{"dropping-particle":"","family":"Ferguson","given":"Niall D.","non-dropping-particle":"","parse-names":false,"suffix":""},{"dropping-particle":"","family":"Mehta","given":"Sangeeta","non-dropping-particle":"","parse-names":false,"suffix":""}],"container-title":"Cochrane Database of Systematic Reviews","id":"ITEM-1","issue":"7","issued":{"date-parts":[["2014"]]},"title":"Daily sedation interruption versus no daily sedation interruption for critically ill adult patients requiring invasive mechanical ventilation","type":"article-journal","volume":"2014"},"uris":["http://www.mendeley.com/documents/?uuid=5ab15a21-2d2b-4060-8933-79f1bbc6b6c6"]}],"mendeley":{"formattedCitation":"(26)","plainTextFormattedCitation":"(26)","previouslyFormattedCitation":"(26)"},"properties":{"noteIndex":0},"schema":"https://github.com/citation-style-language/schema/raw/master/csl-citation.json"}</w:instrText>
      </w:r>
      <w:r w:rsidRPr="006F33AE">
        <w:rPr>
          <w:rFonts w:ascii="Arial" w:hAnsi="Arial" w:cs="Arial"/>
          <w:lang w:val="es-ES"/>
        </w:rPr>
        <w:fldChar w:fldCharType="separate"/>
      </w:r>
      <w:r w:rsidR="00693E84" w:rsidRPr="006F33AE">
        <w:rPr>
          <w:rFonts w:ascii="Arial" w:hAnsi="Arial" w:cs="Arial"/>
          <w:noProof/>
          <w:lang w:val="es-ES"/>
        </w:rPr>
        <w:t>(26)</w:t>
      </w:r>
      <w:r w:rsidRPr="006F33AE">
        <w:rPr>
          <w:rFonts w:ascii="Arial" w:hAnsi="Arial" w:cs="Arial"/>
        </w:rPr>
        <w:fldChar w:fldCharType="end"/>
      </w:r>
      <w:r w:rsidRPr="006F33AE">
        <w:rPr>
          <w:rFonts w:ascii="Arial" w:hAnsi="Arial" w:cs="Arial"/>
        </w:rPr>
        <w:t>. El fundamento teórico de su realización es que pacientes más despiertos tienen una mejor mecánica respiratoria, menos probabilidades de sufrir delirium o alucinaciones, y mejor capacidad de cooperar con la movilización temprana. En nuestra UCI, este ítem no se cumple, pero este hallazgo debe ser interpretado considerando que ya existe</w:t>
      </w:r>
      <w:r w:rsidRPr="006F33AE">
        <w:rPr>
          <w:rFonts w:ascii="Arial" w:hAnsi="Arial" w:cs="Arial"/>
          <w:lang w:val="es-ES"/>
        </w:rPr>
        <w:t xml:space="preserve"> una política de sedación ligera, con mayor utilización de opioides y dexmedetomidina en comparación al uso de propofol, ketamina o bloqueo neuromuscular. Es aún incierto hasta qué punto esta política favorece mejores resultados de los pacientes que la interrupción de la sedación.</w:t>
      </w:r>
    </w:p>
    <w:p w14:paraId="7D80475A" w14:textId="77777777" w:rsidR="00CF7655" w:rsidRPr="006F33AE" w:rsidRDefault="00CF7655" w:rsidP="004C4FD0">
      <w:pPr>
        <w:spacing w:line="480" w:lineRule="auto"/>
        <w:ind w:left="57"/>
        <w:rPr>
          <w:rFonts w:ascii="Arial" w:hAnsi="Arial" w:cs="Arial"/>
          <w:lang w:val="es-ES"/>
        </w:rPr>
      </w:pPr>
    </w:p>
    <w:p w14:paraId="1A3C2A2A" w14:textId="6EAEB6F1" w:rsidR="00D708CE" w:rsidRPr="006F33AE" w:rsidRDefault="00CF7655" w:rsidP="004C4FD0">
      <w:pPr>
        <w:spacing w:line="480" w:lineRule="auto"/>
        <w:ind w:left="57"/>
        <w:rPr>
          <w:rFonts w:ascii="Arial" w:hAnsi="Arial" w:cs="Arial"/>
          <w:lang w:val="es-ES"/>
        </w:rPr>
      </w:pPr>
      <w:r w:rsidRPr="006F33AE">
        <w:rPr>
          <w:rFonts w:ascii="Arial" w:hAnsi="Arial" w:cs="Arial"/>
          <w:lang w:val="es-ES"/>
        </w:rPr>
        <w:t xml:space="preserve">Se han reportado barreras para implementar el </w:t>
      </w:r>
      <w:r w:rsidR="006F33AE">
        <w:rPr>
          <w:rFonts w:ascii="Arial" w:hAnsi="Arial" w:cs="Arial"/>
          <w:i/>
          <w:iCs/>
          <w:lang w:val="es-ES"/>
        </w:rPr>
        <w:t>“</w:t>
      </w:r>
      <w:proofErr w:type="spellStart"/>
      <w:r w:rsidR="006F33AE">
        <w:rPr>
          <w:rFonts w:ascii="Arial" w:hAnsi="Arial" w:cs="Arial"/>
          <w:i/>
          <w:iCs/>
          <w:lang w:val="es-ES"/>
        </w:rPr>
        <w:t>bundle</w:t>
      </w:r>
      <w:proofErr w:type="spellEnd"/>
      <w:r w:rsidR="006F33AE">
        <w:rPr>
          <w:rFonts w:ascii="Arial" w:hAnsi="Arial" w:cs="Arial"/>
          <w:i/>
          <w:iCs/>
          <w:lang w:val="es-ES"/>
        </w:rPr>
        <w:t>”</w:t>
      </w:r>
      <w:r w:rsidRPr="006F33AE">
        <w:rPr>
          <w:rFonts w:ascii="Arial" w:hAnsi="Arial" w:cs="Arial"/>
          <w:lang w:val="es-ES"/>
        </w:rPr>
        <w:t xml:space="preserve"> relacionadas a los profesionales y la cultura de la unidad como, la carga laboral percibida, falta de coordinación, comunicación y colaboración del equipo interprofesional, conflictos de programación (por ejemplo, paciente fuera de la unidad, en diálisis, procedimiento, etc</w:t>
      </w:r>
      <w:r w:rsidR="003A5691" w:rsidRPr="006F33AE">
        <w:rPr>
          <w:rFonts w:ascii="Arial" w:hAnsi="Arial" w:cs="Arial"/>
          <w:lang w:val="es-ES"/>
        </w:rPr>
        <w:t>.</w:t>
      </w:r>
      <w:r w:rsidRPr="006F33AE">
        <w:rPr>
          <w:rFonts w:ascii="Arial" w:hAnsi="Arial" w:cs="Arial"/>
          <w:lang w:val="es-ES"/>
        </w:rPr>
        <w:t>)</w:t>
      </w:r>
      <w:r w:rsidRPr="006F33AE">
        <w:rPr>
          <w:rFonts w:ascii="Arial" w:hAnsi="Arial" w:cs="Arial"/>
          <w:lang w:val="es-ES"/>
        </w:rPr>
        <w:fldChar w:fldCharType="begin" w:fldLock="1"/>
      </w:r>
      <w:r w:rsidR="00A4509E" w:rsidRPr="006F33AE">
        <w:rPr>
          <w:rFonts w:ascii="Arial" w:hAnsi="Arial" w:cs="Arial"/>
          <w:lang w:val="es-ES"/>
        </w:rPr>
        <w:instrText>ADDIN CSL_CITATION {"citationItems":[{"id":"ITEM-1","itemData":{"DOI":"10.1016/j.chest.2017.03.054","ISSN":"19313543","abstract":"Background Improved outcomes are associated with the Awakening and Breathing Coordination, Delirium, and Early exercise/mobility bundle (ABCDE); however, implementation issues are common. As yet, no study has integrated the barriers to ABCDE to provide an overview of reasons for less successful efforts. The purpose of this review was to identify and catalog the barriers to ABCDE delivery based on a widely used implementation framework, and to provide a resource to guide clinicians in overcoming barriers to implementation. Methods We searched MEDLINE via PubMed, CINAHL, and Scopus for original research articles from January 1, 2007, to August 31, 2016, that identified barriers to ABCDE implementation for adult patients in the ICU. Two reviewers independently reviewed studies, extracted barriers, and conducted thematic content analysis of the barriers, guided by the Consolidated Framework for Implementation Research. Discrepancies were discussed, and consensus was achieved. Results Our electronic search yielded 1,908 articles. After applying our inclusion/exclusion criteria, we included 49 studies. We conducted thematic content analysis of the 107 barriers and identified four classes of ABCDE barriers: (1) patient-related (ie, patient instability and safety concerns); (2) clinician-related (ie, lack of knowledge, staff safety concerns); (3) protocol-related (ie, unclear protocol criteria, cumbersome protocols to use); and, not previously identified in past reviews, (4) ICU contextual barriers (ie, interprofessional team care coordination). Conclusions We provide the first, to our knowledge, systematic differential diagnosis of barriers to ABCDE delivery, moving beyond the conventional focus on patient-level factors. Our analysis offers a differential diagnosis checklist for clinicians planning ABCDE implementation to improve patient care and outcomes.","author":[{"dropping-particle":"","family":"Costa","given":"Deena Kelly","non-dropping-particle":"","parse-names":false,"suffix":""},{"dropping-particle":"","family":"White","given":"Matthew R.","non-dropping-particle":"","parse-names":false,"suffix":""},{"dropping-particle":"","family":"Ginier","given":"Emily","non-dropping-particle":"","parse-names":false,"suffix":""},{"dropping-particle":"","family":"Manojlovich","given":"Milisa","non-dropping-particle":"","parse-names":false,"suffix":""},{"dropping-particle":"","family":"Govindan","given":"Sushant","non-dropping-particle":"","parse-names":false,"suffix":""},{"dropping-particle":"","family":"Iwashyna","given":"Theodore J.","non-dropping-particle":"","parse-names":false,"suffix":""},{"dropping-particle":"","family":"Sales","given":"Anne E.","non-dropping-particle":"","parse-names":false,"suffix":""}],"container-title":"Chest","id":"ITEM-1","issue":"2","issued":{"date-parts":[["2017"]]},"page":"304-311","publisher":"Elsevier Inc","title":"Identifying Barriers to Delivering the Awakening and Breathing Coordination, Delirium, and Early Exercise/Mobility Bundle to Minimize Adverse Outcomes for Mechanically Ventilated Patients: A Systematic Review","type":"article-journal","volume":"152"},"uris":["http://www.mendeley.com/documents/?uuid=88764705-1586-4907-b70b-01047454baf5"]}],"mendeley":{"formattedCitation":"(6)","plainTextFormattedCitation":"(6)","previouslyFormattedCitation":"(6)"},"properties":{"noteIndex":0},"schema":"https://github.com/citation-style-language/schema/raw/master/csl-citation.json"}</w:instrText>
      </w:r>
      <w:r w:rsidRPr="006F33AE">
        <w:rPr>
          <w:rFonts w:ascii="Arial" w:hAnsi="Arial" w:cs="Arial"/>
          <w:lang w:val="es-ES"/>
        </w:rPr>
        <w:fldChar w:fldCharType="separate"/>
      </w:r>
      <w:r w:rsidR="00A4509E" w:rsidRPr="006F33AE">
        <w:rPr>
          <w:rFonts w:ascii="Arial" w:hAnsi="Arial" w:cs="Arial"/>
          <w:noProof/>
          <w:lang w:val="es-ES"/>
        </w:rPr>
        <w:t>(6)</w:t>
      </w:r>
      <w:r w:rsidRPr="006F33AE">
        <w:rPr>
          <w:rFonts w:ascii="Arial" w:hAnsi="Arial" w:cs="Arial"/>
        </w:rPr>
        <w:fldChar w:fldCharType="end"/>
      </w:r>
      <w:r w:rsidRPr="006F33AE">
        <w:rPr>
          <w:rFonts w:ascii="Arial" w:hAnsi="Arial" w:cs="Arial"/>
          <w:lang w:val="es-ES"/>
        </w:rPr>
        <w:t xml:space="preserve">. Las recomendaciones de mejores prácticas para implementar rondas de equipo interprofesional (REI), ayudarían a mejorar el cumplimiento del </w:t>
      </w:r>
      <w:r w:rsidR="006F33AE">
        <w:rPr>
          <w:rFonts w:ascii="Arial" w:hAnsi="Arial" w:cs="Arial"/>
          <w:i/>
          <w:iCs/>
          <w:lang w:val="es-ES"/>
        </w:rPr>
        <w:t>“bundle”</w:t>
      </w:r>
      <w:r w:rsidRPr="006F33AE">
        <w:rPr>
          <w:rFonts w:ascii="Arial" w:hAnsi="Arial" w:cs="Arial"/>
          <w:lang w:val="es-ES"/>
        </w:rPr>
        <w:t>en la UCI</w:t>
      </w:r>
      <w:r w:rsidR="00114EE9" w:rsidRPr="006F33AE">
        <w:rPr>
          <w:rFonts w:ascii="Arial" w:hAnsi="Arial" w:cs="Arial"/>
          <w:lang w:val="es-ES"/>
        </w:rPr>
        <w:t xml:space="preserve"> </w:t>
      </w:r>
      <w:r w:rsidRPr="006F33AE">
        <w:rPr>
          <w:rFonts w:ascii="Arial" w:hAnsi="Arial" w:cs="Arial"/>
          <w:lang w:val="es-ES"/>
        </w:rPr>
        <w:fldChar w:fldCharType="begin" w:fldLock="1"/>
      </w:r>
      <w:r w:rsidR="00105895" w:rsidRPr="006F33AE">
        <w:rPr>
          <w:rFonts w:ascii="Arial" w:hAnsi="Arial" w:cs="Arial"/>
          <w:lang w:val="es-ES"/>
        </w:rPr>
        <w:instrText>ADDIN CSL_CITATION {"citationItems":[{"id":"ITEM-1","itemData":{"DOI":"10.1097/CCM.0000000000004197","ISBN":"0000000000","ISSN":"15300293","PMID":"31855998","abstract":"Objectives: Daily ICU interprofessional team rounds, which incorporate the ICU Liberation (\"A\" for Assessment, Prevention, and Manage Pain; \"B\" for Both Spontaneous Awakening Trials and Spontaneous Breathing Trials; \"C\" for Choice of Analgesia and Sedation; \"D\" for Delirium Assess, Prevent, and Manage; \"E\" for Early Mobility and Exercise; \"F\" for Family Engagement and Empowerment [ABCDEF]) Bundle, support both the care coordination and regular provider communication necessary for Bundle execution. This article describes evidence-based practices for conducting effective interprofessional team rounds in the ICU to improve Bundle performance. Design: Best practice synthesis. Methods: The authors, each extensively involved in the Society of Critical Care Medicine's ICU Liberation Campaign, reviewed the pertinent literature to identify how ICU interprofessional team rounds can be optimized to increase ICU Liberation adherence. Results: Daily ICU interprofessional team rounds that foster ICU Liberation Bundle use support both care coordination and regular provider communication within and between teams. Evidence- based best practices for conducting effective interprofessional team rounds in the ICU include the optimal structure for ICU interprofessional team rounds; the importance of conducting rounds at patients' bedside; essential participants in rounds; the inclusion of ICU patients and their families in rounds-based discussions; and incorporation of the Bundle into the Electronic Health Record. Interprofessional team rounds in the ICU ideally employ communication strategies to foster inclusive and supportive behaviors consistent with interprofessional collaboration in the ICU. Patient care discussions during interprofessional team rounds benefit from being patient-centered and goal-oriented. Documentation of ICU Liberation Bundle elements in the Electronic Health Record may help facilitate team communication and decision-making. Conclusions: Conducting high-quality interprofessional team rounds in the ICU is a key strategy to support ICU Liberation Bundle use.","author":[{"dropping-particle":"","family":"Stollings","given":"Joanna L.","non-dropping-particle":"","parse-names":false,"suffix":""},{"dropping-particle":"","family":"Devlin","given":"John W.","non-dropping-particle":"","parse-names":false,"suffix":""},{"dropping-particle":"","family":"Lin","given":"John C.","non-dropping-particle":"","parse-names":false,"suffix":""},{"dropping-particle":"","family":"Pun","given":"Brenda T.","non-dropping-particle":"","parse-names":false,"suffix":""},{"dropping-particle":"","family":"Byrum","given":"Diane","non-dropping-particle":"","parse-names":false,"suffix":""},{"dropping-particle":"","family":"Barr","given":"Juliana","non-dropping-particle":"","parse-names":false,"suffix":""}],"container-title":"Critical Care Medicine","id":"ITEM-1","issued":{"date-parts":[["2020"]]},"page":"562-570","title":"Best practices for conducting interprofessional team rounds to facilitate performance of the ICU liberation (ABCDEF) bundle","type":"article-journal"},"uris":["http://www.mendeley.com/documents/?uuid=da8e8958-dd57-4d8f-8a04-5130298c5e5b"]}],"mendeley":{"formattedCitation":"(27)","plainTextFormattedCitation":"(27)","previouslyFormattedCitation":"(27)"},"properties":{"noteIndex":0},"schema":"https://github.com/citation-style-language/schema/raw/master/csl-citation.json"}</w:instrText>
      </w:r>
      <w:r w:rsidRPr="006F33AE">
        <w:rPr>
          <w:rFonts w:ascii="Arial" w:hAnsi="Arial" w:cs="Arial"/>
          <w:lang w:val="es-ES"/>
        </w:rPr>
        <w:fldChar w:fldCharType="separate"/>
      </w:r>
      <w:r w:rsidR="00693E84" w:rsidRPr="006F33AE">
        <w:rPr>
          <w:rFonts w:ascii="Arial" w:hAnsi="Arial" w:cs="Arial"/>
          <w:noProof/>
          <w:lang w:val="es-ES"/>
        </w:rPr>
        <w:t>(27)</w:t>
      </w:r>
      <w:r w:rsidRPr="006F33AE">
        <w:rPr>
          <w:rFonts w:ascii="Arial" w:hAnsi="Arial" w:cs="Arial"/>
        </w:rPr>
        <w:fldChar w:fldCharType="end"/>
      </w:r>
      <w:r w:rsidRPr="006F33AE">
        <w:rPr>
          <w:rFonts w:ascii="Arial" w:hAnsi="Arial" w:cs="Arial"/>
          <w:lang w:val="es-ES"/>
        </w:rPr>
        <w:t>. El alto porcentaje de registros de kinesiólogos en el elemento “B2”, “D” y “E”,</w:t>
      </w:r>
      <w:r w:rsidR="00A54467" w:rsidRPr="006F33AE">
        <w:rPr>
          <w:rFonts w:ascii="Arial" w:hAnsi="Arial" w:cs="Arial"/>
          <w:lang w:val="es-ES"/>
        </w:rPr>
        <w:t xml:space="preserve"> </w:t>
      </w:r>
      <w:r w:rsidRPr="006F33AE">
        <w:rPr>
          <w:rFonts w:ascii="Arial" w:hAnsi="Arial" w:cs="Arial"/>
          <w:lang w:val="es-ES"/>
        </w:rPr>
        <w:t>al igual que enfermería en el</w:t>
      </w:r>
      <w:r w:rsidR="00A54467" w:rsidRPr="006F33AE">
        <w:rPr>
          <w:rFonts w:ascii="Arial" w:hAnsi="Arial" w:cs="Arial"/>
          <w:lang w:val="es-ES"/>
        </w:rPr>
        <w:t xml:space="preserve"> </w:t>
      </w:r>
      <w:r w:rsidRPr="006F33AE">
        <w:rPr>
          <w:rFonts w:ascii="Arial" w:hAnsi="Arial" w:cs="Arial"/>
          <w:lang w:val="es-ES"/>
        </w:rPr>
        <w:t>elemento “A” y “C”, responden a que son procesos estandarizados mediante los protocolos internos mencionados anteriormente</w:t>
      </w:r>
      <w:r w:rsidR="00D708CE" w:rsidRPr="006F33AE">
        <w:rPr>
          <w:rFonts w:ascii="Arial" w:hAnsi="Arial" w:cs="Arial"/>
          <w:lang w:val="es-ES"/>
        </w:rPr>
        <w:t xml:space="preserve">, pero no necesariamente se sincronizan entre </w:t>
      </w:r>
      <w:r w:rsidR="00114EE9" w:rsidRPr="006F33AE">
        <w:rPr>
          <w:rFonts w:ascii="Arial" w:hAnsi="Arial" w:cs="Arial"/>
          <w:lang w:val="es-ES"/>
        </w:rPr>
        <w:t>sí</w:t>
      </w:r>
      <w:r w:rsidRPr="006F33AE">
        <w:rPr>
          <w:rFonts w:ascii="Arial" w:hAnsi="Arial" w:cs="Arial"/>
          <w:lang w:val="es-ES"/>
        </w:rPr>
        <w:t>.</w:t>
      </w:r>
      <w:r w:rsidR="00EF3846" w:rsidRPr="006F33AE">
        <w:rPr>
          <w:rFonts w:ascii="Arial" w:hAnsi="Arial" w:cs="Arial"/>
          <w:lang w:val="es-ES"/>
        </w:rPr>
        <w:t xml:space="preserve"> </w:t>
      </w:r>
      <w:r w:rsidR="00D708CE" w:rsidRPr="006F33AE">
        <w:rPr>
          <w:rFonts w:ascii="Arial" w:hAnsi="Arial" w:cs="Arial"/>
          <w:lang w:val="es-ES"/>
        </w:rPr>
        <w:t>Según el conocimiento de los autores, este estudio es el primer</w:t>
      </w:r>
      <w:r w:rsidR="00693E84" w:rsidRPr="006F33AE">
        <w:rPr>
          <w:rFonts w:ascii="Arial" w:hAnsi="Arial" w:cs="Arial"/>
          <w:lang w:val="es-ES"/>
        </w:rPr>
        <w:t xml:space="preserve">o </w:t>
      </w:r>
      <w:r w:rsidR="00D708CE" w:rsidRPr="006F33AE">
        <w:rPr>
          <w:rFonts w:ascii="Arial" w:hAnsi="Arial" w:cs="Arial"/>
          <w:lang w:val="es-ES"/>
        </w:rPr>
        <w:t xml:space="preserve">en identificar a los profesionales que implementaron cada ítem, el cual </w:t>
      </w:r>
      <w:r w:rsidR="00D708CE" w:rsidRPr="006F33AE">
        <w:rPr>
          <w:rFonts w:ascii="Arial" w:hAnsi="Arial" w:cs="Arial"/>
          <w:lang w:val="es-ES"/>
        </w:rPr>
        <w:lastRenderedPageBreak/>
        <w:t xml:space="preserve">es un aspecto importante a considerar, ya que </w:t>
      </w:r>
      <w:r w:rsidR="00A4509E" w:rsidRPr="006F33AE">
        <w:rPr>
          <w:rFonts w:ascii="Arial" w:hAnsi="Arial" w:cs="Arial"/>
          <w:lang w:val="es-ES"/>
        </w:rPr>
        <w:t xml:space="preserve">entender los roles de cada uno </w:t>
      </w:r>
      <w:r w:rsidR="00D708CE" w:rsidRPr="006F33AE">
        <w:rPr>
          <w:rFonts w:ascii="Arial" w:hAnsi="Arial" w:cs="Arial"/>
          <w:lang w:val="es-ES"/>
        </w:rPr>
        <w:t xml:space="preserve">es pieza fundamental para mejorar el cumplimiento del </w:t>
      </w:r>
      <w:r w:rsidR="006F33AE">
        <w:rPr>
          <w:rFonts w:ascii="Arial" w:hAnsi="Arial" w:cs="Arial"/>
          <w:i/>
          <w:iCs/>
          <w:lang w:val="es-ES"/>
        </w:rPr>
        <w:t>“</w:t>
      </w:r>
      <w:proofErr w:type="spellStart"/>
      <w:r w:rsidR="006F33AE">
        <w:rPr>
          <w:rFonts w:ascii="Arial" w:hAnsi="Arial" w:cs="Arial"/>
          <w:i/>
          <w:iCs/>
          <w:lang w:val="es-ES"/>
        </w:rPr>
        <w:t>bundle</w:t>
      </w:r>
      <w:proofErr w:type="spellEnd"/>
      <w:r w:rsidR="006F33AE">
        <w:rPr>
          <w:rFonts w:ascii="Arial" w:hAnsi="Arial" w:cs="Arial"/>
          <w:i/>
          <w:iCs/>
          <w:lang w:val="es-ES"/>
        </w:rPr>
        <w:t>”</w:t>
      </w:r>
      <w:r w:rsidR="00D708CE" w:rsidRPr="006F33AE">
        <w:rPr>
          <w:rFonts w:ascii="Arial" w:hAnsi="Arial" w:cs="Arial"/>
          <w:lang w:val="es-ES"/>
        </w:rPr>
        <w:t>.</w:t>
      </w:r>
    </w:p>
    <w:p w14:paraId="112A3B91" w14:textId="77777777" w:rsidR="00CF7655" w:rsidRPr="006F33AE" w:rsidRDefault="00CF7655" w:rsidP="00CF7655">
      <w:pPr>
        <w:spacing w:line="480" w:lineRule="auto"/>
        <w:rPr>
          <w:rFonts w:ascii="Arial" w:hAnsi="Arial" w:cs="Arial"/>
          <w:b/>
          <w:lang w:val="es-ES"/>
        </w:rPr>
      </w:pPr>
    </w:p>
    <w:p w14:paraId="1C3BE6E5" w14:textId="04709E4E" w:rsidR="00CF7655" w:rsidRPr="006F33AE" w:rsidRDefault="00CF7655" w:rsidP="00CF7655">
      <w:pPr>
        <w:spacing w:line="480" w:lineRule="auto"/>
        <w:rPr>
          <w:rFonts w:ascii="Arial" w:hAnsi="Arial" w:cs="Arial"/>
          <w:b/>
          <w:lang w:val="es-ES"/>
        </w:rPr>
      </w:pPr>
      <w:r w:rsidRPr="006F33AE">
        <w:rPr>
          <w:rFonts w:ascii="Arial" w:hAnsi="Arial" w:cs="Arial"/>
          <w:b/>
          <w:lang w:val="es-ES"/>
        </w:rPr>
        <w:t>Limitaciones</w:t>
      </w:r>
    </w:p>
    <w:p w14:paraId="4115A207" w14:textId="0206762D" w:rsidR="00CF7655" w:rsidRPr="006F33AE" w:rsidRDefault="00CF7655" w:rsidP="004C4FD0">
      <w:pPr>
        <w:spacing w:line="480" w:lineRule="auto"/>
        <w:ind w:left="57"/>
        <w:rPr>
          <w:rFonts w:ascii="Arial" w:hAnsi="Arial" w:cs="Arial"/>
          <w:lang w:val="es-ES"/>
        </w:rPr>
      </w:pPr>
      <w:r w:rsidRPr="006F33AE">
        <w:rPr>
          <w:rFonts w:ascii="Arial" w:hAnsi="Arial" w:cs="Arial"/>
          <w:lang w:val="es-ES"/>
        </w:rPr>
        <w:t xml:space="preserve">Los resultados de este estudio corresponden a un solo centro de Chile </w:t>
      </w:r>
      <w:r w:rsidR="008E674C" w:rsidRPr="006F33AE">
        <w:rPr>
          <w:rFonts w:ascii="Arial" w:hAnsi="Arial" w:cs="Arial"/>
          <w:lang w:val="es-ES"/>
        </w:rPr>
        <w:t>lo que podría limitar la generalización de los resultados</w:t>
      </w:r>
      <w:r w:rsidR="00951E9F" w:rsidRPr="006F33AE">
        <w:rPr>
          <w:rFonts w:ascii="Arial" w:hAnsi="Arial" w:cs="Arial"/>
          <w:lang w:val="es-ES"/>
        </w:rPr>
        <w:t xml:space="preserve">, sin embargo, unidades que quisieran implementar el </w:t>
      </w:r>
      <w:r w:rsidR="00D64D91">
        <w:rPr>
          <w:rFonts w:ascii="Arial" w:hAnsi="Arial" w:cs="Arial"/>
          <w:lang w:val="es-ES"/>
        </w:rPr>
        <w:t>“</w:t>
      </w:r>
      <w:proofErr w:type="spellStart"/>
      <w:r w:rsidR="00951E9F" w:rsidRPr="006F33AE">
        <w:rPr>
          <w:rFonts w:ascii="Arial" w:hAnsi="Arial" w:cs="Arial"/>
          <w:lang w:val="es-ES"/>
        </w:rPr>
        <w:t>bundle</w:t>
      </w:r>
      <w:proofErr w:type="spellEnd"/>
      <w:r w:rsidR="00D64D91">
        <w:rPr>
          <w:rFonts w:ascii="Arial" w:hAnsi="Arial" w:cs="Arial"/>
          <w:lang w:val="es-ES"/>
        </w:rPr>
        <w:t xml:space="preserve">” </w:t>
      </w:r>
      <w:r w:rsidR="00951E9F" w:rsidRPr="006F33AE">
        <w:rPr>
          <w:rFonts w:ascii="Arial" w:hAnsi="Arial" w:cs="Arial"/>
          <w:lang w:val="es-ES"/>
        </w:rPr>
        <w:t>podrían utilizar nuestra metodología para realizar un diagnóstico inicial</w:t>
      </w:r>
      <w:r w:rsidRPr="006F33AE">
        <w:rPr>
          <w:rFonts w:ascii="Arial" w:hAnsi="Arial" w:cs="Arial"/>
          <w:lang w:val="es-ES"/>
        </w:rPr>
        <w:t>.</w:t>
      </w:r>
    </w:p>
    <w:p w14:paraId="7A0531FD" w14:textId="393C84C3" w:rsidR="00EF3846" w:rsidRPr="006F33AE" w:rsidRDefault="00EF3846" w:rsidP="004C4FD0">
      <w:pPr>
        <w:spacing w:line="480" w:lineRule="auto"/>
        <w:ind w:left="57"/>
        <w:rPr>
          <w:rFonts w:ascii="Arial" w:hAnsi="Arial" w:cs="Arial"/>
          <w:lang w:val="es-ES"/>
        </w:rPr>
      </w:pPr>
      <w:r w:rsidRPr="006F33AE">
        <w:rPr>
          <w:rFonts w:ascii="Arial" w:hAnsi="Arial" w:cs="Arial"/>
          <w:lang w:val="es-ES"/>
        </w:rPr>
        <w:t xml:space="preserve">Para que nuestros resultados fueran comparables con lo reportado en la literatura, consideramos los criterios de elegibilidad utilizados por el trabajo de Pun y cols 2019 </w:t>
      </w:r>
      <w:r w:rsidRPr="006F33AE">
        <w:rPr>
          <w:rFonts w:ascii="Arial" w:hAnsi="Arial" w:cs="Arial"/>
          <w:lang w:val="es-ES"/>
        </w:rPr>
        <w:fldChar w:fldCharType="begin" w:fldLock="1"/>
      </w:r>
      <w:r w:rsidRPr="006F33AE">
        <w:rPr>
          <w:rFonts w:ascii="Arial" w:hAnsi="Arial" w:cs="Arial"/>
          <w:lang w:val="es-ES"/>
        </w:rPr>
        <w:instrText>ADDIN CSL_CITATION {"citationItems":[{"id":"ITEM-1","itemData":{"DOI":"10.1097/CCM.0000000000003482","ISBN":"0000000000","ISSN":"15300293","abstract":"Objective: Decades-old, common ICU practices including deep sedation, immobilization, and limited family access are being challenged. We endeavoured to evaluate the relationship between ABCDEF bundle performance and patient-centered outcomes in critical care. Design: Prospective, multicenter, cohort study from a national quality improvement collaborative. Setting: 68 academic, community, and federal ICUs collected data during a 20-month period. Patients: 15,226 adults with at least one ICU day. Interventions: We defined ABCDEF bundle performance (our main exposure) in two ways: 1) complete performance (patient received every eligible bundle element on any given day) and 2) proportional performance (percentage of eligible bundle elements performed on any given day). We explored the association between complete and proportional ABCDEF bundle performance and three sets of outcomes: patient-related (mortality, ICU and hospital discharge), symptom-related (mechanical ventilation, coma, delirium, pain, restraint use), and system-related (ICU readmission, discharge destination). All models were adjusted for a minimum of 18 a priori determined potential confounders. Measurements and Results: Complete ABCDEF bundle performance was associated with lower likelihood of seven outcomes: hospital death within 7 days (adjusted hazard ratio, 0.32; CI, 0.17-0.62), next-day mechanical ventilation (adjusted odds ratio [AOR], 0.28; CI, 0.22-0.36), coma (AOR, 0.35; CI, 0.22-0.56), delirium (AOR, 0.60; CI, 0.49-0.72), physical restraint use (AOR, 0.37; CI, 0.30-0.46), ICU readmission (AOR, 0.54; CI, 0.37-0.79), and discharge to a facility other than home (AOR, 0.64; CI, 0.51-0.80). There was a consistent dose-response relationship between higher proportional bundle performance and improvements in each of the above-mentioned clinical outcomes (all p &lt; 0.002). Significant pain was more frequently reported as bundle performance proportionally increased (p = 0.0001). Conclusions: ABCDEF bundle performance showed significant and clinically meaningful improvements in outcomes including survival, mechanical ventilation use, coma, delirium, restraint-free care, ICU readmissions, and post-ICU discharge disposition.","author":[{"dropping-particle":"","family":"Pun","given":"Brenda T.","non-dropping-particle":"","parse-names":false,"suffix":""},{"dropping-particle":"","family":"Balas","given":"Michele C.","non-dropping-particle":"","parse-names":false,"suffix":""},{"dropping-particle":"","family":"Barnes-Daly","given":"Mary Ann","non-dropping-particle":"","parse-names":false,"suffix":""},{"dropping-particle":"","family":"Thompson","given":"Jennifer L.","non-dropping-particle":"","parse-names":false,"suffix":""},{"dropping-particle":"","family":"Aldrich","given":"J. Matthew","non-dropping-particle":"","parse-names":false,"suffix":""},{"dropping-particle":"","family":"Barr","given":"Juliana","non-dropping-particle":"","parse-names":false,"suffix":""},{"dropping-particle":"","family":"Byrum","given":"Diane","non-dropping-particle":"","parse-names":false,"suffix":""},{"dropping-particle":"","family":"Carson","given":"Shannon S.","non-dropping-particle":"","parse-names":false,"suffix":""},{"dropping-particle":"","family":"Devlin","given":"John W.","non-dropping-particle":"","parse-names":false,"suffix":""},{"dropping-particle":"","family":"Engel","given":"Heidi J.","non-dropping-particle":"","parse-names":false,"suffix":""},{"dropping-particle":"","family":"Esbrook","given":"Cheryl L.","non-dropping-particle":"","parse-names":false,"suffix":""},{"dropping-particle":"","family":"Hargett","given":"Ken D.","non-dropping-particle":"","parse-names":false,"suffix":""},{"dropping-particle":"","family":"Harmon","given":"Lori","non-dropping-particle":"","parse-names":false,"suffix":""},{"dropping-particle":"","family":"Hielsberg","given":"Christina","non-dropping-particle":"","parse-names":false,"suffix":""},{"dropping-particle":"","family":"Jackson","given":"James C.","non-dropping-particle":"","parse-names":false,"suffix":""},{"dropping-particle":"","family":"Kelly","given":"Tamra L.","non-dropping-particle":"","parse-names":false,"suffix":""},{"dropping-particle":"","family":"Kumar","given":"Vishakha","non-dropping-particle":"","parse-names":false,"suffix":""},{"dropping-particle":"","family":"Millner","given":"Lawson","non-dropping-particle":"","parse-names":false,"suffix":""},{"dropping-particle":"","family":"Morse","given":"Alexandra","non-dropping-particle":"","parse-names":false,"suffix":""},{"dropping-particle":"","family":"Perme","given":"Christiane S.","non-dropping-particle":"","parse-names":false,"suffix":""},{"dropping-particle":"","family":"Posa","given":"Patricia J.","non-dropping-particle":"","parse-names":false,"suffix":""},{"dropping-particle":"","family":"Puntillo","given":"Kathleen A.","non-dropping-particle":"","parse-names":false,"suffix":""},{"dropping-particle":"","family":"Schweickert","given":"William D.","non-dropping-particle":"","parse-names":false,"suffix":""},{"dropping-particle":"","family":"Stollings","given":"Joanna L.","non-dropping-particle":"","parse-names":false,"suffix":""},{"dropping-particle":"","family":"Tan","given":"Alai","non-dropping-particle":"","parse-names":false,"suffix":""},{"dropping-particle":"","family":"D'Agostino McGowan","given":"Lucy","non-dropping-particle":"","parse-names":false,"suffix":""},{"dropping-particle":"","family":"Ely","given":"E. Wesley","non-dropping-particle":"","parse-names":false,"suffix":""}],"container-title":"Critical Care Medicine","id":"ITEM-1","issue":"1","issued":{"date-parts":[["2019"]]},"page":"3-14","title":"Caring for Critically Ill Patients with the ABCDEF Bundle: Results of the ICU Liberation Collaborative in Over 15,000 Adults","type":"article-journal","volume":"47"},"uris":["http://www.mendeley.com/documents/?uuid=c8708401-f3f9-4bfd-896c-b1ccb17bbdaa"]}],"mendeley":{"formattedCitation":"(4)","plainTextFormattedCitation":"(4)","previouslyFormattedCitation":"(4)"},"properties":{"noteIndex":0},"schema":"https://github.com/citation-style-language/schema/raw/master/csl-citation.json"}</w:instrText>
      </w:r>
      <w:r w:rsidRPr="006F33AE">
        <w:rPr>
          <w:rFonts w:ascii="Arial" w:hAnsi="Arial" w:cs="Arial"/>
          <w:lang w:val="es-ES"/>
        </w:rPr>
        <w:fldChar w:fldCharType="separate"/>
      </w:r>
      <w:r w:rsidRPr="006F33AE">
        <w:rPr>
          <w:rFonts w:ascii="Arial" w:hAnsi="Arial" w:cs="Arial"/>
          <w:noProof/>
          <w:lang w:val="es-ES"/>
        </w:rPr>
        <w:t>(4)</w:t>
      </w:r>
      <w:r w:rsidRPr="006F33AE">
        <w:rPr>
          <w:rFonts w:ascii="Arial" w:hAnsi="Arial" w:cs="Arial"/>
        </w:rPr>
        <w:fldChar w:fldCharType="end"/>
      </w:r>
      <w:r w:rsidRPr="006F33AE">
        <w:rPr>
          <w:rFonts w:ascii="Arial" w:hAnsi="Arial" w:cs="Arial"/>
          <w:lang w:val="es-ES"/>
        </w:rPr>
        <w:t>, los cuales fueron consensuados para ser implementados en 68 UCI</w:t>
      </w:r>
      <w:r w:rsidR="00C20FCC" w:rsidRPr="006F33AE">
        <w:rPr>
          <w:rFonts w:ascii="Arial" w:hAnsi="Arial" w:cs="Arial"/>
          <w:lang w:val="es-ES"/>
        </w:rPr>
        <w:t>. S</w:t>
      </w:r>
      <w:r w:rsidRPr="006F33AE">
        <w:rPr>
          <w:rFonts w:ascii="Arial" w:hAnsi="Arial" w:cs="Arial"/>
          <w:lang w:val="es-ES"/>
        </w:rPr>
        <w:t>in embargo</w:t>
      </w:r>
      <w:r w:rsidR="00C20FCC" w:rsidRPr="006F33AE">
        <w:rPr>
          <w:rFonts w:ascii="Arial" w:hAnsi="Arial" w:cs="Arial"/>
          <w:lang w:val="es-ES"/>
        </w:rPr>
        <w:t>,</w:t>
      </w:r>
      <w:r w:rsidRPr="006F33AE">
        <w:rPr>
          <w:rFonts w:ascii="Arial" w:hAnsi="Arial" w:cs="Arial"/>
          <w:lang w:val="es-ES"/>
        </w:rPr>
        <w:t xml:space="preserve"> podrían diferir del contexto de nuestra unidad y del país, por lo cual nuestros resultados podrían estar potencialmente subestimados.</w:t>
      </w:r>
    </w:p>
    <w:p w14:paraId="7B18852C" w14:textId="4FE58C14" w:rsidR="00EF3846" w:rsidRPr="006F33AE" w:rsidRDefault="00EF3846" w:rsidP="004C4FD0">
      <w:pPr>
        <w:spacing w:line="480" w:lineRule="auto"/>
        <w:ind w:left="57"/>
        <w:rPr>
          <w:rFonts w:ascii="Arial" w:hAnsi="Arial" w:cs="Arial"/>
          <w:lang w:val="es-ES"/>
        </w:rPr>
      </w:pPr>
      <w:r w:rsidRPr="006F33AE">
        <w:rPr>
          <w:rFonts w:ascii="Arial" w:hAnsi="Arial" w:cs="Arial"/>
          <w:lang w:val="es-ES"/>
        </w:rPr>
        <w:t xml:space="preserve">Otra limitación fue el sistema de registro electrónico, al no contar con una base de datos estandarizada según los criterios definidos para la implementación del </w:t>
      </w:r>
      <w:r w:rsidR="00AD58D7" w:rsidRPr="001844DD">
        <w:rPr>
          <w:rFonts w:ascii="Arial" w:hAnsi="Arial" w:cs="Arial"/>
          <w:iCs/>
          <w:lang w:val="es-ES"/>
        </w:rPr>
        <w:t>“</w:t>
      </w:r>
      <w:proofErr w:type="spellStart"/>
      <w:r w:rsidR="00AD58D7" w:rsidRPr="001844DD">
        <w:rPr>
          <w:rFonts w:ascii="Arial" w:hAnsi="Arial" w:cs="Arial"/>
          <w:iCs/>
          <w:lang w:val="es-ES"/>
        </w:rPr>
        <w:t>bundle</w:t>
      </w:r>
      <w:proofErr w:type="spellEnd"/>
      <w:r w:rsidR="00AD58D7" w:rsidRPr="006F33AE">
        <w:rPr>
          <w:rFonts w:ascii="Arial" w:hAnsi="Arial" w:cs="Arial"/>
          <w:i/>
          <w:iCs/>
          <w:lang w:val="es-ES"/>
        </w:rPr>
        <w:t>”</w:t>
      </w:r>
      <w:r w:rsidRPr="006F33AE">
        <w:rPr>
          <w:rFonts w:ascii="Arial" w:hAnsi="Arial" w:cs="Arial"/>
          <w:lang w:val="es-ES"/>
        </w:rPr>
        <w:t xml:space="preserve">, </w:t>
      </w:r>
      <w:r w:rsidR="00105895" w:rsidRPr="006F33AE">
        <w:rPr>
          <w:rFonts w:ascii="Arial" w:hAnsi="Arial" w:cs="Arial"/>
          <w:lang w:val="es-ES"/>
        </w:rPr>
        <w:t>se tuvieron que excluir registros que no fueran explícitos</w:t>
      </w:r>
      <w:r w:rsidRPr="006F33AE">
        <w:rPr>
          <w:rFonts w:ascii="Arial" w:hAnsi="Arial" w:cs="Arial"/>
          <w:lang w:val="es-ES"/>
        </w:rPr>
        <w:t>, para mantener la rigurosidad en la extracción de datos</w:t>
      </w:r>
      <w:r w:rsidR="00105895" w:rsidRPr="006F33AE">
        <w:rPr>
          <w:rFonts w:ascii="Arial" w:hAnsi="Arial" w:cs="Arial"/>
          <w:lang w:val="es-ES"/>
        </w:rPr>
        <w:t xml:space="preserve">. </w:t>
      </w:r>
    </w:p>
    <w:p w14:paraId="02AC6794" w14:textId="151DA84D" w:rsidR="007C196F" w:rsidRPr="006F33AE" w:rsidRDefault="00693E84" w:rsidP="00453F13">
      <w:pPr>
        <w:spacing w:line="480" w:lineRule="auto"/>
        <w:ind w:left="57"/>
        <w:rPr>
          <w:rFonts w:ascii="Arial" w:hAnsi="Arial" w:cs="Arial"/>
          <w:b/>
          <w:lang w:val="es-ES"/>
        </w:rPr>
      </w:pPr>
      <w:r w:rsidRPr="006F33AE">
        <w:rPr>
          <w:rFonts w:ascii="Arial" w:hAnsi="Arial" w:cs="Arial"/>
          <w:lang w:val="es-ES"/>
        </w:rPr>
        <w:t xml:space="preserve">A pesar de que es factible evaluar el cumplimiento del </w:t>
      </w:r>
      <w:r w:rsidR="00AD58D7" w:rsidRPr="001844DD">
        <w:rPr>
          <w:rFonts w:ascii="Arial" w:hAnsi="Arial" w:cs="Arial"/>
          <w:iCs/>
          <w:lang w:val="es-ES"/>
        </w:rPr>
        <w:t>“</w:t>
      </w:r>
      <w:proofErr w:type="spellStart"/>
      <w:r w:rsidR="00AD58D7" w:rsidRPr="001844DD">
        <w:rPr>
          <w:rFonts w:ascii="Arial" w:hAnsi="Arial" w:cs="Arial"/>
          <w:iCs/>
          <w:lang w:val="es-ES"/>
        </w:rPr>
        <w:t>bundle</w:t>
      </w:r>
      <w:proofErr w:type="spellEnd"/>
      <w:r w:rsidR="00AD58D7" w:rsidRPr="001844DD">
        <w:rPr>
          <w:rFonts w:ascii="Arial" w:hAnsi="Arial" w:cs="Arial"/>
          <w:iCs/>
          <w:lang w:val="es-ES"/>
        </w:rPr>
        <w:t>”</w:t>
      </w:r>
      <w:r w:rsidRPr="006F33AE">
        <w:rPr>
          <w:rFonts w:ascii="Arial" w:hAnsi="Arial" w:cs="Arial"/>
          <w:lang w:val="es-ES"/>
        </w:rPr>
        <w:t xml:space="preserve"> mediante el registro en ficha clínica, </w:t>
      </w:r>
      <w:r w:rsidR="00CF7655" w:rsidRPr="006F33AE">
        <w:rPr>
          <w:rFonts w:ascii="Arial" w:hAnsi="Arial" w:cs="Arial"/>
          <w:lang w:val="es-ES"/>
        </w:rPr>
        <w:t>se desconoce el sesgo de reporte entre lo que el profesional registró y lo que hizo realmente</w:t>
      </w:r>
      <w:r w:rsidRPr="006F33AE">
        <w:rPr>
          <w:rFonts w:ascii="Arial" w:hAnsi="Arial" w:cs="Arial"/>
          <w:lang w:val="es-ES"/>
        </w:rPr>
        <w:t xml:space="preserve"> dada la naturaleza retrospectiva del estudio</w:t>
      </w:r>
      <w:r w:rsidR="00CF7655" w:rsidRPr="006F33AE">
        <w:rPr>
          <w:rFonts w:ascii="Arial" w:hAnsi="Arial" w:cs="Arial"/>
          <w:lang w:val="es-ES"/>
        </w:rPr>
        <w:t xml:space="preserve">. </w:t>
      </w:r>
    </w:p>
    <w:p w14:paraId="096D4073" w14:textId="371B8BB2" w:rsidR="00CF7655" w:rsidRPr="006F33AE" w:rsidRDefault="00CF7655" w:rsidP="00CF7655">
      <w:pPr>
        <w:spacing w:line="480" w:lineRule="auto"/>
        <w:rPr>
          <w:rFonts w:ascii="Arial" w:hAnsi="Arial" w:cs="Arial"/>
          <w:b/>
          <w:lang w:val="es-ES"/>
        </w:rPr>
      </w:pPr>
      <w:r w:rsidRPr="006F33AE">
        <w:rPr>
          <w:rFonts w:ascii="Arial" w:hAnsi="Arial" w:cs="Arial"/>
          <w:b/>
          <w:lang w:val="es-ES"/>
        </w:rPr>
        <w:lastRenderedPageBreak/>
        <w:t>Futuras investigaciones</w:t>
      </w:r>
    </w:p>
    <w:p w14:paraId="3F4E1EB2" w14:textId="0BFEE8AA" w:rsidR="00CF7655" w:rsidRPr="006F33AE" w:rsidRDefault="008D78C3" w:rsidP="0060267F">
      <w:pPr>
        <w:spacing w:line="480" w:lineRule="auto"/>
        <w:ind w:left="57"/>
        <w:rPr>
          <w:rFonts w:ascii="Arial" w:hAnsi="Arial" w:cs="Arial"/>
          <w:lang w:val="es-ES"/>
        </w:rPr>
      </w:pPr>
      <w:r w:rsidRPr="006F33AE">
        <w:rPr>
          <w:rFonts w:ascii="Arial" w:hAnsi="Arial" w:cs="Arial"/>
          <w:bCs/>
          <w:lang w:val="es-ES_tradnl"/>
        </w:rPr>
        <w:t xml:space="preserve">Este estudio provee la línea de base que permite conocer cuál es la brecha entre lo que se hace y un escenario ideal. </w:t>
      </w:r>
      <w:r w:rsidRPr="006F33AE">
        <w:rPr>
          <w:rFonts w:ascii="Arial" w:hAnsi="Arial" w:cs="Arial"/>
          <w:lang w:val="es-ES"/>
        </w:rPr>
        <w:t>F</w:t>
      </w:r>
      <w:r w:rsidR="00C33D5C" w:rsidRPr="006F33AE">
        <w:rPr>
          <w:rFonts w:ascii="Arial" w:hAnsi="Arial" w:cs="Arial"/>
          <w:lang w:val="es-ES"/>
        </w:rPr>
        <w:t xml:space="preserve">uturas investigaciones </w:t>
      </w:r>
      <w:r w:rsidR="00CF7655" w:rsidRPr="006F33AE">
        <w:rPr>
          <w:rFonts w:ascii="Arial" w:hAnsi="Arial" w:cs="Arial"/>
          <w:lang w:val="es-ES"/>
        </w:rPr>
        <w:t>deberían c</w:t>
      </w:r>
      <w:r w:rsidR="006D79E3" w:rsidRPr="006F33AE">
        <w:rPr>
          <w:rFonts w:ascii="Arial" w:hAnsi="Arial" w:cs="Arial"/>
          <w:lang w:val="es-ES"/>
        </w:rPr>
        <w:t xml:space="preserve">onsiderar </w:t>
      </w:r>
      <w:r w:rsidR="00CF7655" w:rsidRPr="006F33AE">
        <w:rPr>
          <w:rFonts w:ascii="Arial" w:hAnsi="Arial" w:cs="Arial"/>
          <w:lang w:val="es-ES"/>
        </w:rPr>
        <w:t>el uso</w:t>
      </w:r>
      <w:r w:rsidR="006D79E3" w:rsidRPr="006F33AE">
        <w:rPr>
          <w:rFonts w:ascii="Arial" w:hAnsi="Arial" w:cs="Arial"/>
          <w:lang w:val="es-ES"/>
        </w:rPr>
        <w:t xml:space="preserve"> de modelos</w:t>
      </w:r>
      <w:r w:rsidR="00CF7655" w:rsidRPr="006F33AE">
        <w:rPr>
          <w:rFonts w:ascii="Arial" w:hAnsi="Arial" w:cs="Arial"/>
          <w:lang w:val="es-ES"/>
        </w:rPr>
        <w:t xml:space="preserve"> teóricos</w:t>
      </w:r>
      <w:r w:rsidR="006D79E3" w:rsidRPr="006F33AE">
        <w:rPr>
          <w:rFonts w:ascii="Arial" w:hAnsi="Arial" w:cs="Arial"/>
          <w:lang w:val="es-ES"/>
        </w:rPr>
        <w:t xml:space="preserve"> que evalúen la conducta de implementación</w:t>
      </w:r>
      <w:r w:rsidR="00CF7655" w:rsidRPr="006F33AE">
        <w:rPr>
          <w:rFonts w:ascii="Arial" w:hAnsi="Arial" w:cs="Arial"/>
          <w:lang w:val="es-ES"/>
        </w:rPr>
        <w:t xml:space="preserve"> de los profesionales de salud</w:t>
      </w:r>
      <w:r w:rsidR="006D79E3" w:rsidRPr="006F33AE">
        <w:rPr>
          <w:rFonts w:ascii="Arial" w:hAnsi="Arial" w:cs="Arial"/>
          <w:lang w:val="es-ES"/>
        </w:rPr>
        <w:t xml:space="preserve"> de una forma integral</w:t>
      </w:r>
      <w:r w:rsidR="004E6936" w:rsidRPr="006F33AE">
        <w:rPr>
          <w:rFonts w:ascii="Arial" w:hAnsi="Arial" w:cs="Arial"/>
          <w:lang w:val="es-ES"/>
        </w:rPr>
        <w:t xml:space="preserve"> para explorar las potenciales causas del rendimiento actual en función del “</w:t>
      </w:r>
      <w:proofErr w:type="spellStart"/>
      <w:r w:rsidR="004E6936" w:rsidRPr="006F33AE">
        <w:rPr>
          <w:rFonts w:ascii="Arial" w:hAnsi="Arial" w:cs="Arial"/>
          <w:lang w:val="es-ES"/>
        </w:rPr>
        <w:t>bundle</w:t>
      </w:r>
      <w:proofErr w:type="spellEnd"/>
      <w:r w:rsidR="004E6936" w:rsidRPr="006F33AE">
        <w:rPr>
          <w:rFonts w:ascii="Arial" w:hAnsi="Arial" w:cs="Arial"/>
          <w:lang w:val="es-ES"/>
        </w:rPr>
        <w:t>”,</w:t>
      </w:r>
      <w:r w:rsidR="00CF7655" w:rsidRPr="006F33AE">
        <w:rPr>
          <w:rFonts w:ascii="Arial" w:hAnsi="Arial" w:cs="Arial"/>
          <w:lang w:val="es-ES"/>
        </w:rPr>
        <w:t xml:space="preserve"> </w:t>
      </w:r>
      <w:r w:rsidR="006D79E3" w:rsidRPr="006F33AE">
        <w:rPr>
          <w:rFonts w:ascii="Arial" w:hAnsi="Arial" w:cs="Arial"/>
          <w:lang w:val="es-ES"/>
        </w:rPr>
        <w:t>utilizando métodos mixtos de investigación</w:t>
      </w:r>
      <w:r w:rsidR="00CF7655" w:rsidRPr="006F33AE">
        <w:rPr>
          <w:rFonts w:ascii="Arial" w:hAnsi="Arial" w:cs="Arial"/>
          <w:lang w:val="es-ES"/>
        </w:rPr>
        <w:t xml:space="preserve"> (cuantitativo y cualitativo). </w:t>
      </w:r>
      <w:r w:rsidR="00CF7655" w:rsidRPr="006F33AE">
        <w:rPr>
          <w:rFonts w:ascii="Arial" w:hAnsi="Arial" w:cs="Arial"/>
        </w:rPr>
        <w:t xml:space="preserve">Uno de ellos es el </w:t>
      </w:r>
      <w:r w:rsidR="00CF7655" w:rsidRPr="006F33AE">
        <w:rPr>
          <w:rFonts w:ascii="Arial" w:hAnsi="Arial" w:cs="Arial"/>
          <w:lang w:val="es-ES"/>
        </w:rPr>
        <w:t xml:space="preserve">"sistema COM-B" el cual involucra tres condiciones esenciales para que se genere una conducta: capacidad, oportunidad y motivación, siendo este sistema parte de un </w:t>
      </w:r>
      <w:r w:rsidR="003A5691" w:rsidRPr="006F33AE">
        <w:rPr>
          <w:rFonts w:ascii="Arial" w:hAnsi="Arial" w:cs="Arial"/>
          <w:lang w:val="es-ES"/>
        </w:rPr>
        <w:t>modelo</w:t>
      </w:r>
      <w:r w:rsidR="00CF7655" w:rsidRPr="006F33AE">
        <w:rPr>
          <w:rFonts w:ascii="Arial" w:hAnsi="Arial" w:cs="Arial"/>
          <w:lang w:val="es-ES"/>
        </w:rPr>
        <w:t xml:space="preserve"> conocido como “La Rueda De Cambio de Comportamiento”</w:t>
      </w:r>
      <w:r w:rsidR="00CF7655" w:rsidRPr="006F33AE">
        <w:rPr>
          <w:rFonts w:ascii="Arial" w:hAnsi="Arial" w:cs="Arial"/>
          <w:lang w:val="es-ES"/>
        </w:rPr>
        <w:fldChar w:fldCharType="begin" w:fldLock="1"/>
      </w:r>
      <w:r w:rsidR="00105895" w:rsidRPr="006F33AE">
        <w:rPr>
          <w:rFonts w:ascii="Arial" w:hAnsi="Arial" w:cs="Arial"/>
          <w:lang w:val="es-ES"/>
        </w:rPr>
        <w:instrText>ADDIN CSL_CITATION {"citationItems":[{"id":"ITEM-1","itemData":{"DOI":"10.1186/1748-5908-6-42","ISSN":"17485908","abstract":"Background: Improving the design and implementation of evidence-based practice depends on successful behaviour change interventions. This requires an appropriate method for characterising interventions and linking them to an analysis of the targeted behaviour. There exists a plethora of frameworks of behaviour change interventions, but it is not clear how well they serve this purpose. This paper evaluates these frameworks, and develops and evaluates a new framework aimed at overcoming their limitations. Methods: A systematic search of electronic databases and consultation with behaviour change experts were used to identify frameworks of behaviour change interventions. These were evaluated according to three criteria: comprehensiveness, coherence, and a clear link to an overarching model of behaviour. A new framework was developed to meet these criteria. The reliability with which it could be applied was examined in two domains of behaviour change: tobacco control and obesity. Results: Nineteen frameworks were identified covering nine intervention functions and seven policy categories that could enable those interventions. None of the frameworks reviewed covered the full range of intervention functions or policies, and only a minority met the criteria of coherence or linkage to a model of behaviour. At the centre of a proposed new framework is a 'behaviour system' involving three essential conditions: capability, opportunity, and motivation (what we term the 'COM-B system'). This forms the hub of a 'behaviour change wheel' (BCW) around which are positioned the nine intervention functions aimed at addressing deficits in one or more of these conditions; around this are placed seven categories of policy that could enable those interventions to occur. The BCW was used reliably to characterise interventions within the English Department of Health's 2010 tobacco control strategy and the National Institute of Health and Clinical Excellence's guidance on reducing obesity. Conclusions: Interventions and policies to change behaviour can be usefully characterised by means of a BCW comprising: a 'behaviour system' at the hub, encircled by intervention functions and then by policy categories. Research is needed to establish how far the BCW can lead to more efficient design of effective interventions.","author":[{"dropping-particle":"","family":"Michie","given":"Susan","non-dropping-particle":"","parse-names":false,"suffix":""},{"dropping-particle":"","family":"Stralen","given":"Maartje M.","non-dropping-particle":"van","parse-names":false,"suffix":""},{"dropping-particle":"","family":"West","given":"Robert","non-dropping-particle":"","parse-names":false,"suffix":""}],"container-title":"Implementation Science","id":"ITEM-1","issue":"1","issued":{"date-parts":[["2011"]]},"page":"42","publisher":"BioMed Central Ltd","title":"The behaviour change wheel: A new method for characterising and designing behaviour change interventions","type":"article-journal","volume":"6"},"uris":["http://www.mendeley.com/documents/?uuid=80e2eade-7ea7-4a05-9d5a-821f0ea9ecae"]}],"mendeley":{"formattedCitation":"(28)","plainTextFormattedCitation":"(28)","previouslyFormattedCitation":"(28)"},"properties":{"noteIndex":0},"schema":"https://github.com/citation-style-language/schema/raw/master/csl-citation.json"}</w:instrText>
      </w:r>
      <w:r w:rsidR="00CF7655" w:rsidRPr="006F33AE">
        <w:rPr>
          <w:rFonts w:ascii="Arial" w:hAnsi="Arial" w:cs="Arial"/>
          <w:lang w:val="es-ES"/>
        </w:rPr>
        <w:fldChar w:fldCharType="separate"/>
      </w:r>
      <w:r w:rsidR="00693E84" w:rsidRPr="006F33AE">
        <w:rPr>
          <w:rFonts w:ascii="Arial" w:hAnsi="Arial" w:cs="Arial"/>
          <w:noProof/>
        </w:rPr>
        <w:t>(28)</w:t>
      </w:r>
      <w:r w:rsidR="00CF7655" w:rsidRPr="006F33AE">
        <w:rPr>
          <w:rFonts w:ascii="Arial" w:hAnsi="Arial" w:cs="Arial"/>
        </w:rPr>
        <w:fldChar w:fldCharType="end"/>
      </w:r>
      <w:r w:rsidR="00CF7655" w:rsidRPr="006F33AE">
        <w:rPr>
          <w:rFonts w:ascii="Arial" w:hAnsi="Arial" w:cs="Arial"/>
        </w:rPr>
        <w:t>.</w:t>
      </w:r>
      <w:r w:rsidRPr="006F33AE">
        <w:rPr>
          <w:rFonts w:ascii="Arial" w:hAnsi="Arial" w:cs="Arial"/>
        </w:rPr>
        <w:t xml:space="preserve"> </w:t>
      </w:r>
      <w:r w:rsidRPr="006F33AE">
        <w:rPr>
          <w:rFonts w:ascii="Arial" w:hAnsi="Arial" w:cs="Arial"/>
          <w:lang w:val="es-ES_tradnl"/>
        </w:rPr>
        <w:t>En el futuro, esta información servirá como punto de partida para explorar las causas del rendimiento actual.</w:t>
      </w:r>
    </w:p>
    <w:p w14:paraId="7151592E" w14:textId="2DCE508A" w:rsidR="00453F13" w:rsidRPr="00453F13" w:rsidRDefault="00C33D5C" w:rsidP="00453F13">
      <w:pPr>
        <w:spacing w:line="480" w:lineRule="auto"/>
        <w:ind w:left="57"/>
        <w:rPr>
          <w:rFonts w:ascii="Arial" w:hAnsi="Arial" w:cs="Arial"/>
          <w:lang w:val="es-ES"/>
        </w:rPr>
      </w:pPr>
      <w:r w:rsidRPr="006F33AE">
        <w:rPr>
          <w:rFonts w:ascii="Arial" w:hAnsi="Arial" w:cs="Arial"/>
          <w:lang w:val="es-ES"/>
        </w:rPr>
        <w:t>F</w:t>
      </w:r>
      <w:r w:rsidR="00CF7655" w:rsidRPr="006F33AE">
        <w:rPr>
          <w:rFonts w:ascii="Arial" w:hAnsi="Arial" w:cs="Arial"/>
          <w:lang w:val="es-ES"/>
        </w:rPr>
        <w:t>uturos trabajos deberían desarrollar consensos para determinar criterios de elegibilidad estandarizados a la realidad de las UCI a nivel nacional. De esa manera las UCI de Chile se podrían comparar en función de la implementación del</w:t>
      </w:r>
      <w:r w:rsidR="00887A4F" w:rsidRPr="006F33AE">
        <w:rPr>
          <w:rFonts w:ascii="Arial" w:hAnsi="Arial" w:cs="Arial"/>
          <w:lang w:val="es-ES"/>
        </w:rPr>
        <w:t xml:space="preserve"> </w:t>
      </w:r>
      <w:r w:rsidR="00AD58D7" w:rsidRPr="00574E08">
        <w:rPr>
          <w:rFonts w:ascii="Arial" w:hAnsi="Arial" w:cs="Arial"/>
          <w:iCs/>
          <w:lang w:val="es-ES"/>
        </w:rPr>
        <w:t>“</w:t>
      </w:r>
      <w:proofErr w:type="spellStart"/>
      <w:r w:rsidR="00AD58D7" w:rsidRPr="00574E08">
        <w:rPr>
          <w:rFonts w:ascii="Arial" w:hAnsi="Arial" w:cs="Arial"/>
          <w:iCs/>
          <w:lang w:val="es-ES"/>
        </w:rPr>
        <w:t>bundle</w:t>
      </w:r>
      <w:proofErr w:type="spellEnd"/>
      <w:r w:rsidR="00161F08" w:rsidRPr="00574E08">
        <w:rPr>
          <w:rFonts w:ascii="Arial" w:hAnsi="Arial" w:cs="Arial"/>
          <w:iCs/>
          <w:lang w:val="es-ES"/>
        </w:rPr>
        <w:t>”</w:t>
      </w:r>
      <w:r w:rsidR="00574E08">
        <w:rPr>
          <w:rFonts w:ascii="Arial" w:hAnsi="Arial" w:cs="Arial"/>
          <w:i/>
          <w:iCs/>
          <w:lang w:val="es-ES"/>
        </w:rPr>
        <w:t xml:space="preserve"> </w:t>
      </w:r>
      <w:r w:rsidR="00CF7655" w:rsidRPr="006F33AE">
        <w:rPr>
          <w:rFonts w:ascii="Arial" w:hAnsi="Arial" w:cs="Arial"/>
          <w:lang w:val="es-ES"/>
        </w:rPr>
        <w:t xml:space="preserve">como lo realizado por la </w:t>
      </w:r>
      <w:r w:rsidR="00161F08" w:rsidRPr="006F33AE">
        <w:rPr>
          <w:rFonts w:ascii="Arial" w:hAnsi="Arial" w:cs="Arial"/>
          <w:lang w:val="es-ES"/>
        </w:rPr>
        <w:t>“</w:t>
      </w:r>
      <w:r w:rsidR="00CF7655" w:rsidRPr="006F33AE">
        <w:rPr>
          <w:rFonts w:ascii="Arial" w:hAnsi="Arial" w:cs="Arial"/>
          <w:i/>
          <w:lang w:val="es-ES"/>
        </w:rPr>
        <w:t>ICU Liberation Collaborative</w:t>
      </w:r>
      <w:r w:rsidR="00161F08" w:rsidRPr="006F33AE">
        <w:rPr>
          <w:rFonts w:ascii="Arial" w:hAnsi="Arial" w:cs="Arial"/>
          <w:i/>
          <w:lang w:val="es-ES"/>
        </w:rPr>
        <w:t>”</w:t>
      </w:r>
      <w:r w:rsidR="00693E84" w:rsidRPr="006F33AE">
        <w:rPr>
          <w:rFonts w:ascii="Arial" w:hAnsi="Arial" w:cs="Arial"/>
          <w:lang w:val="es-ES"/>
        </w:rPr>
        <w:t xml:space="preserve">, además de la utilización de un sistema de registro protocolizado. </w:t>
      </w:r>
    </w:p>
    <w:p w14:paraId="2BCEE88A" w14:textId="77777777" w:rsidR="00574E08" w:rsidRPr="006F33AE" w:rsidRDefault="00574E08" w:rsidP="00CF7655">
      <w:pPr>
        <w:spacing w:line="480" w:lineRule="auto"/>
        <w:rPr>
          <w:rFonts w:ascii="Arial" w:hAnsi="Arial" w:cs="Arial"/>
          <w:b/>
          <w:i/>
          <w:lang w:val="es-ES"/>
        </w:rPr>
      </w:pPr>
    </w:p>
    <w:p w14:paraId="0257ADDC" w14:textId="5B8B63A1" w:rsidR="00CF7655" w:rsidRPr="006F33AE" w:rsidRDefault="00830E52" w:rsidP="00CF7655">
      <w:pPr>
        <w:spacing w:line="480" w:lineRule="auto"/>
        <w:rPr>
          <w:rFonts w:ascii="Arial" w:hAnsi="Arial" w:cs="Arial"/>
          <w:b/>
          <w:lang w:val="es-ES"/>
        </w:rPr>
      </w:pPr>
      <w:r w:rsidRPr="006F33AE">
        <w:rPr>
          <w:rFonts w:ascii="Arial" w:hAnsi="Arial" w:cs="Arial"/>
          <w:b/>
          <w:lang w:val="es-ES"/>
        </w:rPr>
        <w:t>CONCLUSIÓN</w:t>
      </w:r>
    </w:p>
    <w:p w14:paraId="3FF0956E" w14:textId="172FD6B1" w:rsidR="00D708CE" w:rsidRPr="006F33AE" w:rsidRDefault="00EF3846" w:rsidP="006F33AE">
      <w:pPr>
        <w:spacing w:line="480" w:lineRule="auto"/>
        <w:ind w:left="57"/>
        <w:rPr>
          <w:rFonts w:ascii="Arial" w:hAnsi="Arial" w:cs="Arial"/>
          <w:bCs/>
          <w:lang w:val="es-ES_tradnl"/>
        </w:rPr>
      </w:pPr>
      <w:r w:rsidRPr="006F33AE">
        <w:rPr>
          <w:rFonts w:ascii="Arial" w:hAnsi="Arial" w:cs="Arial"/>
          <w:bCs/>
          <w:lang w:val="es-ES_tradnl"/>
        </w:rPr>
        <w:t xml:space="preserve">Los elementos “E”, “C” y “D” fueron identificados con mayor cumplimiento, mientras que los elementos “A” y “B2” fueron identificados con menor cumplimiento. Para el elemento “B1” y el “F” se identificó un 0% de </w:t>
      </w:r>
      <w:r w:rsidRPr="006F33AE">
        <w:rPr>
          <w:rFonts w:ascii="Arial" w:hAnsi="Arial" w:cs="Arial"/>
          <w:bCs/>
          <w:lang w:val="es-ES_tradnl"/>
        </w:rPr>
        <w:lastRenderedPageBreak/>
        <w:t>cumplimiento</w:t>
      </w:r>
      <w:r w:rsidR="00CD6187" w:rsidRPr="006F33AE">
        <w:rPr>
          <w:rFonts w:ascii="Arial" w:hAnsi="Arial" w:cs="Arial"/>
          <w:lang w:val="es-ES"/>
        </w:rPr>
        <w:t xml:space="preserve">. </w:t>
      </w:r>
      <w:r w:rsidRPr="006F33AE">
        <w:rPr>
          <w:rFonts w:ascii="Arial" w:hAnsi="Arial" w:cs="Arial"/>
          <w:lang w:val="es-ES"/>
        </w:rPr>
        <w:t xml:space="preserve">El enfermero y el kinesiólogo de UCI son los profesionales que tuvieron mayor participación en la implementación del </w:t>
      </w:r>
      <w:r w:rsidR="00AD58D7" w:rsidRPr="001844DD">
        <w:rPr>
          <w:rFonts w:ascii="Arial" w:hAnsi="Arial" w:cs="Arial"/>
          <w:iCs/>
          <w:lang w:val="es-ES"/>
        </w:rPr>
        <w:t>“</w:t>
      </w:r>
      <w:proofErr w:type="spellStart"/>
      <w:r w:rsidR="00AD58D7" w:rsidRPr="001844DD">
        <w:rPr>
          <w:rFonts w:ascii="Arial" w:hAnsi="Arial" w:cs="Arial"/>
          <w:iCs/>
          <w:lang w:val="es-ES"/>
        </w:rPr>
        <w:t>bundle</w:t>
      </w:r>
      <w:proofErr w:type="spellEnd"/>
      <w:r w:rsidR="00AD58D7" w:rsidRPr="001844DD">
        <w:rPr>
          <w:rFonts w:ascii="Arial" w:hAnsi="Arial" w:cs="Arial"/>
          <w:iCs/>
          <w:lang w:val="es-ES"/>
        </w:rPr>
        <w:t>”</w:t>
      </w:r>
      <w:r w:rsidR="00CD6187" w:rsidRPr="001844DD">
        <w:rPr>
          <w:rFonts w:ascii="Arial" w:hAnsi="Arial" w:cs="Arial"/>
          <w:bCs/>
          <w:lang w:val="es-ES_tradnl"/>
        </w:rPr>
        <w:t>.</w:t>
      </w:r>
      <w:r w:rsidRPr="001844DD">
        <w:rPr>
          <w:rFonts w:ascii="Arial" w:hAnsi="Arial" w:cs="Arial"/>
          <w:bCs/>
          <w:lang w:val="es-ES_tradnl"/>
        </w:rPr>
        <w:t xml:space="preserve"> </w:t>
      </w:r>
      <w:r w:rsidRPr="006F33AE">
        <w:rPr>
          <w:rFonts w:ascii="Arial" w:hAnsi="Arial" w:cs="Arial"/>
          <w:bCs/>
          <w:lang w:val="es-ES_tradnl"/>
        </w:rPr>
        <w:t xml:space="preserve">Se necesitan futuras investigaciones que ayuden a comprender la conducta de implementación de los profesionales clínicos que trabajan en UCI para mejorar el cumplimiento del </w:t>
      </w:r>
      <w:r w:rsidR="00AD58D7" w:rsidRPr="001844DD">
        <w:rPr>
          <w:rFonts w:ascii="Arial" w:hAnsi="Arial" w:cs="Arial"/>
          <w:bCs/>
          <w:iCs/>
          <w:lang w:val="es-ES_tradnl"/>
        </w:rPr>
        <w:t>“bundle”</w:t>
      </w:r>
      <w:r w:rsidRPr="006F33AE">
        <w:rPr>
          <w:rFonts w:ascii="Arial" w:hAnsi="Arial" w:cs="Arial"/>
          <w:bCs/>
          <w:lang w:val="es-ES_tradnl"/>
        </w:rPr>
        <w:t xml:space="preserve"> y los potenciales resultados en los pacientes</w:t>
      </w:r>
      <w:r w:rsidR="00C20FCC" w:rsidRPr="006F33AE">
        <w:rPr>
          <w:rFonts w:ascii="Arial" w:hAnsi="Arial" w:cs="Arial"/>
          <w:bCs/>
          <w:lang w:val="es-ES_tradnl"/>
        </w:rPr>
        <w:t>.</w:t>
      </w:r>
      <w:r w:rsidR="00830E52" w:rsidRPr="006F33AE">
        <w:rPr>
          <w:rFonts w:ascii="Arial" w:hAnsi="Arial" w:cs="Arial"/>
          <w:b/>
        </w:rPr>
        <w:br w:type="page"/>
      </w:r>
    </w:p>
    <w:p w14:paraId="1AC525E1" w14:textId="015B1AA6" w:rsidR="00D708CE" w:rsidRPr="006F33AE" w:rsidRDefault="00C21FB3" w:rsidP="00CF7655">
      <w:pPr>
        <w:spacing w:line="480" w:lineRule="auto"/>
        <w:rPr>
          <w:rFonts w:ascii="Arial" w:hAnsi="Arial" w:cs="Arial"/>
          <w:b/>
          <w:lang w:val="en-US"/>
        </w:rPr>
      </w:pPr>
      <w:r w:rsidRPr="006F33AE">
        <w:rPr>
          <w:rFonts w:ascii="Arial" w:hAnsi="Arial" w:cs="Arial"/>
          <w:b/>
          <w:lang w:val="en-US"/>
        </w:rPr>
        <w:lastRenderedPageBreak/>
        <w:t>BIBLIOGRAFÍA</w:t>
      </w:r>
      <w:r w:rsidR="00D708CE" w:rsidRPr="006F33AE">
        <w:rPr>
          <w:rFonts w:ascii="Arial" w:hAnsi="Arial" w:cs="Arial"/>
          <w:b/>
          <w:lang w:val="en-US"/>
        </w:rPr>
        <w:t>.</w:t>
      </w:r>
    </w:p>
    <w:p w14:paraId="715684C5" w14:textId="19D414FB" w:rsidR="007E240A" w:rsidRPr="006F33AE" w:rsidRDefault="00105895"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b/>
          <w:lang w:val="en-US"/>
        </w:rPr>
        <w:fldChar w:fldCharType="begin" w:fldLock="1"/>
      </w:r>
      <w:r w:rsidRPr="006F33AE">
        <w:rPr>
          <w:rFonts w:ascii="Arial" w:hAnsi="Arial" w:cs="Arial"/>
          <w:b/>
          <w:lang w:val="en-US"/>
        </w:rPr>
        <w:instrText xml:space="preserve">ADDIN Mendeley Bibliography CSL_BIBLIOGRAPHY </w:instrText>
      </w:r>
      <w:r w:rsidRPr="006F33AE">
        <w:rPr>
          <w:rFonts w:ascii="Arial" w:hAnsi="Arial" w:cs="Arial"/>
          <w:b/>
          <w:lang w:val="en-US"/>
        </w:rPr>
        <w:fldChar w:fldCharType="separate"/>
      </w:r>
      <w:r w:rsidR="007E240A" w:rsidRPr="006F33AE">
        <w:rPr>
          <w:rFonts w:ascii="Arial" w:hAnsi="Arial" w:cs="Arial"/>
          <w:noProof/>
          <w:lang w:val="en-US"/>
        </w:rPr>
        <w:t xml:space="preserve">1. </w:t>
      </w:r>
      <w:r w:rsidR="007E240A" w:rsidRPr="006F33AE">
        <w:rPr>
          <w:rFonts w:ascii="Arial" w:hAnsi="Arial" w:cs="Arial"/>
          <w:noProof/>
          <w:lang w:val="en-US"/>
        </w:rPr>
        <w:tab/>
        <w:t xml:space="preserve">Needham DM, Davidson J, Cohen H, Hopkins RO, Weinert C, Wunsch H, et al. Improving long-term outcomes after discharge from intensive care unit: Report from a stakeholders’ conference. Crit Care Med. 2012;40(2):502–9. </w:t>
      </w:r>
    </w:p>
    <w:p w14:paraId="1F30731A" w14:textId="42D74F18"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2. </w:t>
      </w:r>
      <w:r w:rsidRPr="006F33AE">
        <w:rPr>
          <w:rFonts w:ascii="Arial" w:hAnsi="Arial" w:cs="Arial"/>
          <w:noProof/>
          <w:lang w:val="en-US"/>
        </w:rPr>
        <w:tab/>
        <w:t xml:space="preserve">Ely EW. The ABCDEF </w:t>
      </w:r>
      <w:r w:rsidR="00AD58D7" w:rsidRPr="006F33AE">
        <w:rPr>
          <w:rFonts w:ascii="Arial" w:hAnsi="Arial" w:cs="Arial"/>
          <w:noProof/>
          <w:lang w:val="en-US"/>
        </w:rPr>
        <w:t>“bundle”</w:t>
      </w:r>
      <w:r w:rsidRPr="006F33AE">
        <w:rPr>
          <w:rFonts w:ascii="Arial" w:hAnsi="Arial" w:cs="Arial"/>
          <w:noProof/>
          <w:lang w:val="en-US"/>
        </w:rPr>
        <w:t xml:space="preserve">: Science and philosophy of how ICU liberation serves patients and families. Crit Care Med. 2017;45(2):321–30. </w:t>
      </w:r>
    </w:p>
    <w:p w14:paraId="20BC77E6" w14:textId="3FEC6D34"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3. </w:t>
      </w:r>
      <w:r w:rsidRPr="006F33AE">
        <w:rPr>
          <w:rFonts w:ascii="Arial" w:hAnsi="Arial" w:cs="Arial"/>
          <w:noProof/>
          <w:lang w:val="en-US"/>
        </w:rPr>
        <w:tab/>
        <w:t xml:space="preserve">Barnes-Daly MA, Phillips G, Ely EW. Improving hospital survival and reducing brain dysfunction at Seven California Community Hospitals: Implementing PAD guidelines via the ABCDEF </w:t>
      </w:r>
      <w:r w:rsidR="00AD58D7" w:rsidRPr="006F33AE">
        <w:rPr>
          <w:rFonts w:ascii="Arial" w:hAnsi="Arial" w:cs="Arial"/>
          <w:noProof/>
          <w:lang w:val="en-US"/>
        </w:rPr>
        <w:t>“bundle”</w:t>
      </w:r>
      <w:r w:rsidRPr="006F33AE">
        <w:rPr>
          <w:rFonts w:ascii="Arial" w:hAnsi="Arial" w:cs="Arial"/>
          <w:noProof/>
          <w:lang w:val="en-US"/>
        </w:rPr>
        <w:t xml:space="preserve"> in 6,064 patients. Crit Care Med. 2017;45(2):171–8. </w:t>
      </w:r>
    </w:p>
    <w:p w14:paraId="79508905" w14:textId="108B7296"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4. </w:t>
      </w:r>
      <w:r w:rsidRPr="006F33AE">
        <w:rPr>
          <w:rFonts w:ascii="Arial" w:hAnsi="Arial" w:cs="Arial"/>
          <w:noProof/>
          <w:lang w:val="en-US"/>
        </w:rPr>
        <w:tab/>
        <w:t xml:space="preserve">Pun BT, Balas MC, Barnes-Daly MA, Thompson JL, Aldrich JM, Barr J, et al. Caring for Critically Ill Patients with the ABCDEF </w:t>
      </w:r>
      <w:r w:rsidR="00AD58D7" w:rsidRPr="006F33AE">
        <w:rPr>
          <w:rFonts w:ascii="Arial" w:hAnsi="Arial" w:cs="Arial"/>
          <w:noProof/>
          <w:lang w:val="en-US"/>
        </w:rPr>
        <w:t>“bundle”</w:t>
      </w:r>
      <w:r w:rsidRPr="006F33AE">
        <w:rPr>
          <w:rFonts w:ascii="Arial" w:hAnsi="Arial" w:cs="Arial"/>
          <w:noProof/>
          <w:lang w:val="en-US"/>
        </w:rPr>
        <w:t xml:space="preserve">: Results of the ICU Liberation Collaborative in Over 15,000 Adults. Crit Care Med. 2019;47(1):3–14. </w:t>
      </w:r>
    </w:p>
    <w:p w14:paraId="21A5762F" w14:textId="2DDADBF1"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5. </w:t>
      </w:r>
      <w:r w:rsidRPr="006F33AE">
        <w:rPr>
          <w:rFonts w:ascii="Arial" w:hAnsi="Arial" w:cs="Arial"/>
          <w:noProof/>
          <w:lang w:val="en-US"/>
        </w:rPr>
        <w:tab/>
        <w:t xml:space="preserve">Morandi A, Piva S, Ely EW, Myatra SN, Salluh JIF, Amare D, et al. Worldwide Survey of the “Assessing Pain, Both Spontaneous Awakening and Breathing Trials, Choice of Drugs, Delirium Monitoring/Management, Early Exercise/Mobility, and Family Empowerment” (ABCDEF) </w:t>
      </w:r>
      <w:r w:rsidR="00AD58D7" w:rsidRPr="006F33AE">
        <w:rPr>
          <w:rFonts w:ascii="Arial" w:hAnsi="Arial" w:cs="Arial"/>
          <w:noProof/>
          <w:lang w:val="en-US"/>
        </w:rPr>
        <w:t>“bundle”</w:t>
      </w:r>
      <w:r w:rsidRPr="006F33AE">
        <w:rPr>
          <w:rFonts w:ascii="Arial" w:hAnsi="Arial" w:cs="Arial"/>
          <w:noProof/>
          <w:lang w:val="en-US"/>
        </w:rPr>
        <w:t xml:space="preserve">. Crit Care Med. 2017;45(11):e1111–22. </w:t>
      </w:r>
    </w:p>
    <w:p w14:paraId="63B3BC2B" w14:textId="35F86B56"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6. </w:t>
      </w:r>
      <w:r w:rsidRPr="006F33AE">
        <w:rPr>
          <w:rFonts w:ascii="Arial" w:hAnsi="Arial" w:cs="Arial"/>
          <w:noProof/>
          <w:lang w:val="en-US"/>
        </w:rPr>
        <w:tab/>
        <w:t xml:space="preserve">Costa DK, White MR, Ginier E, Manojlovich M, Govindan S, Iwashyna TJ, et al. Identifying Barriers to Delivering the Awakening and Breathing </w:t>
      </w:r>
      <w:r w:rsidRPr="006F33AE">
        <w:rPr>
          <w:rFonts w:ascii="Arial" w:hAnsi="Arial" w:cs="Arial"/>
          <w:noProof/>
          <w:lang w:val="en-US"/>
        </w:rPr>
        <w:lastRenderedPageBreak/>
        <w:t xml:space="preserve">Coordination, Delirium, and Early Exercise/Mobility </w:t>
      </w:r>
      <w:r w:rsidR="00AD58D7" w:rsidRPr="006F33AE">
        <w:rPr>
          <w:rFonts w:ascii="Arial" w:hAnsi="Arial" w:cs="Arial"/>
          <w:noProof/>
          <w:lang w:val="en-US"/>
        </w:rPr>
        <w:t>“bundle”</w:t>
      </w:r>
      <w:r w:rsidRPr="006F33AE">
        <w:rPr>
          <w:rFonts w:ascii="Arial" w:hAnsi="Arial" w:cs="Arial"/>
          <w:noProof/>
          <w:lang w:val="en-US"/>
        </w:rPr>
        <w:t xml:space="preserve"> to Minimize Adverse Outcomes for Mechanically Ventilated Patients: A Systematic Review. Chest [Internet]. 2017;152(2):304–11. Available from: http://dx.doi.org/10.1016/j.chest.2017.03.054</w:t>
      </w:r>
    </w:p>
    <w:p w14:paraId="0146A853" w14:textId="77777777"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7. </w:t>
      </w:r>
      <w:r w:rsidRPr="006F33AE">
        <w:rPr>
          <w:rFonts w:ascii="Arial" w:hAnsi="Arial" w:cs="Arial"/>
          <w:noProof/>
          <w:lang w:val="en-US"/>
        </w:rPr>
        <w:tab/>
        <w:t xml:space="preserve">Devlin JW, Skrobik Y, Gélinas C, Needham DM, Slooter AJC, Pandharipande PP, et al. Clinical Practice Guidelines for the Prevention and Management of Pain, Agitation/Sedation, Delirium, Immobility, and Sleep Disruption in Adult Patients in the ICU. Vol. 46, Critical care medicine. 2018. 825–873 p. </w:t>
      </w:r>
    </w:p>
    <w:p w14:paraId="0EB41E72" w14:textId="77777777"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8. </w:t>
      </w:r>
      <w:r w:rsidRPr="006F33AE">
        <w:rPr>
          <w:rFonts w:ascii="Arial" w:hAnsi="Arial" w:cs="Arial"/>
          <w:noProof/>
          <w:lang w:val="en-US"/>
        </w:rPr>
        <w:tab/>
        <w:t>SCCM | Clinical Practice Guidelines [Internet]. [cited 2020 Nov 27]. Available from: https://www.sccm.org/ICULiberation/Guidelines</w:t>
      </w:r>
    </w:p>
    <w:p w14:paraId="2F00A7ED" w14:textId="77777777"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s-ES_tradnl"/>
        </w:rPr>
        <w:t xml:space="preserve">9. </w:t>
      </w:r>
      <w:r w:rsidRPr="006F33AE">
        <w:rPr>
          <w:rFonts w:ascii="Arial" w:hAnsi="Arial" w:cs="Arial"/>
          <w:noProof/>
          <w:lang w:val="es-ES_tradnl"/>
        </w:rPr>
        <w:tab/>
        <w:t xml:space="preserve">Tobar E, Rojas V, Álvarez E, Romero C, Sepúlveda I, Cariqueo M, et al. Recomendaciones de la Sociedad Chilena de Medicina Intensiva para la analgesia, sedación, delírium y bloqueo neuromuscular en pacientes críticos médico-quirúrgicos adultos. </w:t>
      </w:r>
      <w:r w:rsidRPr="006F33AE">
        <w:rPr>
          <w:rFonts w:ascii="Arial" w:hAnsi="Arial" w:cs="Arial"/>
          <w:noProof/>
          <w:lang w:val="en-US"/>
        </w:rPr>
        <w:t xml:space="preserve">Rev Chil Med Intensiva. 2019;255–90. </w:t>
      </w:r>
    </w:p>
    <w:p w14:paraId="4736EA07" w14:textId="5D835157"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10. </w:t>
      </w:r>
      <w:r w:rsidRPr="006F33AE">
        <w:rPr>
          <w:rFonts w:ascii="Arial" w:hAnsi="Arial" w:cs="Arial"/>
          <w:noProof/>
          <w:lang w:val="en-US"/>
        </w:rPr>
        <w:tab/>
        <w:t xml:space="preserve">Barnes-Daly MA, Pun BT, Harmon LA, Byrum DG, Kumar VK, Devlin JW, et al. Improving Health Care for Critically Ill Patients Using an Evidence-Based Collaborative Approach to ABCDEF </w:t>
      </w:r>
      <w:r w:rsidR="00AD58D7" w:rsidRPr="006F33AE">
        <w:rPr>
          <w:rFonts w:ascii="Arial" w:hAnsi="Arial" w:cs="Arial"/>
          <w:noProof/>
          <w:lang w:val="en-US"/>
        </w:rPr>
        <w:t>“bundle”</w:t>
      </w:r>
      <w:r w:rsidRPr="006F33AE">
        <w:rPr>
          <w:rFonts w:ascii="Arial" w:hAnsi="Arial" w:cs="Arial"/>
          <w:noProof/>
          <w:lang w:val="en-US"/>
        </w:rPr>
        <w:t xml:space="preserve"> Dissemination and Implementation. Worldviews Evidence-Based Nurs. 2018;15(3):206–16. </w:t>
      </w:r>
    </w:p>
    <w:p w14:paraId="20BCF635" w14:textId="0F1EE486"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11. </w:t>
      </w:r>
      <w:r w:rsidRPr="006F33AE">
        <w:rPr>
          <w:rFonts w:ascii="Arial" w:hAnsi="Arial" w:cs="Arial"/>
          <w:noProof/>
          <w:lang w:val="en-US"/>
        </w:rPr>
        <w:tab/>
        <w:t>Balas MC, Pun BT, Engel HJ, Perme C, Esbrook CL, Otr L, et al.</w:t>
      </w:r>
      <w:r w:rsidR="000B137E" w:rsidRPr="006F33AE">
        <w:rPr>
          <w:rFonts w:ascii="Arial" w:hAnsi="Arial" w:cs="Arial"/>
          <w:noProof/>
          <w:lang w:val="en-US"/>
        </w:rPr>
        <w:t xml:space="preserve"> </w:t>
      </w:r>
      <w:r w:rsidR="00AA2984" w:rsidRPr="006F33AE">
        <w:rPr>
          <w:rFonts w:ascii="Arial" w:hAnsi="Arial" w:cs="Arial"/>
          <w:noProof/>
          <w:lang w:val="en-US"/>
        </w:rPr>
        <w:t xml:space="preserve">Common </w:t>
      </w:r>
      <w:r w:rsidR="000B137E" w:rsidRPr="006F33AE">
        <w:rPr>
          <w:rFonts w:ascii="Arial" w:hAnsi="Arial" w:cs="Arial"/>
          <w:noProof/>
          <w:lang w:val="en-US"/>
        </w:rPr>
        <w:t>challenges to effective ABCDEF bundle implementation: The ICU Liberation Campaign Experience</w:t>
      </w:r>
      <w:r w:rsidRPr="006F33AE">
        <w:rPr>
          <w:rFonts w:ascii="Arial" w:hAnsi="Arial" w:cs="Arial"/>
          <w:noProof/>
          <w:lang w:val="en-US"/>
        </w:rPr>
        <w:t xml:space="preserve">. 2019;39(1):46–61. </w:t>
      </w:r>
    </w:p>
    <w:p w14:paraId="0C3E2161" w14:textId="36477F78" w:rsidR="007E240A" w:rsidRPr="006F33AE" w:rsidRDefault="007E240A" w:rsidP="007E240A">
      <w:pPr>
        <w:widowControl w:val="0"/>
        <w:autoSpaceDE w:val="0"/>
        <w:autoSpaceDN w:val="0"/>
        <w:adjustRightInd w:val="0"/>
        <w:spacing w:line="480" w:lineRule="auto"/>
        <w:ind w:left="640" w:hanging="640"/>
        <w:rPr>
          <w:rFonts w:ascii="Arial" w:hAnsi="Arial" w:cs="Arial"/>
          <w:noProof/>
          <w:lang w:val="es-ES_tradnl"/>
        </w:rPr>
      </w:pPr>
      <w:r w:rsidRPr="006F33AE">
        <w:rPr>
          <w:rFonts w:ascii="Arial" w:hAnsi="Arial" w:cs="Arial"/>
          <w:noProof/>
          <w:lang w:val="en-US"/>
        </w:rPr>
        <w:lastRenderedPageBreak/>
        <w:t xml:space="preserve">12. </w:t>
      </w:r>
      <w:r w:rsidRPr="006F33AE">
        <w:rPr>
          <w:rFonts w:ascii="Arial" w:hAnsi="Arial" w:cs="Arial"/>
          <w:noProof/>
          <w:lang w:val="en-US"/>
        </w:rPr>
        <w:tab/>
        <w:t xml:space="preserve">Stollings JL, Devlin JW, Pun BT, Kelly T, Hargett KD, Morse A, et al. </w:t>
      </w:r>
      <w:r w:rsidR="00324E5B" w:rsidRPr="006F33AE">
        <w:rPr>
          <w:rFonts w:ascii="Arial" w:hAnsi="Arial" w:cs="Arial"/>
          <w:noProof/>
          <w:lang w:val="en-US"/>
        </w:rPr>
        <w:t xml:space="preserve">Implementing the ABCDEF bundle: Top 8 questions asked during the ICU Liberation </w:t>
      </w:r>
      <w:r w:rsidR="00F614F9" w:rsidRPr="006F33AE">
        <w:rPr>
          <w:rFonts w:ascii="Arial" w:hAnsi="Arial" w:cs="Arial"/>
          <w:noProof/>
          <w:lang w:val="en-US"/>
        </w:rPr>
        <w:t>ABCDEF bundle improvement collaborative</w:t>
      </w:r>
      <w:r w:rsidRPr="006F33AE">
        <w:rPr>
          <w:rFonts w:ascii="Arial" w:hAnsi="Arial" w:cs="Arial"/>
          <w:noProof/>
          <w:lang w:val="en-US"/>
        </w:rPr>
        <w:t xml:space="preserve">. </w:t>
      </w:r>
      <w:r w:rsidRPr="006F33AE">
        <w:rPr>
          <w:rFonts w:ascii="Arial" w:hAnsi="Arial" w:cs="Arial"/>
          <w:noProof/>
          <w:lang w:val="es-ES_tradnl"/>
        </w:rPr>
        <w:t xml:space="preserve">2019;39(1). </w:t>
      </w:r>
    </w:p>
    <w:p w14:paraId="46933CB6" w14:textId="77777777"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s-ES_tradnl"/>
        </w:rPr>
        <w:t xml:space="preserve">13. </w:t>
      </w:r>
      <w:r w:rsidRPr="006F33AE">
        <w:rPr>
          <w:rFonts w:ascii="Arial" w:hAnsi="Arial" w:cs="Arial"/>
          <w:noProof/>
          <w:lang w:val="es-ES_tradnl"/>
        </w:rPr>
        <w:tab/>
        <w:t xml:space="preserve">Azevedo-Santos IF, Alves IGN, Cerqueira Neto ML de, Badauê-Passos D, Santana-Filho VJ, de Santana JM. </w:t>
      </w:r>
      <w:r w:rsidRPr="006F33AE">
        <w:rPr>
          <w:rFonts w:ascii="Arial" w:hAnsi="Arial" w:cs="Arial"/>
          <w:noProof/>
          <w:lang w:val="en-US"/>
        </w:rPr>
        <w:t>Validation of the Brazilian version of Behavioral Pain Scale in adult sedated and mechanically ventilated patients. Brazilian J Anesthesiol (English Ed [Internet]. 2017;67(3):271–7. Available from: http://dx.doi.org/10.1016/j.bjane.2015.11.003</w:t>
      </w:r>
    </w:p>
    <w:p w14:paraId="198CEDFB" w14:textId="77777777"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14. </w:t>
      </w:r>
      <w:r w:rsidRPr="006F33AE">
        <w:rPr>
          <w:rFonts w:ascii="Arial" w:hAnsi="Arial" w:cs="Arial"/>
          <w:noProof/>
          <w:lang w:val="en-US"/>
        </w:rPr>
        <w:tab/>
        <w:t xml:space="preserve">Hylén M, Akerman E, Alm-Roijer C, Idvall E. Behavioral Pain Scale - Translation, reliability, and validity in a Swedish context. Acta Anaesthesiol Scand. 2016;60(6):821–8. </w:t>
      </w:r>
    </w:p>
    <w:p w14:paraId="4E92842F" w14:textId="77777777"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15. </w:t>
      </w:r>
      <w:r w:rsidRPr="006F33AE">
        <w:rPr>
          <w:rFonts w:ascii="Arial" w:hAnsi="Arial" w:cs="Arial"/>
          <w:noProof/>
          <w:lang w:val="en-US"/>
        </w:rPr>
        <w:tab/>
        <w:t xml:space="preserve">Hsiung NH, Yang Y, Lee MS, Dalal K, Smith GD. Translation, adaptation, and validation of the behavioral pain scale and the critical-care pain observational tools in Taiwan. J Pain Res. 2016;9:661–9. </w:t>
      </w:r>
    </w:p>
    <w:p w14:paraId="65E5DC48" w14:textId="77777777"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16. </w:t>
      </w:r>
      <w:r w:rsidRPr="006F33AE">
        <w:rPr>
          <w:rFonts w:ascii="Arial" w:hAnsi="Arial" w:cs="Arial"/>
          <w:noProof/>
          <w:lang w:val="en-US"/>
        </w:rPr>
        <w:tab/>
        <w:t xml:space="preserve">Arroyo-Novoa CM, Figueroa-Ramos MI, Puntillo KA, Gélinas C. Translation into Spanish and cultural adaptation of the critical-care pain observation tool. Am J Crit Care. 2020;29(3):226–32. </w:t>
      </w:r>
    </w:p>
    <w:p w14:paraId="3E40B4DC" w14:textId="77777777"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17. </w:t>
      </w:r>
      <w:r w:rsidRPr="006F33AE">
        <w:rPr>
          <w:rFonts w:ascii="Arial" w:hAnsi="Arial" w:cs="Arial"/>
          <w:noProof/>
          <w:lang w:val="en-US"/>
        </w:rPr>
        <w:tab/>
        <w:t xml:space="preserve">Tobar A E, Lanas M A, Pino P S, Asp?e L P, Rivas V S, Prat R D, et al. Protocol based sedation versus conventional treatment in critically ill patients on mechanical ventilation | Sedaci?n guiada por protocolo versus manejo convencional en pacientes cr?ticos en ventilaci?n mec?nica. Rev Med Chil. 2008;136(6):711–8. </w:t>
      </w:r>
    </w:p>
    <w:p w14:paraId="53673BAE" w14:textId="77777777"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s-ES_tradnl"/>
        </w:rPr>
        <w:lastRenderedPageBreak/>
        <w:t xml:space="preserve">18. </w:t>
      </w:r>
      <w:r w:rsidRPr="006F33AE">
        <w:rPr>
          <w:rFonts w:ascii="Arial" w:hAnsi="Arial" w:cs="Arial"/>
          <w:noProof/>
          <w:lang w:val="es-ES_tradnl"/>
        </w:rPr>
        <w:tab/>
        <w:t xml:space="preserve">Rojas-Gambasica JA, Valencia-Moreno A, Nieto-Estrada VH, Méndez-Osorio P, Molano-Franco D, Jiménez-Quimbaya ÁT, et al. </w:t>
      </w:r>
      <w:r w:rsidRPr="006F33AE">
        <w:rPr>
          <w:rFonts w:ascii="Arial" w:hAnsi="Arial" w:cs="Arial"/>
          <w:noProof/>
          <w:lang w:val="en-US"/>
        </w:rPr>
        <w:t xml:space="preserve">Transcultural and linguistic adaptation of the Richmond agitation-sedation scale to spanish. Rev Colomb Anestesiol. 2016;44(3):218–23. </w:t>
      </w:r>
    </w:p>
    <w:p w14:paraId="3A69614C" w14:textId="77777777"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19. </w:t>
      </w:r>
      <w:r w:rsidRPr="006F33AE">
        <w:rPr>
          <w:rFonts w:ascii="Arial" w:hAnsi="Arial" w:cs="Arial"/>
          <w:noProof/>
          <w:lang w:val="en-US"/>
        </w:rPr>
        <w:tab/>
        <w:t xml:space="preserve">Ely EW, Shintani A, Truman B, Speroff T, Gordon SM, Harrell FE, et al. Delirium as a Predictor of Mortality in Mechanically Ventilated Patients in the Intensive Care Unit. J Am Med Assoc. 2004;291(14):1753–62. </w:t>
      </w:r>
    </w:p>
    <w:p w14:paraId="77C66757" w14:textId="77777777"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20. </w:t>
      </w:r>
      <w:r w:rsidRPr="006F33AE">
        <w:rPr>
          <w:rFonts w:ascii="Arial" w:hAnsi="Arial" w:cs="Arial"/>
          <w:noProof/>
          <w:lang w:val="en-US"/>
        </w:rPr>
        <w:tab/>
        <w:t xml:space="preserve">Chaiwat O, Chanidnuan M, Pancharoen W, Vijitmala K, Danpornprasert P, Toadithep P, et al. Correction to: Postoperative delirium in critically ill surgical patients: incidence, risk factors, and predictive scores (BMC Anesthesiology (2019) 19 (39) 10.1186/s12871-019-0694-x). BMC Anesthesiol. 2019;19(1):1–10. </w:t>
      </w:r>
    </w:p>
    <w:p w14:paraId="1177606E" w14:textId="7FB58912"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21. </w:t>
      </w:r>
      <w:r w:rsidRPr="006F33AE">
        <w:rPr>
          <w:rFonts w:ascii="Arial" w:hAnsi="Arial" w:cs="Arial"/>
          <w:noProof/>
          <w:lang w:val="en-US"/>
        </w:rPr>
        <w:tab/>
        <w:t xml:space="preserve">Phelan S, Lin F, Mitchell M, Chaboyer W. Implementing early mobilisation in the intensive care unit: An integrative review. Int J Nurs Stud. 2017;77(March 2017):91–105. </w:t>
      </w:r>
    </w:p>
    <w:p w14:paraId="2BBB1E20" w14:textId="77777777"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22. </w:t>
      </w:r>
      <w:r w:rsidRPr="006F33AE">
        <w:rPr>
          <w:rFonts w:ascii="Arial" w:hAnsi="Arial" w:cs="Arial"/>
          <w:noProof/>
          <w:lang w:val="en-US"/>
        </w:rPr>
        <w:tab/>
        <w:t xml:space="preserve">Camus-Molina A, González-Seguel F, Castro-Ávila AC, Leppe J. Construct Validity of the Chilean-Spanish Version of the Functional Status Score for the Intensive Care Unit: A Prospective Observational Study Using Actigraphy in Mechanically Ventilated Patients. Arch Phys Med Rehabil. 2020;101(11):1914–21. </w:t>
      </w:r>
    </w:p>
    <w:p w14:paraId="447F7403" w14:textId="2B8EFFF2"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23. </w:t>
      </w:r>
      <w:r w:rsidRPr="006F33AE">
        <w:rPr>
          <w:rFonts w:ascii="Arial" w:hAnsi="Arial" w:cs="Arial"/>
          <w:noProof/>
          <w:lang w:val="en-US"/>
        </w:rPr>
        <w:tab/>
        <w:t xml:space="preserve">Dubb R, Nydahl P, Hermes C, Schwabbauer N, Toonstra A, Parker AM, et al. Barriers and Strategies for Early Mobilization of Patients in Intensive </w:t>
      </w:r>
      <w:r w:rsidRPr="006F33AE">
        <w:rPr>
          <w:rFonts w:ascii="Arial" w:hAnsi="Arial" w:cs="Arial"/>
          <w:noProof/>
          <w:lang w:val="en-US"/>
        </w:rPr>
        <w:lastRenderedPageBreak/>
        <w:t>Care Units. 2016;13(5)</w:t>
      </w:r>
      <w:r w:rsidR="00416914" w:rsidRPr="006F33AE">
        <w:rPr>
          <w:rFonts w:ascii="Arial" w:hAnsi="Arial" w:cs="Arial"/>
          <w:noProof/>
          <w:lang w:val="en-US"/>
        </w:rPr>
        <w:t>:724-30</w:t>
      </w:r>
      <w:r w:rsidRPr="006F33AE">
        <w:rPr>
          <w:rFonts w:ascii="Arial" w:hAnsi="Arial" w:cs="Arial"/>
          <w:noProof/>
          <w:lang w:val="en-US"/>
        </w:rPr>
        <w:t xml:space="preserve">. </w:t>
      </w:r>
    </w:p>
    <w:p w14:paraId="68926E61" w14:textId="77777777"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24. </w:t>
      </w:r>
      <w:r w:rsidRPr="006F33AE">
        <w:rPr>
          <w:rFonts w:ascii="Arial" w:hAnsi="Arial" w:cs="Arial"/>
          <w:noProof/>
          <w:lang w:val="en-US"/>
        </w:rPr>
        <w:tab/>
        <w:t xml:space="preserve">Goddard SL, Lorencatto F, Koo E, Rose L, Fan E, Kho ME, et al. Barriers and facilitators to early rehabilitation in mechanically ventilated patients-a theory-driven interview study. J Intensive Care. 2018;6(1):1–8. </w:t>
      </w:r>
    </w:p>
    <w:p w14:paraId="54A17087" w14:textId="77777777"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25. </w:t>
      </w:r>
      <w:r w:rsidRPr="006F33AE">
        <w:rPr>
          <w:rFonts w:ascii="Arial" w:hAnsi="Arial" w:cs="Arial"/>
          <w:noProof/>
          <w:lang w:val="en-US"/>
        </w:rPr>
        <w:tab/>
        <w:t xml:space="preserve">Liput SA, Kane-Gill SL, Seybert AL, Smithburger PL. A review of the perceptions of healthcare providers and family members toward family involvement in active adult patient care in the ICU. Crit Care Med. 2016;44(6):1191–7. </w:t>
      </w:r>
    </w:p>
    <w:p w14:paraId="5066DD75" w14:textId="09841C8F"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26. </w:t>
      </w:r>
      <w:r w:rsidRPr="006F33AE">
        <w:rPr>
          <w:rFonts w:ascii="Arial" w:hAnsi="Arial" w:cs="Arial"/>
          <w:noProof/>
          <w:lang w:val="en-US"/>
        </w:rPr>
        <w:tab/>
        <w:t>Burry L, Rose L, Mccullagh IJ, Fergusson DA, Ferguson ND, Mehta S. Daily sedation interruption versus no daily sedation interruption for critically ill adult patients requiring invasive mechanical ventilation. Cochrane Database Syst Rev. 2014;2014(7)</w:t>
      </w:r>
      <w:r w:rsidR="007C4448" w:rsidRPr="006F33AE">
        <w:rPr>
          <w:rFonts w:ascii="Arial" w:hAnsi="Arial" w:cs="Arial"/>
          <w:noProof/>
          <w:lang w:val="en-US"/>
        </w:rPr>
        <w:t>:CD:009176</w:t>
      </w:r>
      <w:r w:rsidRPr="006F33AE">
        <w:rPr>
          <w:rFonts w:ascii="Arial" w:hAnsi="Arial" w:cs="Arial"/>
          <w:noProof/>
          <w:lang w:val="en-US"/>
        </w:rPr>
        <w:t xml:space="preserve">. </w:t>
      </w:r>
    </w:p>
    <w:p w14:paraId="154AB95C" w14:textId="0386D9E6"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27. </w:t>
      </w:r>
      <w:r w:rsidRPr="006F33AE">
        <w:rPr>
          <w:rFonts w:ascii="Arial" w:hAnsi="Arial" w:cs="Arial"/>
          <w:noProof/>
          <w:lang w:val="en-US"/>
        </w:rPr>
        <w:tab/>
        <w:t xml:space="preserve">Stollings JL, Devlin JW, Lin JC, Pun BT, Byrum D, Barr J. Best practices for conducting interprofessional team rounds to facilitate performance of the ICU liberation (ABCDEF) </w:t>
      </w:r>
      <w:r w:rsidR="00AD58D7" w:rsidRPr="006F33AE">
        <w:rPr>
          <w:rFonts w:ascii="Arial" w:hAnsi="Arial" w:cs="Arial"/>
          <w:noProof/>
          <w:lang w:val="en-US"/>
        </w:rPr>
        <w:t>“bundle”</w:t>
      </w:r>
      <w:r w:rsidRPr="006F33AE">
        <w:rPr>
          <w:rFonts w:ascii="Arial" w:hAnsi="Arial" w:cs="Arial"/>
          <w:noProof/>
          <w:lang w:val="en-US"/>
        </w:rPr>
        <w:t>. Crit Care Med. 2020</w:t>
      </w:r>
      <w:r w:rsidR="007C4448" w:rsidRPr="006F33AE">
        <w:rPr>
          <w:rFonts w:ascii="Arial" w:hAnsi="Arial" w:cs="Arial"/>
          <w:noProof/>
          <w:lang w:val="en-US"/>
        </w:rPr>
        <w:t xml:space="preserve"> Apr;48</w:t>
      </w:r>
      <w:r w:rsidR="00097F59" w:rsidRPr="006F33AE">
        <w:rPr>
          <w:rFonts w:ascii="Arial" w:hAnsi="Arial" w:cs="Arial"/>
          <w:noProof/>
          <w:lang w:val="en-US"/>
        </w:rPr>
        <w:t>(4):</w:t>
      </w:r>
      <w:r w:rsidRPr="006F33AE">
        <w:rPr>
          <w:rFonts w:ascii="Arial" w:hAnsi="Arial" w:cs="Arial"/>
          <w:noProof/>
          <w:lang w:val="en-US"/>
        </w:rPr>
        <w:t xml:space="preserve">562–70. </w:t>
      </w:r>
    </w:p>
    <w:p w14:paraId="6EB5A874" w14:textId="77777777" w:rsidR="007E240A" w:rsidRPr="006F33AE" w:rsidRDefault="007E240A" w:rsidP="007E240A">
      <w:pPr>
        <w:widowControl w:val="0"/>
        <w:autoSpaceDE w:val="0"/>
        <w:autoSpaceDN w:val="0"/>
        <w:adjustRightInd w:val="0"/>
        <w:spacing w:line="480" w:lineRule="auto"/>
        <w:ind w:left="640" w:hanging="640"/>
        <w:rPr>
          <w:rFonts w:ascii="Arial" w:hAnsi="Arial" w:cs="Arial"/>
          <w:noProof/>
          <w:lang w:val="en-US"/>
        </w:rPr>
      </w:pPr>
      <w:r w:rsidRPr="006F33AE">
        <w:rPr>
          <w:rFonts w:ascii="Arial" w:hAnsi="Arial" w:cs="Arial"/>
          <w:noProof/>
          <w:lang w:val="en-US"/>
        </w:rPr>
        <w:t xml:space="preserve">28. </w:t>
      </w:r>
      <w:r w:rsidRPr="006F33AE">
        <w:rPr>
          <w:rFonts w:ascii="Arial" w:hAnsi="Arial" w:cs="Arial"/>
          <w:noProof/>
          <w:lang w:val="en-US"/>
        </w:rPr>
        <w:tab/>
        <w:t>Michie S, van Stralen MM, West R. The behaviour change wheel: A new method for characterising and designing behaviour change interventions. Implement Sci [Internet]. 2011;6(1):42. Available from: http://www.implementationscience.com/content/6/1/42</w:t>
      </w:r>
    </w:p>
    <w:p w14:paraId="4A0C6685" w14:textId="77777777" w:rsidR="007E240A" w:rsidRPr="006F33AE" w:rsidRDefault="007E240A" w:rsidP="007E240A">
      <w:pPr>
        <w:widowControl w:val="0"/>
        <w:autoSpaceDE w:val="0"/>
        <w:autoSpaceDN w:val="0"/>
        <w:adjustRightInd w:val="0"/>
        <w:spacing w:line="480" w:lineRule="auto"/>
        <w:ind w:left="640" w:hanging="640"/>
        <w:rPr>
          <w:rFonts w:ascii="Arial" w:hAnsi="Arial" w:cs="Arial"/>
          <w:noProof/>
          <w:lang w:val="es-ES_tradnl"/>
        </w:rPr>
      </w:pPr>
      <w:r w:rsidRPr="006F33AE">
        <w:rPr>
          <w:rFonts w:ascii="Arial" w:hAnsi="Arial" w:cs="Arial"/>
          <w:noProof/>
          <w:lang w:val="es-ES_tradnl"/>
        </w:rPr>
        <w:t xml:space="preserve">29. </w:t>
      </w:r>
      <w:r w:rsidRPr="006F33AE">
        <w:rPr>
          <w:rFonts w:ascii="Arial" w:hAnsi="Arial" w:cs="Arial"/>
          <w:noProof/>
          <w:lang w:val="es-ES_tradnl"/>
        </w:rPr>
        <w:tab/>
        <w:t xml:space="preserve">Ministerio de Salud. Aprueba Reglamento sobre fichas clínicas. Bibl del Congr Nac Chile. 2012;17–20. </w:t>
      </w:r>
    </w:p>
    <w:p w14:paraId="58C5EA3C" w14:textId="77777777" w:rsidR="007E240A" w:rsidRPr="006F33AE" w:rsidRDefault="007E240A" w:rsidP="007E240A">
      <w:pPr>
        <w:widowControl w:val="0"/>
        <w:autoSpaceDE w:val="0"/>
        <w:autoSpaceDN w:val="0"/>
        <w:adjustRightInd w:val="0"/>
        <w:spacing w:line="480" w:lineRule="auto"/>
        <w:ind w:left="640" w:hanging="640"/>
        <w:rPr>
          <w:rFonts w:ascii="Arial" w:hAnsi="Arial" w:cs="Arial"/>
          <w:noProof/>
        </w:rPr>
      </w:pPr>
      <w:r w:rsidRPr="006F33AE">
        <w:rPr>
          <w:rFonts w:ascii="Arial" w:hAnsi="Arial" w:cs="Arial"/>
          <w:noProof/>
          <w:lang w:val="es-ES_tradnl"/>
        </w:rPr>
        <w:lastRenderedPageBreak/>
        <w:t xml:space="preserve">30. </w:t>
      </w:r>
      <w:r w:rsidRPr="006F33AE">
        <w:rPr>
          <w:rFonts w:ascii="Arial" w:hAnsi="Arial" w:cs="Arial"/>
          <w:noProof/>
          <w:lang w:val="es-ES_tradnl"/>
        </w:rPr>
        <w:tab/>
        <w:t xml:space="preserve">Godoy Olave J, Barraza Mesquida J. La ficha clínica mirada desde la legislación chilena actual. Acta Bioeth. 2018;24(2):181–8. </w:t>
      </w:r>
    </w:p>
    <w:p w14:paraId="767C16BE" w14:textId="48A4383C" w:rsidR="00DA5792" w:rsidRDefault="00105895" w:rsidP="00C21FB3">
      <w:pPr>
        <w:widowControl w:val="0"/>
        <w:autoSpaceDE w:val="0"/>
        <w:autoSpaceDN w:val="0"/>
        <w:adjustRightInd w:val="0"/>
        <w:spacing w:line="480" w:lineRule="auto"/>
        <w:rPr>
          <w:rFonts w:ascii="Arial" w:hAnsi="Arial" w:cs="Arial"/>
          <w:b/>
          <w:lang w:val="en-US"/>
        </w:rPr>
      </w:pPr>
      <w:r w:rsidRPr="006F33AE">
        <w:rPr>
          <w:rFonts w:ascii="Arial" w:hAnsi="Arial" w:cs="Arial"/>
          <w:b/>
          <w:lang w:val="en-US"/>
        </w:rPr>
        <w:fldChar w:fldCharType="end"/>
      </w:r>
    </w:p>
    <w:p w14:paraId="35AFE6B8" w14:textId="77777777" w:rsidR="001844DD" w:rsidRDefault="001844DD" w:rsidP="001844DD">
      <w:pPr>
        <w:spacing w:line="480" w:lineRule="auto"/>
        <w:rPr>
          <w:rFonts w:ascii="Arial" w:hAnsi="Arial" w:cs="Arial"/>
          <w:b/>
          <w:lang w:val="es-ES"/>
        </w:rPr>
      </w:pPr>
    </w:p>
    <w:p w14:paraId="182F2D15" w14:textId="77777777" w:rsidR="001844DD" w:rsidRDefault="001844DD" w:rsidP="001844DD">
      <w:pPr>
        <w:spacing w:line="480" w:lineRule="auto"/>
        <w:rPr>
          <w:rFonts w:ascii="Arial" w:hAnsi="Arial" w:cs="Arial"/>
          <w:b/>
          <w:lang w:val="es-ES"/>
        </w:rPr>
      </w:pPr>
    </w:p>
    <w:p w14:paraId="3185025D" w14:textId="77777777" w:rsidR="001844DD" w:rsidRDefault="001844DD" w:rsidP="001844DD">
      <w:pPr>
        <w:spacing w:line="480" w:lineRule="auto"/>
        <w:rPr>
          <w:rFonts w:ascii="Arial" w:hAnsi="Arial" w:cs="Arial"/>
          <w:b/>
          <w:lang w:val="es-ES"/>
        </w:rPr>
      </w:pPr>
    </w:p>
    <w:p w14:paraId="00873853" w14:textId="77777777" w:rsidR="001844DD" w:rsidRDefault="001844DD" w:rsidP="001844DD">
      <w:pPr>
        <w:spacing w:line="480" w:lineRule="auto"/>
        <w:rPr>
          <w:rFonts w:ascii="Arial" w:hAnsi="Arial" w:cs="Arial"/>
          <w:b/>
          <w:lang w:val="es-ES"/>
        </w:rPr>
      </w:pPr>
    </w:p>
    <w:p w14:paraId="36A22E27" w14:textId="77777777" w:rsidR="001844DD" w:rsidRDefault="001844DD" w:rsidP="001844DD">
      <w:pPr>
        <w:spacing w:line="480" w:lineRule="auto"/>
        <w:rPr>
          <w:rFonts w:ascii="Arial" w:hAnsi="Arial" w:cs="Arial"/>
          <w:b/>
          <w:lang w:val="es-ES"/>
        </w:rPr>
      </w:pPr>
    </w:p>
    <w:p w14:paraId="27AA47C4" w14:textId="77777777" w:rsidR="001844DD" w:rsidRDefault="001844DD" w:rsidP="001844DD">
      <w:pPr>
        <w:spacing w:line="480" w:lineRule="auto"/>
        <w:rPr>
          <w:rFonts w:ascii="Arial" w:hAnsi="Arial" w:cs="Arial"/>
          <w:b/>
          <w:lang w:val="es-ES"/>
        </w:rPr>
      </w:pPr>
    </w:p>
    <w:p w14:paraId="1042FF54" w14:textId="77777777" w:rsidR="001844DD" w:rsidRDefault="001844DD" w:rsidP="001844DD">
      <w:pPr>
        <w:spacing w:line="480" w:lineRule="auto"/>
        <w:rPr>
          <w:rFonts w:ascii="Arial" w:hAnsi="Arial" w:cs="Arial"/>
          <w:b/>
          <w:lang w:val="es-ES"/>
        </w:rPr>
      </w:pPr>
    </w:p>
    <w:p w14:paraId="31E748FF" w14:textId="77777777" w:rsidR="001844DD" w:rsidRDefault="001844DD" w:rsidP="001844DD">
      <w:pPr>
        <w:spacing w:line="480" w:lineRule="auto"/>
        <w:rPr>
          <w:rFonts w:ascii="Arial" w:hAnsi="Arial" w:cs="Arial"/>
          <w:b/>
          <w:lang w:val="es-ES"/>
        </w:rPr>
      </w:pPr>
    </w:p>
    <w:p w14:paraId="356A0D69" w14:textId="77777777" w:rsidR="001844DD" w:rsidRDefault="001844DD" w:rsidP="001844DD">
      <w:pPr>
        <w:spacing w:line="480" w:lineRule="auto"/>
        <w:rPr>
          <w:rFonts w:ascii="Arial" w:hAnsi="Arial" w:cs="Arial"/>
          <w:b/>
          <w:lang w:val="es-ES"/>
        </w:rPr>
      </w:pPr>
    </w:p>
    <w:p w14:paraId="20313B00" w14:textId="77777777" w:rsidR="001844DD" w:rsidRDefault="001844DD" w:rsidP="001844DD">
      <w:pPr>
        <w:spacing w:line="480" w:lineRule="auto"/>
        <w:rPr>
          <w:rFonts w:ascii="Arial" w:hAnsi="Arial" w:cs="Arial"/>
          <w:b/>
          <w:lang w:val="es-ES"/>
        </w:rPr>
      </w:pPr>
    </w:p>
    <w:p w14:paraId="760E6DC8" w14:textId="77777777" w:rsidR="001844DD" w:rsidRDefault="001844DD" w:rsidP="001844DD">
      <w:pPr>
        <w:spacing w:line="480" w:lineRule="auto"/>
        <w:rPr>
          <w:rFonts w:ascii="Arial" w:hAnsi="Arial" w:cs="Arial"/>
          <w:b/>
          <w:lang w:val="es-ES"/>
        </w:rPr>
      </w:pPr>
    </w:p>
    <w:p w14:paraId="046F41CB" w14:textId="77777777" w:rsidR="001844DD" w:rsidRDefault="001844DD" w:rsidP="001844DD">
      <w:pPr>
        <w:spacing w:line="480" w:lineRule="auto"/>
        <w:rPr>
          <w:rFonts w:ascii="Arial" w:hAnsi="Arial" w:cs="Arial"/>
          <w:b/>
          <w:lang w:val="es-ES"/>
        </w:rPr>
      </w:pPr>
    </w:p>
    <w:p w14:paraId="00096D5B" w14:textId="77777777" w:rsidR="001844DD" w:rsidRDefault="001844DD" w:rsidP="001844DD">
      <w:pPr>
        <w:spacing w:line="480" w:lineRule="auto"/>
        <w:rPr>
          <w:rFonts w:ascii="Arial" w:hAnsi="Arial" w:cs="Arial"/>
          <w:b/>
          <w:lang w:val="es-ES"/>
        </w:rPr>
      </w:pPr>
    </w:p>
    <w:p w14:paraId="29ACEB18" w14:textId="77777777" w:rsidR="001844DD" w:rsidRDefault="001844DD" w:rsidP="001844DD">
      <w:pPr>
        <w:spacing w:line="480" w:lineRule="auto"/>
        <w:rPr>
          <w:rFonts w:ascii="Arial" w:hAnsi="Arial" w:cs="Arial"/>
          <w:b/>
          <w:lang w:val="es-ES"/>
        </w:rPr>
      </w:pPr>
    </w:p>
    <w:p w14:paraId="172991A2" w14:textId="77777777" w:rsidR="001844DD" w:rsidRDefault="001844DD" w:rsidP="001844DD">
      <w:pPr>
        <w:spacing w:line="480" w:lineRule="auto"/>
        <w:rPr>
          <w:rFonts w:ascii="Arial" w:hAnsi="Arial" w:cs="Arial"/>
          <w:b/>
          <w:lang w:val="es-ES"/>
        </w:rPr>
      </w:pPr>
    </w:p>
    <w:p w14:paraId="07BAE07F" w14:textId="77777777" w:rsidR="001844DD" w:rsidRDefault="001844DD" w:rsidP="001844DD">
      <w:pPr>
        <w:spacing w:line="480" w:lineRule="auto"/>
        <w:rPr>
          <w:rFonts w:ascii="Arial" w:hAnsi="Arial" w:cs="Arial"/>
          <w:b/>
          <w:lang w:val="es-ES"/>
        </w:rPr>
      </w:pPr>
    </w:p>
    <w:p w14:paraId="31DCB5F7" w14:textId="77777777" w:rsidR="00AE15B4" w:rsidRDefault="00DA6CC5" w:rsidP="00DA6CC5">
      <w:pPr>
        <w:spacing w:line="480" w:lineRule="auto"/>
        <w:rPr>
          <w:rFonts w:ascii="Arial" w:hAnsi="Arial" w:cs="Arial"/>
          <w:b/>
          <w:lang w:val="es-ES"/>
        </w:rPr>
      </w:pPr>
      <w:r>
        <w:rPr>
          <w:rFonts w:ascii="Arial" w:hAnsi="Arial" w:cs="Arial"/>
          <w:b/>
          <w:lang w:val="es-ES"/>
        </w:rPr>
        <w:br/>
      </w:r>
    </w:p>
    <w:p w14:paraId="04D2F05F" w14:textId="2835C53E" w:rsidR="00DA6CC5" w:rsidRDefault="00DA6CC5" w:rsidP="00DA6CC5">
      <w:pPr>
        <w:spacing w:line="480" w:lineRule="auto"/>
        <w:rPr>
          <w:rFonts w:ascii="Arial" w:hAnsi="Arial" w:cs="Arial"/>
          <w:b/>
          <w:lang w:val="es-ES"/>
        </w:rPr>
      </w:pPr>
      <w:r>
        <w:rPr>
          <w:rFonts w:ascii="Arial" w:hAnsi="Arial" w:cs="Arial"/>
          <w:b/>
          <w:lang w:val="es-ES"/>
        </w:rPr>
        <w:lastRenderedPageBreak/>
        <w:br/>
      </w:r>
      <w:r w:rsidRPr="001844DD">
        <w:rPr>
          <w:rFonts w:ascii="Arial" w:hAnsi="Arial" w:cs="Arial"/>
          <w:b/>
          <w:lang w:val="es-ES"/>
        </w:rPr>
        <w:t>TABLAS E ILUSTRACIONES</w:t>
      </w:r>
    </w:p>
    <w:p w14:paraId="71E54D43" w14:textId="77777777" w:rsidR="00CF4276" w:rsidRDefault="00CF4276" w:rsidP="00DA6CC5">
      <w:pPr>
        <w:spacing w:line="480" w:lineRule="auto"/>
        <w:rPr>
          <w:rFonts w:ascii="Arial" w:hAnsi="Arial" w:cs="Arial"/>
          <w:b/>
          <w:lang w:val="es-ES"/>
        </w:rPr>
      </w:pPr>
    </w:p>
    <w:tbl>
      <w:tblPr>
        <w:tblStyle w:val="Tablanormal51"/>
        <w:tblW w:w="0" w:type="auto"/>
        <w:tblLook w:val="04A0" w:firstRow="1" w:lastRow="0" w:firstColumn="1" w:lastColumn="0" w:noHBand="0" w:noVBand="1"/>
      </w:tblPr>
      <w:tblGrid>
        <w:gridCol w:w="3904"/>
        <w:gridCol w:w="1549"/>
        <w:gridCol w:w="1516"/>
        <w:gridCol w:w="1575"/>
      </w:tblGrid>
      <w:tr w:rsidR="00CF4276" w14:paraId="32F361C6" w14:textId="77777777" w:rsidTr="00CF427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828" w:type="dxa"/>
            <w:gridSpan w:val="4"/>
            <w:tcBorders>
              <w:top w:val="single" w:sz="4" w:space="0" w:color="auto"/>
              <w:left w:val="single" w:sz="4" w:space="0" w:color="auto"/>
              <w:bottom w:val="single" w:sz="4" w:space="0" w:color="auto"/>
              <w:right w:val="single" w:sz="4" w:space="0" w:color="auto"/>
            </w:tcBorders>
          </w:tcPr>
          <w:p w14:paraId="5D19698E" w14:textId="751AF0DF" w:rsidR="00CF4276" w:rsidRPr="00CF4276" w:rsidRDefault="00CF4276" w:rsidP="00CF4276">
            <w:pPr>
              <w:jc w:val="left"/>
              <w:rPr>
                <w:rFonts w:ascii="Arial" w:hAnsi="Arial" w:cs="Arial"/>
                <w:b/>
                <w:i w:val="0"/>
                <w:sz w:val="20"/>
                <w:szCs w:val="20"/>
                <w:lang w:val="es-ES"/>
              </w:rPr>
            </w:pPr>
            <w:r w:rsidRPr="00CF4276">
              <w:rPr>
                <w:rFonts w:ascii="Arial" w:hAnsi="Arial" w:cs="Arial"/>
                <w:b/>
                <w:i w:val="0"/>
                <w:sz w:val="20"/>
                <w:szCs w:val="20"/>
                <w:lang w:val="es-ES"/>
              </w:rPr>
              <w:t xml:space="preserve">Tabla 2. Cumplimiento del ABCDEF </w:t>
            </w:r>
            <w:proofErr w:type="spellStart"/>
            <w:r w:rsidRPr="00CF4276">
              <w:rPr>
                <w:rFonts w:ascii="Arial" w:hAnsi="Arial" w:cs="Arial"/>
                <w:b/>
                <w:i w:val="0"/>
                <w:sz w:val="20"/>
                <w:szCs w:val="20"/>
                <w:lang w:val="es-ES"/>
              </w:rPr>
              <w:t>bundle</w:t>
            </w:r>
            <w:proofErr w:type="spellEnd"/>
            <w:r w:rsidRPr="00CF4276">
              <w:rPr>
                <w:rFonts w:ascii="Arial" w:hAnsi="Arial" w:cs="Arial"/>
                <w:b/>
                <w:i w:val="0"/>
                <w:sz w:val="20"/>
                <w:szCs w:val="20"/>
                <w:lang w:val="es-ES"/>
              </w:rPr>
              <w:t xml:space="preserve"> entre marzo y agosto de 2019 (n = 1134 día-paciente )</w:t>
            </w:r>
          </w:p>
        </w:tc>
      </w:tr>
      <w:tr w:rsidR="00CF4276" w14:paraId="4B7A246E"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0" w:type="dxa"/>
            <w:tcBorders>
              <w:top w:val="single" w:sz="4" w:space="0" w:color="auto"/>
              <w:left w:val="single" w:sz="4" w:space="0" w:color="auto"/>
              <w:bottom w:val="single" w:sz="4" w:space="0" w:color="auto"/>
            </w:tcBorders>
            <w:vAlign w:val="center"/>
          </w:tcPr>
          <w:p w14:paraId="3DFAC611" w14:textId="77777777" w:rsidR="00CF4276" w:rsidRPr="00CF4276" w:rsidRDefault="00CF4276" w:rsidP="00CF4276">
            <w:pPr>
              <w:jc w:val="center"/>
              <w:rPr>
                <w:rFonts w:ascii="Arial" w:hAnsi="Arial" w:cs="Arial"/>
                <w:i w:val="0"/>
                <w:sz w:val="20"/>
                <w:szCs w:val="20"/>
                <w:lang w:val="es-ES"/>
              </w:rPr>
            </w:pPr>
            <w:r w:rsidRPr="00CF4276">
              <w:rPr>
                <w:rFonts w:ascii="Arial" w:hAnsi="Arial" w:cs="Arial"/>
                <w:i w:val="0"/>
                <w:sz w:val="20"/>
                <w:szCs w:val="20"/>
                <w:lang w:val="es-ES"/>
              </w:rPr>
              <w:t xml:space="preserve">Elemento “A” ; </w:t>
            </w:r>
            <w:r w:rsidRPr="00CF4276">
              <w:rPr>
                <w:rFonts w:ascii="Arial" w:hAnsi="Arial" w:cs="Arial"/>
                <w:i w:val="0"/>
                <w:sz w:val="20"/>
                <w:szCs w:val="20"/>
              </w:rPr>
              <w:t>Evaluación del dolor</w:t>
            </w:r>
          </w:p>
        </w:tc>
        <w:tc>
          <w:tcPr>
            <w:tcW w:w="1595" w:type="dxa"/>
            <w:tcBorders>
              <w:top w:val="single" w:sz="4" w:space="0" w:color="auto"/>
              <w:bottom w:val="single" w:sz="4" w:space="0" w:color="auto"/>
              <w:right w:val="single" w:sz="4" w:space="0" w:color="auto"/>
            </w:tcBorders>
            <w:vAlign w:val="center"/>
          </w:tcPr>
          <w:p w14:paraId="588D4B8C"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TOTAL</w:t>
            </w:r>
          </w:p>
        </w:tc>
        <w:tc>
          <w:tcPr>
            <w:tcW w:w="1560" w:type="dxa"/>
            <w:tcBorders>
              <w:top w:val="single" w:sz="4" w:space="0" w:color="auto"/>
              <w:bottom w:val="single" w:sz="4" w:space="0" w:color="auto"/>
              <w:right w:val="single" w:sz="4" w:space="0" w:color="auto"/>
            </w:tcBorders>
            <w:vAlign w:val="center"/>
          </w:tcPr>
          <w:p w14:paraId="3F981DBD"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con VMI</w:t>
            </w:r>
          </w:p>
          <w:p w14:paraId="49B9BA5F"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(n= 391)</w:t>
            </w:r>
          </w:p>
        </w:tc>
        <w:tc>
          <w:tcPr>
            <w:tcW w:w="1603" w:type="dxa"/>
            <w:tcBorders>
              <w:top w:val="single" w:sz="4" w:space="0" w:color="auto"/>
              <w:bottom w:val="single" w:sz="4" w:space="0" w:color="auto"/>
              <w:right w:val="single" w:sz="4" w:space="0" w:color="auto"/>
            </w:tcBorders>
            <w:vAlign w:val="center"/>
          </w:tcPr>
          <w:p w14:paraId="752F98C3"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sin VMI</w:t>
            </w:r>
          </w:p>
          <w:p w14:paraId="3E047144"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(n= 743)</w:t>
            </w:r>
          </w:p>
        </w:tc>
      </w:tr>
      <w:tr w:rsidR="00CF4276" w14:paraId="56DCC898" w14:textId="77777777" w:rsidTr="00CF4276">
        <w:tc>
          <w:tcPr>
            <w:cnfStyle w:val="001000000000" w:firstRow="0" w:lastRow="0" w:firstColumn="1" w:lastColumn="0" w:oddVBand="0" w:evenVBand="0" w:oddHBand="0" w:evenHBand="0" w:firstRowFirstColumn="0" w:firstRowLastColumn="0" w:lastRowFirstColumn="0" w:lastRowLastColumn="0"/>
            <w:tcW w:w="4070" w:type="dxa"/>
            <w:tcBorders>
              <w:top w:val="single" w:sz="4" w:space="0" w:color="auto"/>
              <w:left w:val="single" w:sz="4" w:space="0" w:color="auto"/>
            </w:tcBorders>
          </w:tcPr>
          <w:p w14:paraId="27D46AED"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Elegible </w:t>
            </w:r>
          </w:p>
        </w:tc>
        <w:tc>
          <w:tcPr>
            <w:tcW w:w="1595" w:type="dxa"/>
            <w:tcBorders>
              <w:top w:val="single" w:sz="4" w:space="0" w:color="auto"/>
              <w:right w:val="single" w:sz="4" w:space="0" w:color="auto"/>
            </w:tcBorders>
          </w:tcPr>
          <w:p w14:paraId="1B16CD35"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1134 (100 %)</w:t>
            </w:r>
          </w:p>
        </w:tc>
        <w:tc>
          <w:tcPr>
            <w:tcW w:w="1560" w:type="dxa"/>
            <w:tcBorders>
              <w:top w:val="single" w:sz="4" w:space="0" w:color="auto"/>
              <w:right w:val="single" w:sz="4" w:space="0" w:color="auto"/>
            </w:tcBorders>
          </w:tcPr>
          <w:p w14:paraId="54CB2C31"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391 (100%)</w:t>
            </w:r>
          </w:p>
        </w:tc>
        <w:tc>
          <w:tcPr>
            <w:tcW w:w="1603" w:type="dxa"/>
            <w:tcBorders>
              <w:top w:val="single" w:sz="4" w:space="0" w:color="auto"/>
              <w:right w:val="single" w:sz="4" w:space="0" w:color="auto"/>
            </w:tcBorders>
          </w:tcPr>
          <w:p w14:paraId="116B27A6"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743(100%)</w:t>
            </w:r>
          </w:p>
        </w:tc>
      </w:tr>
      <w:tr w:rsidR="00CF4276" w14:paraId="6417B0E7"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0" w:type="dxa"/>
            <w:tcBorders>
              <w:left w:val="single" w:sz="4" w:space="0" w:color="auto"/>
            </w:tcBorders>
          </w:tcPr>
          <w:p w14:paraId="6F085F62"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Implementación elemento “A”</w:t>
            </w:r>
          </w:p>
        </w:tc>
        <w:tc>
          <w:tcPr>
            <w:tcW w:w="1595" w:type="dxa"/>
            <w:tcBorders>
              <w:right w:val="single" w:sz="4" w:space="0" w:color="auto"/>
            </w:tcBorders>
          </w:tcPr>
          <w:p w14:paraId="2F402F95"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158 (13,9 %)</w:t>
            </w:r>
          </w:p>
        </w:tc>
        <w:tc>
          <w:tcPr>
            <w:tcW w:w="1560" w:type="dxa"/>
            <w:tcBorders>
              <w:right w:val="single" w:sz="4" w:space="0" w:color="auto"/>
            </w:tcBorders>
          </w:tcPr>
          <w:p w14:paraId="4C6E4011"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15 (3,8%)</w:t>
            </w:r>
          </w:p>
        </w:tc>
        <w:tc>
          <w:tcPr>
            <w:tcW w:w="1603" w:type="dxa"/>
            <w:tcBorders>
              <w:right w:val="single" w:sz="4" w:space="0" w:color="auto"/>
            </w:tcBorders>
          </w:tcPr>
          <w:p w14:paraId="3C9CBD51"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143 (19%)</w:t>
            </w:r>
          </w:p>
        </w:tc>
      </w:tr>
      <w:tr w:rsidR="00CF4276" w14:paraId="4295386F" w14:textId="77777777" w:rsidTr="00CF4276">
        <w:tc>
          <w:tcPr>
            <w:cnfStyle w:val="001000000000" w:firstRow="0" w:lastRow="0" w:firstColumn="1" w:lastColumn="0" w:oddVBand="0" w:evenVBand="0" w:oddHBand="0" w:evenHBand="0" w:firstRowFirstColumn="0" w:firstRowLastColumn="0" w:lastRowFirstColumn="0" w:lastRowLastColumn="0"/>
            <w:tcW w:w="4070" w:type="dxa"/>
            <w:tcBorders>
              <w:left w:val="single" w:sz="4" w:space="0" w:color="auto"/>
            </w:tcBorders>
          </w:tcPr>
          <w:p w14:paraId="7BEA7E02"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Recibió </w:t>
            </w:r>
            <w:r w:rsidRPr="00CF4276">
              <w:rPr>
                <w:rFonts w:ascii="Arial" w:hAnsi="Arial" w:cs="Arial"/>
                <w:i w:val="0"/>
                <w:sz w:val="20"/>
                <w:szCs w:val="20"/>
                <w:u w:val="single"/>
                <w:lang w:val="es-ES"/>
              </w:rPr>
              <w:t>&gt;</w:t>
            </w:r>
            <w:r w:rsidRPr="00CF4276">
              <w:rPr>
                <w:rFonts w:ascii="Arial" w:hAnsi="Arial" w:cs="Arial"/>
                <w:i w:val="0"/>
                <w:sz w:val="20"/>
                <w:szCs w:val="20"/>
                <w:lang w:val="es-ES"/>
              </w:rPr>
              <w:t xml:space="preserve"> 6 evaluaciones </w:t>
            </w:r>
          </w:p>
        </w:tc>
        <w:tc>
          <w:tcPr>
            <w:tcW w:w="1595" w:type="dxa"/>
            <w:tcBorders>
              <w:right w:val="single" w:sz="4" w:space="0" w:color="auto"/>
            </w:tcBorders>
          </w:tcPr>
          <w:p w14:paraId="6DF108BC"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 (0,01%)</w:t>
            </w:r>
          </w:p>
        </w:tc>
        <w:tc>
          <w:tcPr>
            <w:tcW w:w="1560" w:type="dxa"/>
            <w:tcBorders>
              <w:right w:val="single" w:sz="4" w:space="0" w:color="auto"/>
            </w:tcBorders>
          </w:tcPr>
          <w:p w14:paraId="52E917CC"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c>
          <w:tcPr>
            <w:tcW w:w="1603" w:type="dxa"/>
            <w:tcBorders>
              <w:right w:val="single" w:sz="4" w:space="0" w:color="auto"/>
            </w:tcBorders>
          </w:tcPr>
          <w:p w14:paraId="5342BE8E"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1(0,5%)</w:t>
            </w:r>
          </w:p>
        </w:tc>
      </w:tr>
      <w:tr w:rsidR="00CF4276" w14:paraId="3628D4AE"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0" w:type="dxa"/>
            <w:tcBorders>
              <w:left w:val="single" w:sz="4" w:space="0" w:color="auto"/>
              <w:bottom w:val="single" w:sz="4" w:space="0" w:color="auto"/>
            </w:tcBorders>
          </w:tcPr>
          <w:p w14:paraId="71A2D4E9"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Número de evaluaciones por día</w:t>
            </w:r>
          </w:p>
        </w:tc>
        <w:tc>
          <w:tcPr>
            <w:tcW w:w="1595" w:type="dxa"/>
            <w:tcBorders>
              <w:bottom w:val="single" w:sz="4" w:space="0" w:color="auto"/>
              <w:right w:val="single" w:sz="4" w:space="0" w:color="auto"/>
            </w:tcBorders>
          </w:tcPr>
          <w:p w14:paraId="0ECEDFA4"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 (1-1)</w:t>
            </w:r>
          </w:p>
        </w:tc>
        <w:tc>
          <w:tcPr>
            <w:tcW w:w="1560" w:type="dxa"/>
            <w:tcBorders>
              <w:bottom w:val="single" w:sz="4" w:space="0" w:color="auto"/>
              <w:right w:val="single" w:sz="4" w:space="0" w:color="auto"/>
            </w:tcBorders>
          </w:tcPr>
          <w:p w14:paraId="316646C2"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 (1-1)</w:t>
            </w:r>
          </w:p>
        </w:tc>
        <w:tc>
          <w:tcPr>
            <w:tcW w:w="1603" w:type="dxa"/>
            <w:tcBorders>
              <w:bottom w:val="single" w:sz="4" w:space="0" w:color="auto"/>
              <w:right w:val="single" w:sz="4" w:space="0" w:color="auto"/>
            </w:tcBorders>
          </w:tcPr>
          <w:p w14:paraId="3BB55273"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 (1-1)</w:t>
            </w:r>
          </w:p>
        </w:tc>
      </w:tr>
      <w:tr w:rsidR="00CF4276" w14:paraId="567CD9F0" w14:textId="77777777" w:rsidTr="00CF4276">
        <w:tc>
          <w:tcPr>
            <w:cnfStyle w:val="001000000000" w:firstRow="0" w:lastRow="0" w:firstColumn="1" w:lastColumn="0" w:oddVBand="0" w:evenVBand="0" w:oddHBand="0" w:evenHBand="0" w:firstRowFirstColumn="0" w:firstRowLastColumn="0" w:lastRowFirstColumn="0" w:lastRowLastColumn="0"/>
            <w:tcW w:w="4070" w:type="dxa"/>
            <w:tcBorders>
              <w:top w:val="single" w:sz="4" w:space="0" w:color="auto"/>
              <w:left w:val="single" w:sz="4" w:space="0" w:color="auto"/>
            </w:tcBorders>
          </w:tcPr>
          <w:p w14:paraId="5773D4F3"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Escala*</w:t>
            </w:r>
          </w:p>
        </w:tc>
        <w:tc>
          <w:tcPr>
            <w:tcW w:w="1595" w:type="dxa"/>
            <w:tcBorders>
              <w:top w:val="single" w:sz="4" w:space="0" w:color="auto"/>
              <w:right w:val="single" w:sz="4" w:space="0" w:color="auto"/>
            </w:tcBorders>
          </w:tcPr>
          <w:p w14:paraId="11BD61E5"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215 (100%)</w:t>
            </w:r>
          </w:p>
        </w:tc>
        <w:tc>
          <w:tcPr>
            <w:tcW w:w="1560" w:type="dxa"/>
            <w:tcBorders>
              <w:top w:val="single" w:sz="4" w:space="0" w:color="auto"/>
              <w:right w:val="single" w:sz="4" w:space="0" w:color="auto"/>
            </w:tcBorders>
          </w:tcPr>
          <w:p w14:paraId="29614C15"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17 (7,9%)</w:t>
            </w:r>
          </w:p>
        </w:tc>
        <w:tc>
          <w:tcPr>
            <w:tcW w:w="1603" w:type="dxa"/>
            <w:tcBorders>
              <w:top w:val="single" w:sz="4" w:space="0" w:color="auto"/>
              <w:right w:val="single" w:sz="4" w:space="0" w:color="auto"/>
            </w:tcBorders>
          </w:tcPr>
          <w:p w14:paraId="14B09CD2"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198 (92%)</w:t>
            </w:r>
          </w:p>
        </w:tc>
      </w:tr>
      <w:tr w:rsidR="00CF4276" w14:paraId="3C3139BF"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0" w:type="dxa"/>
            <w:tcBorders>
              <w:left w:val="single" w:sz="4" w:space="0" w:color="auto"/>
            </w:tcBorders>
          </w:tcPr>
          <w:p w14:paraId="0EC1A821"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     EVA</w:t>
            </w:r>
          </w:p>
        </w:tc>
        <w:tc>
          <w:tcPr>
            <w:tcW w:w="1595" w:type="dxa"/>
            <w:tcBorders>
              <w:right w:val="single" w:sz="4" w:space="0" w:color="auto"/>
            </w:tcBorders>
          </w:tcPr>
          <w:p w14:paraId="365BA898"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209 (97.2 %)</w:t>
            </w:r>
          </w:p>
        </w:tc>
        <w:tc>
          <w:tcPr>
            <w:tcW w:w="1560" w:type="dxa"/>
            <w:tcBorders>
              <w:right w:val="single" w:sz="4" w:space="0" w:color="auto"/>
            </w:tcBorders>
          </w:tcPr>
          <w:p w14:paraId="755FA84E"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17 (100%)</w:t>
            </w:r>
          </w:p>
        </w:tc>
        <w:tc>
          <w:tcPr>
            <w:tcW w:w="1603" w:type="dxa"/>
            <w:tcBorders>
              <w:right w:val="single" w:sz="4" w:space="0" w:color="auto"/>
            </w:tcBorders>
          </w:tcPr>
          <w:p w14:paraId="71C8B769"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192 (97%)</w:t>
            </w:r>
          </w:p>
        </w:tc>
      </w:tr>
      <w:tr w:rsidR="00CF4276" w:rsidRPr="00D733D5" w14:paraId="0678C2C7" w14:textId="77777777" w:rsidTr="00CF4276">
        <w:tc>
          <w:tcPr>
            <w:cnfStyle w:val="001000000000" w:firstRow="0" w:lastRow="0" w:firstColumn="1" w:lastColumn="0" w:oddVBand="0" w:evenVBand="0" w:oddHBand="0" w:evenHBand="0" w:firstRowFirstColumn="0" w:firstRowLastColumn="0" w:lastRowFirstColumn="0" w:lastRowLastColumn="0"/>
            <w:tcW w:w="4070" w:type="dxa"/>
            <w:tcBorders>
              <w:left w:val="single" w:sz="4" w:space="0" w:color="auto"/>
            </w:tcBorders>
          </w:tcPr>
          <w:p w14:paraId="47811EF1"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     ENA</w:t>
            </w:r>
          </w:p>
        </w:tc>
        <w:tc>
          <w:tcPr>
            <w:tcW w:w="1595" w:type="dxa"/>
            <w:tcBorders>
              <w:right w:val="single" w:sz="4" w:space="0" w:color="auto"/>
            </w:tcBorders>
          </w:tcPr>
          <w:p w14:paraId="3F8CD320"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CF4276">
              <w:rPr>
                <w:rFonts w:ascii="Arial" w:hAnsi="Arial" w:cs="Arial"/>
                <w:sz w:val="20"/>
                <w:szCs w:val="20"/>
                <w:lang w:val="en-US"/>
              </w:rPr>
              <w:t>6 (2,8 %)</w:t>
            </w:r>
          </w:p>
        </w:tc>
        <w:tc>
          <w:tcPr>
            <w:tcW w:w="1560" w:type="dxa"/>
            <w:tcBorders>
              <w:right w:val="single" w:sz="4" w:space="0" w:color="auto"/>
            </w:tcBorders>
          </w:tcPr>
          <w:p w14:paraId="188C48B8"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CF4276">
              <w:rPr>
                <w:rFonts w:ascii="Arial" w:hAnsi="Arial" w:cs="Arial"/>
                <w:sz w:val="20"/>
                <w:szCs w:val="20"/>
                <w:lang w:val="en-US"/>
              </w:rPr>
              <w:t>0 (0%)</w:t>
            </w:r>
          </w:p>
        </w:tc>
        <w:tc>
          <w:tcPr>
            <w:tcW w:w="1603" w:type="dxa"/>
            <w:tcBorders>
              <w:right w:val="single" w:sz="4" w:space="0" w:color="auto"/>
            </w:tcBorders>
          </w:tcPr>
          <w:p w14:paraId="58CE895E"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CF4276">
              <w:rPr>
                <w:rFonts w:ascii="Arial" w:hAnsi="Arial" w:cs="Arial"/>
                <w:sz w:val="20"/>
                <w:szCs w:val="20"/>
                <w:lang w:val="en-US"/>
              </w:rPr>
              <w:t>6 (3%)</w:t>
            </w:r>
          </w:p>
        </w:tc>
      </w:tr>
      <w:tr w:rsidR="00CF4276" w:rsidRPr="00D733D5" w14:paraId="4A7B6603"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0" w:type="dxa"/>
            <w:tcBorders>
              <w:left w:val="single" w:sz="4" w:space="0" w:color="auto"/>
            </w:tcBorders>
          </w:tcPr>
          <w:p w14:paraId="61D507C9" w14:textId="77777777" w:rsidR="00CF4276" w:rsidRPr="00CF4276" w:rsidRDefault="00CF4276" w:rsidP="00CF4276">
            <w:pPr>
              <w:jc w:val="left"/>
              <w:rPr>
                <w:rFonts w:ascii="Arial" w:hAnsi="Arial" w:cs="Arial"/>
                <w:i w:val="0"/>
                <w:sz w:val="20"/>
                <w:szCs w:val="20"/>
                <w:lang w:val="en-US"/>
              </w:rPr>
            </w:pPr>
            <w:r w:rsidRPr="00CF4276">
              <w:rPr>
                <w:rFonts w:ascii="Arial" w:hAnsi="Arial" w:cs="Arial"/>
                <w:i w:val="0"/>
                <w:sz w:val="20"/>
                <w:szCs w:val="20"/>
                <w:lang w:val="en-US"/>
              </w:rPr>
              <w:t xml:space="preserve">     BPS</w:t>
            </w:r>
          </w:p>
        </w:tc>
        <w:tc>
          <w:tcPr>
            <w:tcW w:w="1595" w:type="dxa"/>
            <w:tcBorders>
              <w:right w:val="single" w:sz="4" w:space="0" w:color="auto"/>
            </w:tcBorders>
          </w:tcPr>
          <w:p w14:paraId="44988C67"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c>
          <w:tcPr>
            <w:tcW w:w="1560" w:type="dxa"/>
            <w:tcBorders>
              <w:right w:val="single" w:sz="4" w:space="0" w:color="auto"/>
            </w:tcBorders>
          </w:tcPr>
          <w:p w14:paraId="2B4F11DA"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c>
          <w:tcPr>
            <w:tcW w:w="1603" w:type="dxa"/>
            <w:tcBorders>
              <w:right w:val="single" w:sz="4" w:space="0" w:color="auto"/>
            </w:tcBorders>
          </w:tcPr>
          <w:p w14:paraId="136CA826"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r>
      <w:tr w:rsidR="00CF4276" w:rsidRPr="00D733D5" w14:paraId="1611A6BD" w14:textId="77777777" w:rsidTr="00CF4276">
        <w:tc>
          <w:tcPr>
            <w:cnfStyle w:val="001000000000" w:firstRow="0" w:lastRow="0" w:firstColumn="1" w:lastColumn="0" w:oddVBand="0" w:evenVBand="0" w:oddHBand="0" w:evenHBand="0" w:firstRowFirstColumn="0" w:firstRowLastColumn="0" w:lastRowFirstColumn="0" w:lastRowLastColumn="0"/>
            <w:tcW w:w="4070" w:type="dxa"/>
            <w:tcBorders>
              <w:left w:val="single" w:sz="4" w:space="0" w:color="auto"/>
            </w:tcBorders>
          </w:tcPr>
          <w:p w14:paraId="7B05615F" w14:textId="77777777" w:rsidR="00CF4276" w:rsidRPr="00CF4276" w:rsidRDefault="00CF4276" w:rsidP="00CF4276">
            <w:pPr>
              <w:jc w:val="left"/>
              <w:rPr>
                <w:rFonts w:ascii="Arial" w:hAnsi="Arial" w:cs="Arial"/>
                <w:i w:val="0"/>
                <w:sz w:val="20"/>
                <w:szCs w:val="20"/>
                <w:lang w:val="en-US"/>
              </w:rPr>
            </w:pPr>
            <w:r w:rsidRPr="00CF4276">
              <w:rPr>
                <w:rFonts w:ascii="Arial" w:hAnsi="Arial" w:cs="Arial"/>
                <w:i w:val="0"/>
                <w:sz w:val="20"/>
                <w:szCs w:val="20"/>
                <w:lang w:val="en-US"/>
              </w:rPr>
              <w:t xml:space="preserve">     CPOT</w:t>
            </w:r>
          </w:p>
        </w:tc>
        <w:tc>
          <w:tcPr>
            <w:tcW w:w="1595" w:type="dxa"/>
            <w:tcBorders>
              <w:right w:val="single" w:sz="4" w:space="0" w:color="auto"/>
            </w:tcBorders>
          </w:tcPr>
          <w:p w14:paraId="18756303"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CF4276">
              <w:rPr>
                <w:rFonts w:ascii="Arial" w:hAnsi="Arial" w:cs="Arial"/>
                <w:sz w:val="20"/>
                <w:szCs w:val="20"/>
                <w:lang w:val="en-US"/>
              </w:rPr>
              <w:t>0 (0%)</w:t>
            </w:r>
          </w:p>
        </w:tc>
        <w:tc>
          <w:tcPr>
            <w:tcW w:w="1560" w:type="dxa"/>
            <w:tcBorders>
              <w:right w:val="single" w:sz="4" w:space="0" w:color="auto"/>
            </w:tcBorders>
          </w:tcPr>
          <w:p w14:paraId="6A643A56"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CF4276">
              <w:rPr>
                <w:rFonts w:ascii="Arial" w:hAnsi="Arial" w:cs="Arial"/>
                <w:sz w:val="20"/>
                <w:szCs w:val="20"/>
                <w:lang w:val="en-US"/>
              </w:rPr>
              <w:t>0 (0%)</w:t>
            </w:r>
          </w:p>
        </w:tc>
        <w:tc>
          <w:tcPr>
            <w:tcW w:w="1603" w:type="dxa"/>
            <w:tcBorders>
              <w:right w:val="single" w:sz="4" w:space="0" w:color="auto"/>
            </w:tcBorders>
          </w:tcPr>
          <w:p w14:paraId="221EE3B0"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CF4276">
              <w:rPr>
                <w:rFonts w:ascii="Arial" w:hAnsi="Arial" w:cs="Arial"/>
                <w:sz w:val="20"/>
                <w:szCs w:val="20"/>
                <w:lang w:val="en-US"/>
              </w:rPr>
              <w:t>0 (0%)</w:t>
            </w:r>
          </w:p>
        </w:tc>
      </w:tr>
      <w:tr w:rsidR="00CF4276" w14:paraId="1249BBC6"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0" w:type="dxa"/>
            <w:tcBorders>
              <w:left w:val="single" w:sz="4" w:space="0" w:color="auto"/>
            </w:tcBorders>
          </w:tcPr>
          <w:p w14:paraId="3E36654B"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Resultado escala dolor</w:t>
            </w:r>
          </w:p>
        </w:tc>
        <w:tc>
          <w:tcPr>
            <w:tcW w:w="1595" w:type="dxa"/>
            <w:tcBorders>
              <w:right w:val="single" w:sz="4" w:space="0" w:color="auto"/>
            </w:tcBorders>
          </w:tcPr>
          <w:p w14:paraId="47D8D6C5"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c>
          <w:tcPr>
            <w:tcW w:w="1560" w:type="dxa"/>
            <w:tcBorders>
              <w:right w:val="single" w:sz="4" w:space="0" w:color="auto"/>
            </w:tcBorders>
          </w:tcPr>
          <w:p w14:paraId="64B42C50"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c>
          <w:tcPr>
            <w:tcW w:w="1603" w:type="dxa"/>
            <w:tcBorders>
              <w:right w:val="single" w:sz="4" w:space="0" w:color="auto"/>
            </w:tcBorders>
          </w:tcPr>
          <w:p w14:paraId="6F14F6B7"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r>
      <w:tr w:rsidR="00CF4276" w14:paraId="66F91AA2" w14:textId="77777777" w:rsidTr="00CF4276">
        <w:tc>
          <w:tcPr>
            <w:cnfStyle w:val="001000000000" w:firstRow="0" w:lastRow="0" w:firstColumn="1" w:lastColumn="0" w:oddVBand="0" w:evenVBand="0" w:oddHBand="0" w:evenHBand="0" w:firstRowFirstColumn="0" w:firstRowLastColumn="0" w:lastRowFirstColumn="0" w:lastRowLastColumn="0"/>
            <w:tcW w:w="4070" w:type="dxa"/>
            <w:tcBorders>
              <w:left w:val="single" w:sz="4" w:space="0" w:color="auto"/>
            </w:tcBorders>
          </w:tcPr>
          <w:p w14:paraId="31B566FC"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     EVA</w:t>
            </w:r>
          </w:p>
        </w:tc>
        <w:tc>
          <w:tcPr>
            <w:tcW w:w="1595" w:type="dxa"/>
            <w:tcBorders>
              <w:right w:val="single" w:sz="4" w:space="0" w:color="auto"/>
            </w:tcBorders>
          </w:tcPr>
          <w:p w14:paraId="173C9309"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(0-4)</w:t>
            </w:r>
          </w:p>
        </w:tc>
        <w:tc>
          <w:tcPr>
            <w:tcW w:w="1560" w:type="dxa"/>
            <w:tcBorders>
              <w:right w:val="single" w:sz="4" w:space="0" w:color="auto"/>
            </w:tcBorders>
          </w:tcPr>
          <w:p w14:paraId="09E190AC"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(0-3)</w:t>
            </w:r>
          </w:p>
        </w:tc>
        <w:tc>
          <w:tcPr>
            <w:tcW w:w="1603" w:type="dxa"/>
            <w:tcBorders>
              <w:right w:val="single" w:sz="4" w:space="0" w:color="auto"/>
            </w:tcBorders>
          </w:tcPr>
          <w:p w14:paraId="2D77C624"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(0-4)</w:t>
            </w:r>
          </w:p>
        </w:tc>
      </w:tr>
      <w:tr w:rsidR="00CF4276" w14:paraId="4E8FC348"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0" w:type="dxa"/>
            <w:tcBorders>
              <w:left w:val="single" w:sz="4" w:space="0" w:color="auto"/>
            </w:tcBorders>
          </w:tcPr>
          <w:p w14:paraId="7D7FA498"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     ENA</w:t>
            </w:r>
          </w:p>
        </w:tc>
        <w:tc>
          <w:tcPr>
            <w:tcW w:w="1595" w:type="dxa"/>
            <w:tcBorders>
              <w:right w:val="single" w:sz="4" w:space="0" w:color="auto"/>
            </w:tcBorders>
          </w:tcPr>
          <w:p w14:paraId="24DA6311"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 xml:space="preserve">4 (3-6) </w:t>
            </w:r>
          </w:p>
        </w:tc>
        <w:tc>
          <w:tcPr>
            <w:tcW w:w="1560" w:type="dxa"/>
            <w:tcBorders>
              <w:right w:val="single" w:sz="4" w:space="0" w:color="auto"/>
            </w:tcBorders>
          </w:tcPr>
          <w:p w14:paraId="691742CA"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N/A</w:t>
            </w:r>
          </w:p>
        </w:tc>
        <w:tc>
          <w:tcPr>
            <w:tcW w:w="1603" w:type="dxa"/>
            <w:tcBorders>
              <w:right w:val="single" w:sz="4" w:space="0" w:color="auto"/>
            </w:tcBorders>
          </w:tcPr>
          <w:p w14:paraId="3C6A2164"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4 (3-6)</w:t>
            </w:r>
          </w:p>
        </w:tc>
      </w:tr>
      <w:tr w:rsidR="00CF4276" w14:paraId="2367098A" w14:textId="77777777" w:rsidTr="00CF4276">
        <w:tc>
          <w:tcPr>
            <w:cnfStyle w:val="001000000000" w:firstRow="0" w:lastRow="0" w:firstColumn="1" w:lastColumn="0" w:oddVBand="0" w:evenVBand="0" w:oddHBand="0" w:evenHBand="0" w:firstRowFirstColumn="0" w:firstRowLastColumn="0" w:lastRowFirstColumn="0" w:lastRowLastColumn="0"/>
            <w:tcW w:w="4070" w:type="dxa"/>
            <w:tcBorders>
              <w:left w:val="single" w:sz="4" w:space="0" w:color="auto"/>
            </w:tcBorders>
          </w:tcPr>
          <w:p w14:paraId="7C4385B5" w14:textId="77777777" w:rsidR="00CF4276" w:rsidRPr="00CF4276" w:rsidRDefault="00CF4276" w:rsidP="00CF4276">
            <w:pPr>
              <w:jc w:val="left"/>
              <w:rPr>
                <w:rFonts w:ascii="Arial" w:hAnsi="Arial" w:cs="Arial"/>
                <w:i w:val="0"/>
                <w:sz w:val="20"/>
                <w:szCs w:val="20"/>
                <w:lang w:val="en-US"/>
              </w:rPr>
            </w:pPr>
            <w:r w:rsidRPr="00CF4276">
              <w:rPr>
                <w:rFonts w:ascii="Arial" w:hAnsi="Arial" w:cs="Arial"/>
                <w:i w:val="0"/>
                <w:sz w:val="20"/>
                <w:szCs w:val="20"/>
                <w:lang w:val="en-US"/>
              </w:rPr>
              <w:t xml:space="preserve">     BPS</w:t>
            </w:r>
          </w:p>
        </w:tc>
        <w:tc>
          <w:tcPr>
            <w:tcW w:w="1595" w:type="dxa"/>
            <w:tcBorders>
              <w:right w:val="single" w:sz="4" w:space="0" w:color="auto"/>
            </w:tcBorders>
          </w:tcPr>
          <w:p w14:paraId="456D67D1"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N/A</w:t>
            </w:r>
          </w:p>
        </w:tc>
        <w:tc>
          <w:tcPr>
            <w:tcW w:w="1560" w:type="dxa"/>
            <w:tcBorders>
              <w:right w:val="single" w:sz="4" w:space="0" w:color="auto"/>
            </w:tcBorders>
          </w:tcPr>
          <w:p w14:paraId="11348888"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N/A</w:t>
            </w:r>
          </w:p>
        </w:tc>
        <w:tc>
          <w:tcPr>
            <w:tcW w:w="1603" w:type="dxa"/>
            <w:tcBorders>
              <w:right w:val="single" w:sz="4" w:space="0" w:color="auto"/>
            </w:tcBorders>
          </w:tcPr>
          <w:p w14:paraId="27668773"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N/A</w:t>
            </w:r>
          </w:p>
        </w:tc>
      </w:tr>
      <w:tr w:rsidR="00CF4276" w:rsidRPr="00D90681" w14:paraId="0E24B02C"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0" w:type="dxa"/>
            <w:tcBorders>
              <w:left w:val="single" w:sz="4" w:space="0" w:color="auto"/>
            </w:tcBorders>
          </w:tcPr>
          <w:p w14:paraId="42E5C6E7" w14:textId="77777777" w:rsidR="00CF4276" w:rsidRPr="00CF4276" w:rsidRDefault="00CF4276" w:rsidP="00CF4276">
            <w:pPr>
              <w:jc w:val="left"/>
              <w:rPr>
                <w:rFonts w:ascii="Arial" w:hAnsi="Arial" w:cs="Arial"/>
                <w:i w:val="0"/>
                <w:sz w:val="20"/>
                <w:szCs w:val="20"/>
                <w:lang w:val="en-US"/>
              </w:rPr>
            </w:pPr>
            <w:r w:rsidRPr="00CF4276">
              <w:rPr>
                <w:rFonts w:ascii="Arial" w:hAnsi="Arial" w:cs="Arial"/>
                <w:i w:val="0"/>
                <w:sz w:val="20"/>
                <w:szCs w:val="20"/>
                <w:lang w:val="en-US"/>
              </w:rPr>
              <w:t xml:space="preserve">     CPOT</w:t>
            </w:r>
          </w:p>
        </w:tc>
        <w:tc>
          <w:tcPr>
            <w:tcW w:w="1595" w:type="dxa"/>
            <w:tcBorders>
              <w:right w:val="single" w:sz="4" w:space="0" w:color="auto"/>
            </w:tcBorders>
          </w:tcPr>
          <w:p w14:paraId="040C689C"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CF4276">
              <w:rPr>
                <w:rFonts w:ascii="Arial" w:hAnsi="Arial" w:cs="Arial"/>
                <w:sz w:val="20"/>
                <w:szCs w:val="20"/>
                <w:lang w:val="en-US"/>
              </w:rPr>
              <w:t>N/A</w:t>
            </w:r>
          </w:p>
        </w:tc>
        <w:tc>
          <w:tcPr>
            <w:tcW w:w="1560" w:type="dxa"/>
            <w:tcBorders>
              <w:right w:val="single" w:sz="4" w:space="0" w:color="auto"/>
            </w:tcBorders>
          </w:tcPr>
          <w:p w14:paraId="6B15D03B"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CF4276">
              <w:rPr>
                <w:rFonts w:ascii="Arial" w:hAnsi="Arial" w:cs="Arial"/>
                <w:sz w:val="20"/>
                <w:szCs w:val="20"/>
                <w:lang w:val="en-US"/>
              </w:rPr>
              <w:t>N/A</w:t>
            </w:r>
          </w:p>
        </w:tc>
        <w:tc>
          <w:tcPr>
            <w:tcW w:w="1603" w:type="dxa"/>
            <w:tcBorders>
              <w:right w:val="single" w:sz="4" w:space="0" w:color="auto"/>
            </w:tcBorders>
          </w:tcPr>
          <w:p w14:paraId="3EE2640A"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CF4276">
              <w:rPr>
                <w:rFonts w:ascii="Arial" w:hAnsi="Arial" w:cs="Arial"/>
                <w:sz w:val="20"/>
                <w:szCs w:val="20"/>
                <w:lang w:val="en-US"/>
              </w:rPr>
              <w:t>N/A</w:t>
            </w:r>
          </w:p>
        </w:tc>
      </w:tr>
      <w:tr w:rsidR="00CF4276" w14:paraId="3454D2A8" w14:textId="77777777" w:rsidTr="00CF4276">
        <w:tc>
          <w:tcPr>
            <w:cnfStyle w:val="001000000000" w:firstRow="0" w:lastRow="0" w:firstColumn="1" w:lastColumn="0" w:oddVBand="0" w:evenVBand="0" w:oddHBand="0" w:evenHBand="0" w:firstRowFirstColumn="0" w:firstRowLastColumn="0" w:lastRowFirstColumn="0" w:lastRowLastColumn="0"/>
            <w:tcW w:w="4070" w:type="dxa"/>
            <w:tcBorders>
              <w:left w:val="single" w:sz="4" w:space="0" w:color="auto"/>
            </w:tcBorders>
          </w:tcPr>
          <w:p w14:paraId="308747F9"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Dolor significativo**</w:t>
            </w:r>
          </w:p>
        </w:tc>
        <w:tc>
          <w:tcPr>
            <w:tcW w:w="1595" w:type="dxa"/>
            <w:tcBorders>
              <w:right w:val="single" w:sz="4" w:space="0" w:color="auto"/>
            </w:tcBorders>
          </w:tcPr>
          <w:p w14:paraId="50E0F9F1"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p>
        </w:tc>
        <w:tc>
          <w:tcPr>
            <w:tcW w:w="1560" w:type="dxa"/>
            <w:tcBorders>
              <w:right w:val="single" w:sz="4" w:space="0" w:color="auto"/>
            </w:tcBorders>
          </w:tcPr>
          <w:p w14:paraId="61E16E43"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p>
        </w:tc>
        <w:tc>
          <w:tcPr>
            <w:tcW w:w="1603" w:type="dxa"/>
            <w:tcBorders>
              <w:right w:val="single" w:sz="4" w:space="0" w:color="auto"/>
            </w:tcBorders>
          </w:tcPr>
          <w:p w14:paraId="204FE6C5"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p>
        </w:tc>
      </w:tr>
      <w:tr w:rsidR="00CF4276" w14:paraId="7C68DF12"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0" w:type="dxa"/>
            <w:tcBorders>
              <w:left w:val="single" w:sz="4" w:space="0" w:color="auto"/>
            </w:tcBorders>
          </w:tcPr>
          <w:p w14:paraId="35224EA0"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     SI</w:t>
            </w:r>
          </w:p>
        </w:tc>
        <w:tc>
          <w:tcPr>
            <w:tcW w:w="1595" w:type="dxa"/>
            <w:tcBorders>
              <w:right w:val="single" w:sz="4" w:space="0" w:color="auto"/>
            </w:tcBorders>
          </w:tcPr>
          <w:p w14:paraId="002F1091"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75 (34,9%)</w:t>
            </w:r>
          </w:p>
        </w:tc>
        <w:tc>
          <w:tcPr>
            <w:tcW w:w="1560" w:type="dxa"/>
            <w:tcBorders>
              <w:right w:val="single" w:sz="4" w:space="0" w:color="auto"/>
            </w:tcBorders>
          </w:tcPr>
          <w:p w14:paraId="289B463F"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4 (23,5%)</w:t>
            </w:r>
          </w:p>
        </w:tc>
        <w:tc>
          <w:tcPr>
            <w:tcW w:w="1603" w:type="dxa"/>
            <w:tcBorders>
              <w:right w:val="single" w:sz="4" w:space="0" w:color="auto"/>
            </w:tcBorders>
          </w:tcPr>
          <w:p w14:paraId="67E2A1DF"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71 (35,8%)</w:t>
            </w:r>
          </w:p>
        </w:tc>
      </w:tr>
      <w:tr w:rsidR="00CF4276" w14:paraId="60A97156" w14:textId="77777777" w:rsidTr="00CF4276">
        <w:tc>
          <w:tcPr>
            <w:cnfStyle w:val="001000000000" w:firstRow="0" w:lastRow="0" w:firstColumn="1" w:lastColumn="0" w:oddVBand="0" w:evenVBand="0" w:oddHBand="0" w:evenHBand="0" w:firstRowFirstColumn="0" w:firstRowLastColumn="0" w:lastRowFirstColumn="0" w:lastRowLastColumn="0"/>
            <w:tcW w:w="4070" w:type="dxa"/>
            <w:tcBorders>
              <w:left w:val="single" w:sz="4" w:space="0" w:color="auto"/>
              <w:bottom w:val="single" w:sz="4" w:space="0" w:color="auto"/>
            </w:tcBorders>
          </w:tcPr>
          <w:p w14:paraId="5E42A76E"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     NO</w:t>
            </w:r>
          </w:p>
        </w:tc>
        <w:tc>
          <w:tcPr>
            <w:tcW w:w="1595" w:type="dxa"/>
            <w:tcBorders>
              <w:bottom w:val="single" w:sz="4" w:space="0" w:color="auto"/>
              <w:right w:val="single" w:sz="4" w:space="0" w:color="auto"/>
            </w:tcBorders>
          </w:tcPr>
          <w:p w14:paraId="3E1E0466"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140 (65,1%)</w:t>
            </w:r>
          </w:p>
        </w:tc>
        <w:tc>
          <w:tcPr>
            <w:tcW w:w="1560" w:type="dxa"/>
            <w:tcBorders>
              <w:bottom w:val="single" w:sz="4" w:space="0" w:color="auto"/>
              <w:right w:val="single" w:sz="4" w:space="0" w:color="auto"/>
            </w:tcBorders>
          </w:tcPr>
          <w:p w14:paraId="209B83F0"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13 (76,5%)</w:t>
            </w:r>
          </w:p>
        </w:tc>
        <w:tc>
          <w:tcPr>
            <w:tcW w:w="1603" w:type="dxa"/>
            <w:tcBorders>
              <w:bottom w:val="single" w:sz="4" w:space="0" w:color="auto"/>
              <w:right w:val="single" w:sz="4" w:space="0" w:color="auto"/>
            </w:tcBorders>
          </w:tcPr>
          <w:p w14:paraId="09216196"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127 (64,1%)</w:t>
            </w:r>
          </w:p>
        </w:tc>
      </w:tr>
      <w:tr w:rsidR="00CF4276" w14:paraId="7B4653A4"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0" w:type="dxa"/>
            <w:tcBorders>
              <w:top w:val="single" w:sz="4" w:space="0" w:color="auto"/>
              <w:left w:val="single" w:sz="4" w:space="0" w:color="auto"/>
            </w:tcBorders>
          </w:tcPr>
          <w:p w14:paraId="5F6DD2C5"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Profesional</w:t>
            </w:r>
          </w:p>
        </w:tc>
        <w:tc>
          <w:tcPr>
            <w:tcW w:w="1595" w:type="dxa"/>
            <w:tcBorders>
              <w:top w:val="single" w:sz="4" w:space="0" w:color="auto"/>
              <w:right w:val="single" w:sz="4" w:space="0" w:color="auto"/>
            </w:tcBorders>
          </w:tcPr>
          <w:p w14:paraId="133BCA4D"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c>
          <w:tcPr>
            <w:tcW w:w="1560" w:type="dxa"/>
            <w:tcBorders>
              <w:top w:val="single" w:sz="4" w:space="0" w:color="auto"/>
              <w:right w:val="single" w:sz="4" w:space="0" w:color="auto"/>
            </w:tcBorders>
          </w:tcPr>
          <w:p w14:paraId="77CCB3AD"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c>
          <w:tcPr>
            <w:tcW w:w="1603" w:type="dxa"/>
            <w:tcBorders>
              <w:top w:val="single" w:sz="4" w:space="0" w:color="auto"/>
              <w:right w:val="single" w:sz="4" w:space="0" w:color="auto"/>
            </w:tcBorders>
          </w:tcPr>
          <w:p w14:paraId="0315ED89"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r>
      <w:tr w:rsidR="00CF4276" w14:paraId="19C69E9B" w14:textId="77777777" w:rsidTr="00CF4276">
        <w:tc>
          <w:tcPr>
            <w:cnfStyle w:val="001000000000" w:firstRow="0" w:lastRow="0" w:firstColumn="1" w:lastColumn="0" w:oddVBand="0" w:evenVBand="0" w:oddHBand="0" w:evenHBand="0" w:firstRowFirstColumn="0" w:firstRowLastColumn="0" w:lastRowFirstColumn="0" w:lastRowLastColumn="0"/>
            <w:tcW w:w="4070" w:type="dxa"/>
            <w:tcBorders>
              <w:top w:val="single" w:sz="4" w:space="0" w:color="auto"/>
              <w:left w:val="single" w:sz="4" w:space="0" w:color="auto"/>
            </w:tcBorders>
          </w:tcPr>
          <w:p w14:paraId="5403C798"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     Enfermero de UCI</w:t>
            </w:r>
          </w:p>
        </w:tc>
        <w:tc>
          <w:tcPr>
            <w:tcW w:w="1595" w:type="dxa"/>
            <w:tcBorders>
              <w:top w:val="single" w:sz="4" w:space="0" w:color="auto"/>
              <w:right w:val="single" w:sz="4" w:space="0" w:color="auto"/>
            </w:tcBorders>
          </w:tcPr>
          <w:p w14:paraId="300CFD4B"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186 (86,5%)</w:t>
            </w:r>
          </w:p>
        </w:tc>
        <w:tc>
          <w:tcPr>
            <w:tcW w:w="1560" w:type="dxa"/>
            <w:tcBorders>
              <w:top w:val="single" w:sz="4" w:space="0" w:color="auto"/>
              <w:right w:val="single" w:sz="4" w:space="0" w:color="auto"/>
            </w:tcBorders>
          </w:tcPr>
          <w:p w14:paraId="7D5DEF5F"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16 (94,1%)</w:t>
            </w:r>
          </w:p>
        </w:tc>
        <w:tc>
          <w:tcPr>
            <w:tcW w:w="1603" w:type="dxa"/>
            <w:tcBorders>
              <w:top w:val="single" w:sz="4" w:space="0" w:color="auto"/>
              <w:right w:val="single" w:sz="4" w:space="0" w:color="auto"/>
            </w:tcBorders>
          </w:tcPr>
          <w:p w14:paraId="17B51A82"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170 (85,8%)</w:t>
            </w:r>
          </w:p>
        </w:tc>
      </w:tr>
      <w:tr w:rsidR="00CF4276" w14:paraId="09B20429"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0" w:type="dxa"/>
            <w:tcBorders>
              <w:left w:val="single" w:sz="4" w:space="0" w:color="auto"/>
            </w:tcBorders>
          </w:tcPr>
          <w:p w14:paraId="73BF6EAE"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     Kinesiólogo de UCI</w:t>
            </w:r>
          </w:p>
        </w:tc>
        <w:tc>
          <w:tcPr>
            <w:tcW w:w="1595" w:type="dxa"/>
            <w:tcBorders>
              <w:right w:val="single" w:sz="4" w:space="0" w:color="auto"/>
            </w:tcBorders>
          </w:tcPr>
          <w:p w14:paraId="12060944"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18 (8,4%)</w:t>
            </w:r>
          </w:p>
        </w:tc>
        <w:tc>
          <w:tcPr>
            <w:tcW w:w="1560" w:type="dxa"/>
            <w:tcBorders>
              <w:right w:val="single" w:sz="4" w:space="0" w:color="auto"/>
            </w:tcBorders>
          </w:tcPr>
          <w:p w14:paraId="0C9E3984"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 (5,9%)</w:t>
            </w:r>
          </w:p>
        </w:tc>
        <w:tc>
          <w:tcPr>
            <w:tcW w:w="1603" w:type="dxa"/>
            <w:tcBorders>
              <w:right w:val="single" w:sz="4" w:space="0" w:color="auto"/>
            </w:tcBorders>
          </w:tcPr>
          <w:p w14:paraId="2D113F31"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16 (8%)</w:t>
            </w:r>
          </w:p>
        </w:tc>
      </w:tr>
      <w:tr w:rsidR="00CF4276" w14:paraId="11F8016B" w14:textId="77777777" w:rsidTr="00CF4276">
        <w:tc>
          <w:tcPr>
            <w:cnfStyle w:val="001000000000" w:firstRow="0" w:lastRow="0" w:firstColumn="1" w:lastColumn="0" w:oddVBand="0" w:evenVBand="0" w:oddHBand="0" w:evenHBand="0" w:firstRowFirstColumn="0" w:firstRowLastColumn="0" w:lastRowFirstColumn="0" w:lastRowLastColumn="0"/>
            <w:tcW w:w="4070" w:type="dxa"/>
            <w:tcBorders>
              <w:left w:val="single" w:sz="4" w:space="0" w:color="auto"/>
            </w:tcBorders>
          </w:tcPr>
          <w:p w14:paraId="0D5645B4"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     Médico Residente</w:t>
            </w:r>
          </w:p>
        </w:tc>
        <w:tc>
          <w:tcPr>
            <w:tcW w:w="1595" w:type="dxa"/>
            <w:tcBorders>
              <w:right w:val="single" w:sz="4" w:space="0" w:color="auto"/>
            </w:tcBorders>
          </w:tcPr>
          <w:p w14:paraId="41BCD5B2"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8 (3,7 %)</w:t>
            </w:r>
          </w:p>
        </w:tc>
        <w:tc>
          <w:tcPr>
            <w:tcW w:w="1560" w:type="dxa"/>
            <w:tcBorders>
              <w:right w:val="single" w:sz="4" w:space="0" w:color="auto"/>
            </w:tcBorders>
          </w:tcPr>
          <w:p w14:paraId="045ED633"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n-US"/>
              </w:rPr>
              <w:t>0 (0%)</w:t>
            </w:r>
          </w:p>
        </w:tc>
        <w:tc>
          <w:tcPr>
            <w:tcW w:w="1603" w:type="dxa"/>
            <w:tcBorders>
              <w:right w:val="single" w:sz="4" w:space="0" w:color="auto"/>
            </w:tcBorders>
          </w:tcPr>
          <w:p w14:paraId="454C0F69"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9 (4,5%)</w:t>
            </w:r>
          </w:p>
        </w:tc>
      </w:tr>
      <w:tr w:rsidR="00CF4276" w14:paraId="2D84F0C1"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0" w:type="dxa"/>
            <w:tcBorders>
              <w:left w:val="single" w:sz="4" w:space="0" w:color="auto"/>
              <w:bottom w:val="single" w:sz="4" w:space="0" w:color="auto"/>
            </w:tcBorders>
          </w:tcPr>
          <w:p w14:paraId="725B2A47"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     Anestesista</w:t>
            </w:r>
          </w:p>
        </w:tc>
        <w:tc>
          <w:tcPr>
            <w:tcW w:w="1595" w:type="dxa"/>
            <w:tcBorders>
              <w:bottom w:val="single" w:sz="4" w:space="0" w:color="auto"/>
              <w:right w:val="single" w:sz="4" w:space="0" w:color="auto"/>
            </w:tcBorders>
          </w:tcPr>
          <w:p w14:paraId="2E71DFC7"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3 (1,4%)</w:t>
            </w:r>
          </w:p>
        </w:tc>
        <w:tc>
          <w:tcPr>
            <w:tcW w:w="1560" w:type="dxa"/>
            <w:tcBorders>
              <w:bottom w:val="single" w:sz="4" w:space="0" w:color="auto"/>
              <w:right w:val="single" w:sz="4" w:space="0" w:color="auto"/>
            </w:tcBorders>
          </w:tcPr>
          <w:p w14:paraId="61A2A40A"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n-US"/>
              </w:rPr>
              <w:t>0 (0%)</w:t>
            </w:r>
          </w:p>
        </w:tc>
        <w:tc>
          <w:tcPr>
            <w:tcW w:w="1603" w:type="dxa"/>
            <w:tcBorders>
              <w:bottom w:val="single" w:sz="4" w:space="0" w:color="auto"/>
              <w:right w:val="single" w:sz="4" w:space="0" w:color="auto"/>
            </w:tcBorders>
          </w:tcPr>
          <w:p w14:paraId="377C102A"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3 (1,5%)</w:t>
            </w:r>
          </w:p>
        </w:tc>
      </w:tr>
      <w:tr w:rsidR="00CF4276" w14:paraId="043CBEBC" w14:textId="77777777" w:rsidTr="00CF4276">
        <w:tc>
          <w:tcPr>
            <w:cnfStyle w:val="001000000000" w:firstRow="0" w:lastRow="0" w:firstColumn="1" w:lastColumn="0" w:oddVBand="0" w:evenVBand="0" w:oddHBand="0" w:evenHBand="0" w:firstRowFirstColumn="0" w:firstRowLastColumn="0" w:lastRowFirstColumn="0" w:lastRowLastColumn="0"/>
            <w:tcW w:w="8828" w:type="dxa"/>
            <w:gridSpan w:val="4"/>
            <w:tcBorders>
              <w:top w:val="single" w:sz="4" w:space="0" w:color="auto"/>
              <w:left w:val="single" w:sz="4" w:space="0" w:color="auto"/>
              <w:bottom w:val="single" w:sz="4" w:space="0" w:color="auto"/>
              <w:right w:val="single" w:sz="4" w:space="0" w:color="auto"/>
            </w:tcBorders>
          </w:tcPr>
          <w:p w14:paraId="6014D941" w14:textId="77777777" w:rsidR="00CF4276" w:rsidRPr="00CF4276" w:rsidRDefault="00CF4276" w:rsidP="00CF4276">
            <w:pPr>
              <w:jc w:val="left"/>
              <w:rPr>
                <w:rFonts w:ascii="Arial" w:hAnsi="Arial" w:cs="Arial"/>
                <w:i w:val="0"/>
                <w:iCs w:val="0"/>
                <w:sz w:val="20"/>
                <w:szCs w:val="20"/>
                <w:lang w:val="es-ES"/>
              </w:rPr>
            </w:pPr>
            <w:r w:rsidRPr="00CF4276">
              <w:rPr>
                <w:rFonts w:ascii="Arial" w:hAnsi="Arial" w:cs="Arial"/>
                <w:i w:val="0"/>
                <w:sz w:val="20"/>
                <w:szCs w:val="20"/>
                <w:lang w:val="es-ES"/>
              </w:rPr>
              <w:t xml:space="preserve">Los datos están presentados en frecuencia absoluta (%) o mediana (rango </w:t>
            </w:r>
            <w:proofErr w:type="spellStart"/>
            <w:r w:rsidRPr="00CF4276">
              <w:rPr>
                <w:rFonts w:ascii="Arial" w:hAnsi="Arial" w:cs="Arial"/>
                <w:i w:val="0"/>
                <w:sz w:val="20"/>
                <w:szCs w:val="20"/>
                <w:lang w:val="es-ES"/>
              </w:rPr>
              <w:t>intercuartílico</w:t>
            </w:r>
            <w:proofErr w:type="spellEnd"/>
            <w:r w:rsidRPr="00CF4276">
              <w:rPr>
                <w:rFonts w:ascii="Arial" w:hAnsi="Arial" w:cs="Arial"/>
                <w:i w:val="0"/>
                <w:sz w:val="20"/>
                <w:szCs w:val="20"/>
                <w:lang w:val="es-ES"/>
              </w:rPr>
              <w:t>]</w:t>
            </w:r>
          </w:p>
          <w:p w14:paraId="1ADF74D9" w14:textId="77777777" w:rsidR="00CF4276" w:rsidRPr="00CF4276" w:rsidRDefault="00CF4276" w:rsidP="00CF4276">
            <w:pPr>
              <w:jc w:val="left"/>
              <w:rPr>
                <w:rFonts w:ascii="Arial" w:hAnsi="Arial" w:cs="Arial"/>
                <w:i w:val="0"/>
                <w:iCs w:val="0"/>
                <w:sz w:val="20"/>
                <w:szCs w:val="20"/>
                <w:lang w:val="es-ES"/>
              </w:rPr>
            </w:pPr>
            <w:r w:rsidRPr="00CF4276">
              <w:rPr>
                <w:rFonts w:ascii="Arial" w:hAnsi="Arial" w:cs="Arial"/>
                <w:i w:val="0"/>
                <w:sz w:val="20"/>
                <w:szCs w:val="20"/>
                <w:lang w:val="es-ES"/>
              </w:rPr>
              <w:t>N/A: No aplica</w:t>
            </w:r>
          </w:p>
          <w:p w14:paraId="09926155"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iCs w:val="0"/>
                <w:sz w:val="20"/>
                <w:szCs w:val="20"/>
                <w:lang w:val="es-ES"/>
              </w:rPr>
              <w:t xml:space="preserve">* </w:t>
            </w:r>
            <w:r w:rsidRPr="00CF4276">
              <w:rPr>
                <w:rFonts w:ascii="Arial" w:hAnsi="Arial" w:cs="Arial"/>
                <w:i w:val="0"/>
                <w:sz w:val="20"/>
                <w:szCs w:val="20"/>
                <w:lang w:val="es-ES"/>
              </w:rPr>
              <w:t xml:space="preserve">1 día-paciente podía registrar &gt; 1 </w:t>
            </w:r>
            <w:r w:rsidRPr="00CF4276">
              <w:rPr>
                <w:rFonts w:ascii="Arial" w:hAnsi="Arial" w:cs="Arial"/>
                <w:i w:val="0"/>
                <w:iCs w:val="0"/>
                <w:sz w:val="20"/>
                <w:szCs w:val="20"/>
                <w:lang w:val="es-ES"/>
              </w:rPr>
              <w:t>evaluación; el total de evaluaciones registradas es de 215 en los 1134 días-paciente elegible.</w:t>
            </w:r>
          </w:p>
          <w:p w14:paraId="4FACABB5" w14:textId="77777777" w:rsidR="00CF4276" w:rsidRPr="00CF4276" w:rsidRDefault="00CF4276" w:rsidP="00CF4276">
            <w:pPr>
              <w:jc w:val="left"/>
              <w:rPr>
                <w:rFonts w:ascii="Arial" w:hAnsi="Arial" w:cs="Arial"/>
                <w:i w:val="0"/>
                <w:iCs w:val="0"/>
                <w:sz w:val="20"/>
                <w:szCs w:val="20"/>
                <w:lang w:val="es-ES"/>
              </w:rPr>
            </w:pPr>
            <w:r w:rsidRPr="00CF4276">
              <w:rPr>
                <w:rFonts w:ascii="Arial" w:hAnsi="Arial" w:cs="Arial"/>
                <w:i w:val="0"/>
                <w:iCs w:val="0"/>
                <w:sz w:val="20"/>
                <w:szCs w:val="20"/>
                <w:lang w:val="es-ES"/>
              </w:rPr>
              <w:t xml:space="preserve">** </w:t>
            </w:r>
            <w:r w:rsidRPr="00CF4276">
              <w:rPr>
                <w:rFonts w:ascii="Arial" w:hAnsi="Arial" w:cs="Arial"/>
                <w:i w:val="0"/>
                <w:iCs w:val="0"/>
                <w:sz w:val="20"/>
                <w:szCs w:val="20"/>
              </w:rPr>
              <w:t xml:space="preserve">BPS &gt; 5, CPOT &gt; 3 y tanto en la </w:t>
            </w:r>
            <w:r w:rsidRPr="00CF4276">
              <w:rPr>
                <w:rFonts w:ascii="Arial" w:hAnsi="Arial" w:cs="Arial"/>
                <w:i w:val="0"/>
                <w:iCs w:val="0"/>
                <w:sz w:val="20"/>
                <w:szCs w:val="20"/>
                <w:lang w:val="es-ES"/>
              </w:rPr>
              <w:t>EVA como en la ENA &gt; 3.</w:t>
            </w:r>
          </w:p>
          <w:p w14:paraId="2E441094" w14:textId="77777777" w:rsidR="00CF4276" w:rsidRPr="00CF4276" w:rsidRDefault="00CF4276" w:rsidP="00CF4276">
            <w:pPr>
              <w:jc w:val="left"/>
              <w:rPr>
                <w:rFonts w:ascii="Arial" w:hAnsi="Arial" w:cs="Arial"/>
                <w:i w:val="0"/>
                <w:iCs w:val="0"/>
                <w:sz w:val="20"/>
                <w:szCs w:val="20"/>
                <w:lang w:val="en-US"/>
              </w:rPr>
            </w:pPr>
            <w:r w:rsidRPr="00CF4276">
              <w:rPr>
                <w:rFonts w:ascii="Arial" w:hAnsi="Arial" w:cs="Arial"/>
                <w:b/>
                <w:i w:val="0"/>
                <w:sz w:val="20"/>
                <w:szCs w:val="20"/>
                <w:lang w:val="es-ES"/>
              </w:rPr>
              <w:t>EVA</w:t>
            </w:r>
            <w:r w:rsidRPr="00CF4276">
              <w:rPr>
                <w:rFonts w:ascii="Arial" w:hAnsi="Arial" w:cs="Arial"/>
                <w:i w:val="0"/>
                <w:sz w:val="20"/>
                <w:szCs w:val="20"/>
                <w:lang w:val="es-ES"/>
              </w:rPr>
              <w:t xml:space="preserve">: Escala Visual Análoga, </w:t>
            </w:r>
            <w:r w:rsidRPr="00CF4276">
              <w:rPr>
                <w:rFonts w:ascii="Arial" w:hAnsi="Arial" w:cs="Arial"/>
                <w:b/>
                <w:i w:val="0"/>
                <w:sz w:val="20"/>
                <w:szCs w:val="20"/>
                <w:lang w:val="es-ES"/>
              </w:rPr>
              <w:t>ENA</w:t>
            </w:r>
            <w:r w:rsidRPr="00CF4276">
              <w:rPr>
                <w:rFonts w:ascii="Arial" w:hAnsi="Arial" w:cs="Arial"/>
                <w:i w:val="0"/>
                <w:sz w:val="20"/>
                <w:szCs w:val="20"/>
                <w:lang w:val="es-ES"/>
              </w:rPr>
              <w:t xml:space="preserve">: Escala Numérica Análoga, </w:t>
            </w:r>
            <w:r w:rsidRPr="00CF4276">
              <w:rPr>
                <w:rFonts w:ascii="Arial" w:hAnsi="Arial" w:cs="Arial"/>
                <w:b/>
                <w:i w:val="0"/>
                <w:sz w:val="20"/>
                <w:szCs w:val="20"/>
                <w:lang w:val="es-ES"/>
              </w:rPr>
              <w:t>BPS</w:t>
            </w:r>
            <w:r w:rsidRPr="00CF4276">
              <w:rPr>
                <w:rFonts w:ascii="Arial" w:hAnsi="Arial" w:cs="Arial"/>
                <w:i w:val="0"/>
                <w:sz w:val="20"/>
                <w:szCs w:val="20"/>
                <w:lang w:val="es-ES"/>
              </w:rPr>
              <w:t xml:space="preserve">: </w:t>
            </w:r>
            <w:proofErr w:type="spellStart"/>
            <w:r w:rsidRPr="00CF4276">
              <w:rPr>
                <w:rFonts w:ascii="Arial" w:hAnsi="Arial" w:cs="Arial"/>
                <w:i w:val="0"/>
                <w:sz w:val="20"/>
                <w:szCs w:val="20"/>
                <w:lang w:val="es-ES"/>
              </w:rPr>
              <w:t>Behavioral</w:t>
            </w:r>
            <w:proofErr w:type="spellEnd"/>
            <w:r w:rsidRPr="00CF4276">
              <w:rPr>
                <w:rFonts w:ascii="Arial" w:hAnsi="Arial" w:cs="Arial"/>
                <w:i w:val="0"/>
                <w:sz w:val="20"/>
                <w:szCs w:val="20"/>
                <w:lang w:val="es-ES"/>
              </w:rPr>
              <w:t xml:space="preserve"> </w:t>
            </w:r>
            <w:proofErr w:type="spellStart"/>
            <w:r w:rsidRPr="00CF4276">
              <w:rPr>
                <w:rFonts w:ascii="Arial" w:hAnsi="Arial" w:cs="Arial"/>
                <w:i w:val="0"/>
                <w:sz w:val="20"/>
                <w:szCs w:val="20"/>
                <w:lang w:val="es-ES"/>
              </w:rPr>
              <w:t>Pain</w:t>
            </w:r>
            <w:proofErr w:type="spellEnd"/>
            <w:r w:rsidRPr="00CF4276">
              <w:rPr>
                <w:rFonts w:ascii="Arial" w:hAnsi="Arial" w:cs="Arial"/>
                <w:i w:val="0"/>
                <w:sz w:val="20"/>
                <w:szCs w:val="20"/>
                <w:lang w:val="es-ES"/>
              </w:rPr>
              <w:t xml:space="preserve"> </w:t>
            </w:r>
            <w:proofErr w:type="spellStart"/>
            <w:r w:rsidRPr="00CF4276">
              <w:rPr>
                <w:rFonts w:ascii="Arial" w:hAnsi="Arial" w:cs="Arial"/>
                <w:i w:val="0"/>
                <w:sz w:val="20"/>
                <w:szCs w:val="20"/>
                <w:lang w:val="es-ES"/>
              </w:rPr>
              <w:t>Scale</w:t>
            </w:r>
            <w:proofErr w:type="spellEnd"/>
            <w:r w:rsidRPr="00CF4276">
              <w:rPr>
                <w:rFonts w:ascii="Arial" w:hAnsi="Arial" w:cs="Arial"/>
                <w:i w:val="0"/>
                <w:sz w:val="20"/>
                <w:szCs w:val="20"/>
                <w:lang w:val="es-ES"/>
              </w:rPr>
              <w:t xml:space="preserve">, </w:t>
            </w:r>
            <w:r w:rsidRPr="00CF4276">
              <w:rPr>
                <w:rFonts w:ascii="Arial" w:hAnsi="Arial" w:cs="Arial"/>
                <w:b/>
                <w:i w:val="0"/>
                <w:sz w:val="20"/>
                <w:szCs w:val="20"/>
                <w:lang w:val="es-ES"/>
              </w:rPr>
              <w:t>CPOT</w:t>
            </w:r>
            <w:r w:rsidRPr="00CF4276">
              <w:rPr>
                <w:rFonts w:ascii="Arial" w:hAnsi="Arial" w:cs="Arial"/>
                <w:i w:val="0"/>
                <w:sz w:val="20"/>
                <w:szCs w:val="20"/>
                <w:lang w:val="es-ES"/>
              </w:rPr>
              <w:t xml:space="preserve">: </w:t>
            </w:r>
            <w:r w:rsidRPr="00CF4276">
              <w:rPr>
                <w:rFonts w:ascii="Arial" w:hAnsi="Arial" w:cs="Arial"/>
                <w:i w:val="0"/>
                <w:sz w:val="20"/>
                <w:szCs w:val="20"/>
                <w:lang w:val="en-US"/>
              </w:rPr>
              <w:t>Critical Care Pain Observation Tool</w:t>
            </w:r>
          </w:p>
        </w:tc>
      </w:tr>
    </w:tbl>
    <w:p w14:paraId="174346FC" w14:textId="16452ABA" w:rsidR="00CF7655" w:rsidRDefault="00CF7655" w:rsidP="00DA5792">
      <w:pPr>
        <w:suppressLineNumbers/>
        <w:spacing w:line="480" w:lineRule="auto"/>
        <w:rPr>
          <w:rFonts w:ascii="Calibri" w:hAnsi="Calibri"/>
          <w:b/>
        </w:rPr>
      </w:pPr>
    </w:p>
    <w:p w14:paraId="7684EC92" w14:textId="6474A1EC" w:rsidR="00CF4276" w:rsidRDefault="00CF4276" w:rsidP="00DA5792">
      <w:pPr>
        <w:suppressLineNumbers/>
        <w:spacing w:line="480" w:lineRule="auto"/>
        <w:rPr>
          <w:rFonts w:ascii="Calibri" w:hAnsi="Calibri"/>
          <w:b/>
        </w:rPr>
      </w:pPr>
    </w:p>
    <w:p w14:paraId="6974CD26" w14:textId="40EF12A8" w:rsidR="00CF4276" w:rsidRDefault="00CF4276" w:rsidP="00DA5792">
      <w:pPr>
        <w:suppressLineNumbers/>
        <w:spacing w:line="480" w:lineRule="auto"/>
        <w:rPr>
          <w:rFonts w:ascii="Calibri" w:hAnsi="Calibri"/>
          <w:b/>
        </w:rPr>
      </w:pPr>
    </w:p>
    <w:p w14:paraId="4F36D0BD" w14:textId="04D1E93F" w:rsidR="00CF4276" w:rsidRDefault="00CF4276" w:rsidP="00DA5792">
      <w:pPr>
        <w:suppressLineNumbers/>
        <w:spacing w:line="480" w:lineRule="auto"/>
        <w:rPr>
          <w:rFonts w:ascii="Calibri" w:hAnsi="Calibri"/>
          <w:b/>
        </w:rPr>
      </w:pPr>
    </w:p>
    <w:p w14:paraId="03EDCA91" w14:textId="77777777" w:rsidR="00CF4276" w:rsidRDefault="00CF4276" w:rsidP="00DA5792">
      <w:pPr>
        <w:suppressLineNumbers/>
        <w:spacing w:line="480" w:lineRule="auto"/>
        <w:rPr>
          <w:rFonts w:ascii="Calibri" w:hAnsi="Calibri"/>
          <w:b/>
        </w:rPr>
      </w:pPr>
    </w:p>
    <w:tbl>
      <w:tblPr>
        <w:tblStyle w:val="Tablanormal51"/>
        <w:tblW w:w="0" w:type="auto"/>
        <w:tblLook w:val="04A0" w:firstRow="1" w:lastRow="0" w:firstColumn="1" w:lastColumn="0" w:noHBand="0" w:noVBand="1"/>
      </w:tblPr>
      <w:tblGrid>
        <w:gridCol w:w="4289"/>
        <w:gridCol w:w="4255"/>
      </w:tblGrid>
      <w:tr w:rsidR="00CF4276" w14:paraId="6AD28EF9" w14:textId="77777777" w:rsidTr="00CF427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828" w:type="dxa"/>
            <w:gridSpan w:val="2"/>
            <w:tcBorders>
              <w:top w:val="single" w:sz="4" w:space="0" w:color="auto"/>
              <w:left w:val="single" w:sz="4" w:space="0" w:color="auto"/>
              <w:bottom w:val="single" w:sz="4" w:space="0" w:color="auto"/>
              <w:right w:val="single" w:sz="4" w:space="0" w:color="auto"/>
            </w:tcBorders>
          </w:tcPr>
          <w:p w14:paraId="438545C6" w14:textId="77777777" w:rsidR="00CF4276" w:rsidRPr="00CF4276" w:rsidRDefault="00CF4276" w:rsidP="00CF4276">
            <w:pPr>
              <w:jc w:val="left"/>
              <w:rPr>
                <w:rFonts w:ascii="Arial" w:hAnsi="Arial" w:cs="Arial"/>
                <w:b/>
                <w:i w:val="0"/>
                <w:sz w:val="20"/>
                <w:szCs w:val="20"/>
                <w:lang w:val="es-ES"/>
              </w:rPr>
            </w:pPr>
            <w:r w:rsidRPr="00CF4276">
              <w:rPr>
                <w:rFonts w:ascii="Arial" w:hAnsi="Arial" w:cs="Arial"/>
                <w:b/>
                <w:i w:val="0"/>
                <w:sz w:val="20"/>
                <w:szCs w:val="20"/>
                <w:lang w:val="es-ES"/>
              </w:rPr>
              <w:lastRenderedPageBreak/>
              <w:t xml:space="preserve">Tabla 2. Cumplimiento del ABCDEF </w:t>
            </w:r>
            <w:proofErr w:type="spellStart"/>
            <w:r w:rsidRPr="00CF4276">
              <w:rPr>
                <w:rFonts w:ascii="Arial" w:hAnsi="Arial" w:cs="Arial"/>
                <w:b/>
                <w:i w:val="0"/>
                <w:sz w:val="20"/>
                <w:szCs w:val="20"/>
                <w:lang w:val="es-ES"/>
              </w:rPr>
              <w:t>bundle</w:t>
            </w:r>
            <w:proofErr w:type="spellEnd"/>
            <w:r w:rsidRPr="00CF4276">
              <w:rPr>
                <w:rFonts w:ascii="Arial" w:hAnsi="Arial" w:cs="Arial"/>
                <w:b/>
                <w:i w:val="0"/>
                <w:sz w:val="20"/>
                <w:szCs w:val="20"/>
                <w:lang w:val="es-ES"/>
              </w:rPr>
              <w:t xml:space="preserve"> entre marzo y agosto de 2019 (n =1134 día-paciente)</w:t>
            </w:r>
          </w:p>
        </w:tc>
      </w:tr>
      <w:tr w:rsidR="00CF4276" w14:paraId="1B78401B"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single" w:sz="4" w:space="0" w:color="auto"/>
              <w:bottom w:val="single" w:sz="4" w:space="0" w:color="auto"/>
            </w:tcBorders>
          </w:tcPr>
          <w:p w14:paraId="2AC3E2B1"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Elemento “B1”; Prueba de despertar espontáneo</w:t>
            </w:r>
          </w:p>
        </w:tc>
        <w:tc>
          <w:tcPr>
            <w:tcW w:w="4414" w:type="dxa"/>
            <w:tcBorders>
              <w:top w:val="single" w:sz="4" w:space="0" w:color="auto"/>
              <w:bottom w:val="single" w:sz="4" w:space="0" w:color="auto"/>
              <w:right w:val="single" w:sz="4" w:space="0" w:color="auto"/>
            </w:tcBorders>
          </w:tcPr>
          <w:p w14:paraId="37DC5A12"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TOTAL</w:t>
            </w:r>
          </w:p>
        </w:tc>
      </w:tr>
      <w:tr w:rsidR="00CF4276" w14:paraId="12107029" w14:textId="77777777" w:rsidTr="00CF4276">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single" w:sz="4" w:space="0" w:color="auto"/>
            </w:tcBorders>
          </w:tcPr>
          <w:p w14:paraId="6F3FFDEF"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Elegible</w:t>
            </w:r>
          </w:p>
        </w:tc>
        <w:tc>
          <w:tcPr>
            <w:tcW w:w="4414" w:type="dxa"/>
            <w:tcBorders>
              <w:top w:val="single" w:sz="4" w:space="0" w:color="auto"/>
              <w:right w:val="single" w:sz="4" w:space="0" w:color="auto"/>
            </w:tcBorders>
          </w:tcPr>
          <w:p w14:paraId="04FDA786"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574 (50,6 %)</w:t>
            </w:r>
          </w:p>
        </w:tc>
      </w:tr>
      <w:tr w:rsidR="00CF4276" w14:paraId="50823345"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left w:val="single" w:sz="4" w:space="0" w:color="auto"/>
              <w:bottom w:val="single" w:sz="4" w:space="0" w:color="auto"/>
            </w:tcBorders>
          </w:tcPr>
          <w:p w14:paraId="1BAB9C61"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Implementación elemento “B1”</w:t>
            </w:r>
          </w:p>
        </w:tc>
        <w:tc>
          <w:tcPr>
            <w:tcW w:w="4414" w:type="dxa"/>
            <w:tcBorders>
              <w:bottom w:val="single" w:sz="4" w:space="0" w:color="auto"/>
              <w:right w:val="single" w:sz="4" w:space="0" w:color="auto"/>
            </w:tcBorders>
          </w:tcPr>
          <w:p w14:paraId="219AF3A8"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(0 %)</w:t>
            </w:r>
          </w:p>
        </w:tc>
      </w:tr>
      <w:tr w:rsidR="00CF4276" w14:paraId="4588C0F9" w14:textId="77777777" w:rsidTr="00CF4276">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single" w:sz="4" w:space="0" w:color="auto"/>
            </w:tcBorders>
          </w:tcPr>
          <w:p w14:paraId="2DF5C398"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Resultado prueba interrupción de sedación</w:t>
            </w:r>
          </w:p>
        </w:tc>
        <w:tc>
          <w:tcPr>
            <w:tcW w:w="4414" w:type="dxa"/>
            <w:tcBorders>
              <w:top w:val="single" w:sz="4" w:space="0" w:color="auto"/>
              <w:right w:val="single" w:sz="4" w:space="0" w:color="auto"/>
            </w:tcBorders>
          </w:tcPr>
          <w:p w14:paraId="485D7CC7"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p>
        </w:tc>
      </w:tr>
      <w:tr w:rsidR="00CF4276" w14:paraId="62E65C30"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left w:val="single" w:sz="4" w:space="0" w:color="auto"/>
            </w:tcBorders>
          </w:tcPr>
          <w:p w14:paraId="2A5FF2C4" w14:textId="77777777" w:rsidR="00CF4276" w:rsidRPr="00CF4276" w:rsidRDefault="00CF4276" w:rsidP="00CF4276">
            <w:pPr>
              <w:jc w:val="center"/>
              <w:rPr>
                <w:rFonts w:ascii="Arial" w:hAnsi="Arial" w:cs="Arial"/>
                <w:i w:val="0"/>
                <w:sz w:val="20"/>
                <w:szCs w:val="20"/>
                <w:lang w:val="es-ES"/>
              </w:rPr>
            </w:pPr>
            <w:r w:rsidRPr="00CF4276">
              <w:rPr>
                <w:rFonts w:ascii="Arial" w:hAnsi="Arial" w:cs="Arial"/>
                <w:i w:val="0"/>
                <w:sz w:val="20"/>
                <w:szCs w:val="20"/>
                <w:lang w:val="es-ES"/>
              </w:rPr>
              <w:t>Éxito</w:t>
            </w:r>
          </w:p>
        </w:tc>
        <w:tc>
          <w:tcPr>
            <w:tcW w:w="4414" w:type="dxa"/>
            <w:tcBorders>
              <w:right w:val="single" w:sz="4" w:space="0" w:color="auto"/>
            </w:tcBorders>
          </w:tcPr>
          <w:p w14:paraId="3DF108AB"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(0 %)</w:t>
            </w:r>
          </w:p>
        </w:tc>
      </w:tr>
      <w:tr w:rsidR="00CF4276" w:rsidRPr="00D733D5" w14:paraId="090335CC" w14:textId="77777777" w:rsidTr="00CF4276">
        <w:tc>
          <w:tcPr>
            <w:cnfStyle w:val="001000000000" w:firstRow="0" w:lastRow="0" w:firstColumn="1" w:lastColumn="0" w:oddVBand="0" w:evenVBand="0" w:oddHBand="0" w:evenHBand="0" w:firstRowFirstColumn="0" w:firstRowLastColumn="0" w:lastRowFirstColumn="0" w:lastRowLastColumn="0"/>
            <w:tcW w:w="4414" w:type="dxa"/>
            <w:tcBorders>
              <w:left w:val="single" w:sz="4" w:space="0" w:color="auto"/>
              <w:bottom w:val="single" w:sz="4" w:space="0" w:color="auto"/>
            </w:tcBorders>
          </w:tcPr>
          <w:p w14:paraId="3A6B95FF" w14:textId="77777777" w:rsidR="00CF4276" w:rsidRPr="00CF4276" w:rsidRDefault="00CF4276" w:rsidP="00CF4276">
            <w:pPr>
              <w:jc w:val="center"/>
              <w:rPr>
                <w:rFonts w:ascii="Arial" w:hAnsi="Arial" w:cs="Arial"/>
                <w:i w:val="0"/>
                <w:sz w:val="20"/>
                <w:szCs w:val="20"/>
                <w:lang w:val="es-ES"/>
              </w:rPr>
            </w:pPr>
            <w:r w:rsidRPr="00CF4276">
              <w:rPr>
                <w:rFonts w:ascii="Arial" w:hAnsi="Arial" w:cs="Arial"/>
                <w:i w:val="0"/>
                <w:sz w:val="20"/>
                <w:szCs w:val="20"/>
                <w:lang w:val="es-ES"/>
              </w:rPr>
              <w:t>Fracaso</w:t>
            </w:r>
          </w:p>
        </w:tc>
        <w:tc>
          <w:tcPr>
            <w:tcW w:w="4414" w:type="dxa"/>
            <w:tcBorders>
              <w:bottom w:val="single" w:sz="4" w:space="0" w:color="auto"/>
              <w:right w:val="single" w:sz="4" w:space="0" w:color="auto"/>
            </w:tcBorders>
          </w:tcPr>
          <w:p w14:paraId="4C663B71"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CF4276">
              <w:rPr>
                <w:rFonts w:ascii="Arial" w:hAnsi="Arial" w:cs="Arial"/>
                <w:sz w:val="20"/>
                <w:szCs w:val="20"/>
                <w:lang w:val="es-ES"/>
              </w:rPr>
              <w:t>0 (0 %)</w:t>
            </w:r>
          </w:p>
        </w:tc>
      </w:tr>
      <w:tr w:rsidR="00CF4276" w:rsidRPr="00D733D5" w14:paraId="6B7AAD60"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single" w:sz="4" w:space="0" w:color="auto"/>
            </w:tcBorders>
          </w:tcPr>
          <w:p w14:paraId="5B337B1F"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Profesional</w:t>
            </w:r>
          </w:p>
        </w:tc>
        <w:tc>
          <w:tcPr>
            <w:tcW w:w="4414" w:type="dxa"/>
            <w:tcBorders>
              <w:top w:val="single" w:sz="4" w:space="0" w:color="auto"/>
              <w:right w:val="single" w:sz="4" w:space="0" w:color="auto"/>
            </w:tcBorders>
          </w:tcPr>
          <w:p w14:paraId="61072DF3"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r>
      <w:tr w:rsidR="00CF4276" w:rsidRPr="00D733D5" w14:paraId="6DBE990E" w14:textId="77777777" w:rsidTr="00CF4276">
        <w:tc>
          <w:tcPr>
            <w:cnfStyle w:val="001000000000" w:firstRow="0" w:lastRow="0" w:firstColumn="1" w:lastColumn="0" w:oddVBand="0" w:evenVBand="0" w:oddHBand="0" w:evenHBand="0" w:firstRowFirstColumn="0" w:firstRowLastColumn="0" w:lastRowFirstColumn="0" w:lastRowLastColumn="0"/>
            <w:tcW w:w="4414" w:type="dxa"/>
            <w:tcBorders>
              <w:left w:val="single" w:sz="4" w:space="0" w:color="auto"/>
            </w:tcBorders>
          </w:tcPr>
          <w:p w14:paraId="5C5A1D81" w14:textId="77777777" w:rsidR="00CF4276" w:rsidRPr="00CF4276" w:rsidRDefault="00CF4276" w:rsidP="00CF4276">
            <w:pPr>
              <w:jc w:val="center"/>
              <w:rPr>
                <w:rFonts w:ascii="Arial" w:hAnsi="Arial" w:cs="Arial"/>
                <w:i w:val="0"/>
                <w:sz w:val="20"/>
                <w:szCs w:val="20"/>
                <w:lang w:val="es-ES"/>
              </w:rPr>
            </w:pPr>
            <w:r w:rsidRPr="00CF4276">
              <w:rPr>
                <w:rFonts w:ascii="Arial" w:hAnsi="Arial" w:cs="Arial"/>
                <w:i w:val="0"/>
                <w:sz w:val="20"/>
                <w:szCs w:val="20"/>
                <w:lang w:val="es-ES"/>
              </w:rPr>
              <w:t>Médico Residente</w:t>
            </w:r>
          </w:p>
        </w:tc>
        <w:tc>
          <w:tcPr>
            <w:tcW w:w="4414" w:type="dxa"/>
            <w:tcBorders>
              <w:right w:val="single" w:sz="4" w:space="0" w:color="auto"/>
            </w:tcBorders>
          </w:tcPr>
          <w:p w14:paraId="082AD1C8"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(0 %)</w:t>
            </w:r>
          </w:p>
        </w:tc>
      </w:tr>
      <w:tr w:rsidR="00CF4276" w14:paraId="2E4558EF"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left w:val="single" w:sz="4" w:space="0" w:color="auto"/>
            </w:tcBorders>
          </w:tcPr>
          <w:p w14:paraId="44029F27" w14:textId="77777777" w:rsidR="00CF4276" w:rsidRPr="00CF4276" w:rsidRDefault="00CF4276" w:rsidP="00CF4276">
            <w:pPr>
              <w:jc w:val="center"/>
              <w:rPr>
                <w:rFonts w:ascii="Arial" w:hAnsi="Arial" w:cs="Arial"/>
                <w:i w:val="0"/>
                <w:sz w:val="20"/>
                <w:szCs w:val="20"/>
                <w:lang w:val="es-ES"/>
              </w:rPr>
            </w:pPr>
            <w:r w:rsidRPr="00CF4276">
              <w:rPr>
                <w:rFonts w:ascii="Arial" w:hAnsi="Arial" w:cs="Arial"/>
                <w:i w:val="0"/>
                <w:sz w:val="20"/>
                <w:szCs w:val="20"/>
                <w:lang w:val="es-ES"/>
              </w:rPr>
              <w:t>Enfermero de UCI</w:t>
            </w:r>
          </w:p>
        </w:tc>
        <w:tc>
          <w:tcPr>
            <w:tcW w:w="4414" w:type="dxa"/>
            <w:tcBorders>
              <w:right w:val="single" w:sz="4" w:space="0" w:color="auto"/>
            </w:tcBorders>
          </w:tcPr>
          <w:p w14:paraId="33A078C1"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(0 %)</w:t>
            </w:r>
          </w:p>
        </w:tc>
      </w:tr>
      <w:tr w:rsidR="00CF4276" w14:paraId="7211B3C7" w14:textId="77777777" w:rsidTr="00CF4276">
        <w:tc>
          <w:tcPr>
            <w:cnfStyle w:val="001000000000" w:firstRow="0" w:lastRow="0" w:firstColumn="1" w:lastColumn="0" w:oddVBand="0" w:evenVBand="0" w:oddHBand="0" w:evenHBand="0" w:firstRowFirstColumn="0" w:firstRowLastColumn="0" w:lastRowFirstColumn="0" w:lastRowLastColumn="0"/>
            <w:tcW w:w="4414" w:type="dxa"/>
            <w:tcBorders>
              <w:left w:val="single" w:sz="4" w:space="0" w:color="auto"/>
              <w:bottom w:val="single" w:sz="4" w:space="0" w:color="auto"/>
            </w:tcBorders>
          </w:tcPr>
          <w:p w14:paraId="357193FA" w14:textId="77777777" w:rsidR="00CF4276" w:rsidRPr="00CF4276" w:rsidRDefault="00CF4276" w:rsidP="00CF4276">
            <w:pPr>
              <w:jc w:val="center"/>
              <w:rPr>
                <w:rFonts w:ascii="Arial" w:hAnsi="Arial" w:cs="Arial"/>
                <w:i w:val="0"/>
                <w:sz w:val="20"/>
                <w:szCs w:val="20"/>
                <w:lang w:val="es-ES"/>
              </w:rPr>
            </w:pPr>
            <w:r w:rsidRPr="00CF4276">
              <w:rPr>
                <w:rFonts w:ascii="Arial" w:hAnsi="Arial" w:cs="Arial"/>
                <w:i w:val="0"/>
                <w:sz w:val="20"/>
                <w:szCs w:val="20"/>
                <w:lang w:val="es-ES"/>
              </w:rPr>
              <w:t>Kinesiólogo de UCI</w:t>
            </w:r>
          </w:p>
        </w:tc>
        <w:tc>
          <w:tcPr>
            <w:tcW w:w="4414" w:type="dxa"/>
            <w:tcBorders>
              <w:bottom w:val="single" w:sz="4" w:space="0" w:color="auto"/>
              <w:right w:val="single" w:sz="4" w:space="0" w:color="auto"/>
            </w:tcBorders>
          </w:tcPr>
          <w:p w14:paraId="6146BEC7"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(0 %)</w:t>
            </w:r>
          </w:p>
        </w:tc>
      </w:tr>
      <w:tr w:rsidR="00CF4276" w14:paraId="01A79D2B"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tcBorders>
              <w:top w:val="single" w:sz="4" w:space="0" w:color="auto"/>
              <w:left w:val="single" w:sz="4" w:space="0" w:color="auto"/>
              <w:bottom w:val="single" w:sz="4" w:space="0" w:color="auto"/>
              <w:right w:val="single" w:sz="4" w:space="0" w:color="auto"/>
            </w:tcBorders>
          </w:tcPr>
          <w:p w14:paraId="2C2AD12E"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Los datos están presentados en frecuencia absoluta (%)</w:t>
            </w:r>
          </w:p>
        </w:tc>
      </w:tr>
    </w:tbl>
    <w:p w14:paraId="40A8A573" w14:textId="20E00E69" w:rsidR="00CF4276" w:rsidRDefault="00CF4276" w:rsidP="00DA5792">
      <w:pPr>
        <w:suppressLineNumbers/>
        <w:spacing w:line="480" w:lineRule="auto"/>
        <w:rPr>
          <w:rFonts w:ascii="Calibri" w:hAnsi="Calibri"/>
          <w:b/>
        </w:rPr>
      </w:pPr>
    </w:p>
    <w:p w14:paraId="4E959F9F" w14:textId="031BC379" w:rsidR="00CF4276" w:rsidRDefault="00CF4276" w:rsidP="00DA5792">
      <w:pPr>
        <w:suppressLineNumbers/>
        <w:spacing w:line="480" w:lineRule="auto"/>
        <w:rPr>
          <w:rFonts w:ascii="Calibri" w:hAnsi="Calibri"/>
          <w:b/>
        </w:rPr>
      </w:pPr>
    </w:p>
    <w:tbl>
      <w:tblPr>
        <w:tblStyle w:val="Tablanormal51"/>
        <w:tblW w:w="0" w:type="auto"/>
        <w:tblLook w:val="04A0" w:firstRow="1" w:lastRow="0" w:firstColumn="1" w:lastColumn="0" w:noHBand="0" w:noVBand="1"/>
      </w:tblPr>
      <w:tblGrid>
        <w:gridCol w:w="4288"/>
        <w:gridCol w:w="4256"/>
      </w:tblGrid>
      <w:tr w:rsidR="00CF4276" w:rsidRPr="00241E3C" w14:paraId="522960AB" w14:textId="77777777" w:rsidTr="00CF427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828" w:type="dxa"/>
            <w:gridSpan w:val="2"/>
            <w:tcBorders>
              <w:top w:val="single" w:sz="4" w:space="0" w:color="auto"/>
              <w:left w:val="single" w:sz="4" w:space="0" w:color="auto"/>
              <w:bottom w:val="single" w:sz="4" w:space="0" w:color="auto"/>
              <w:right w:val="single" w:sz="4" w:space="0" w:color="auto"/>
            </w:tcBorders>
          </w:tcPr>
          <w:p w14:paraId="684FA2E7" w14:textId="77777777" w:rsidR="00CF4276" w:rsidRPr="00CF4276" w:rsidRDefault="00CF4276" w:rsidP="00CF4276">
            <w:pPr>
              <w:jc w:val="left"/>
              <w:rPr>
                <w:rFonts w:ascii="Arial" w:hAnsi="Arial" w:cs="Arial"/>
                <w:i w:val="0"/>
                <w:sz w:val="20"/>
                <w:szCs w:val="20"/>
                <w:lang w:val="es-ES"/>
              </w:rPr>
            </w:pPr>
            <w:r w:rsidRPr="00CF4276">
              <w:rPr>
                <w:rFonts w:ascii="Arial" w:hAnsi="Arial" w:cs="Arial"/>
                <w:b/>
                <w:i w:val="0"/>
                <w:sz w:val="20"/>
                <w:szCs w:val="20"/>
                <w:lang w:val="es-ES"/>
              </w:rPr>
              <w:t xml:space="preserve">Tabla 3. Cumplimiento del ABCDEF </w:t>
            </w:r>
            <w:proofErr w:type="spellStart"/>
            <w:r w:rsidRPr="00CF4276">
              <w:rPr>
                <w:rFonts w:ascii="Arial" w:hAnsi="Arial" w:cs="Arial"/>
                <w:b/>
                <w:i w:val="0"/>
                <w:sz w:val="20"/>
                <w:szCs w:val="20"/>
                <w:lang w:val="es-ES"/>
              </w:rPr>
              <w:t>bundle</w:t>
            </w:r>
            <w:proofErr w:type="spellEnd"/>
            <w:r w:rsidRPr="00CF4276">
              <w:rPr>
                <w:rFonts w:ascii="Arial" w:hAnsi="Arial" w:cs="Arial"/>
                <w:b/>
                <w:i w:val="0"/>
                <w:sz w:val="20"/>
                <w:szCs w:val="20"/>
                <w:lang w:val="es-ES"/>
              </w:rPr>
              <w:t xml:space="preserve"> entre marzo y agosto de 2019 (n =1134 día-paciente)</w:t>
            </w:r>
          </w:p>
        </w:tc>
      </w:tr>
      <w:tr w:rsidR="00CF4276" w:rsidRPr="00241E3C" w14:paraId="4413BCBD"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single" w:sz="4" w:space="0" w:color="auto"/>
              <w:bottom w:val="single" w:sz="4" w:space="0" w:color="auto"/>
            </w:tcBorders>
          </w:tcPr>
          <w:p w14:paraId="186E576A"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Elemento “B2”; Prueba de ventilación espontánea</w:t>
            </w:r>
          </w:p>
        </w:tc>
        <w:tc>
          <w:tcPr>
            <w:tcW w:w="4414" w:type="dxa"/>
            <w:tcBorders>
              <w:top w:val="single" w:sz="4" w:space="0" w:color="auto"/>
              <w:bottom w:val="single" w:sz="4" w:space="0" w:color="auto"/>
              <w:right w:val="single" w:sz="4" w:space="0" w:color="auto"/>
            </w:tcBorders>
          </w:tcPr>
          <w:p w14:paraId="5C1C486F"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TOTAL</w:t>
            </w:r>
          </w:p>
        </w:tc>
      </w:tr>
      <w:tr w:rsidR="00CF4276" w:rsidRPr="00241E3C" w14:paraId="033502EF" w14:textId="77777777" w:rsidTr="00CF4276">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single" w:sz="4" w:space="0" w:color="auto"/>
            </w:tcBorders>
          </w:tcPr>
          <w:p w14:paraId="443C8683"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Elegible</w:t>
            </w:r>
          </w:p>
        </w:tc>
        <w:tc>
          <w:tcPr>
            <w:tcW w:w="4414" w:type="dxa"/>
            <w:tcBorders>
              <w:top w:val="single" w:sz="4" w:space="0" w:color="auto"/>
              <w:right w:val="single" w:sz="4" w:space="0" w:color="auto"/>
            </w:tcBorders>
          </w:tcPr>
          <w:p w14:paraId="61011FFC"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391 (34,4 %)</w:t>
            </w:r>
          </w:p>
        </w:tc>
      </w:tr>
      <w:tr w:rsidR="00CF4276" w:rsidRPr="00241E3C" w14:paraId="3B887A03"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left w:val="single" w:sz="4" w:space="0" w:color="auto"/>
              <w:bottom w:val="single" w:sz="4" w:space="0" w:color="auto"/>
            </w:tcBorders>
          </w:tcPr>
          <w:p w14:paraId="23BE2C05"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Implementación elemento “B2”</w:t>
            </w:r>
          </w:p>
        </w:tc>
        <w:tc>
          <w:tcPr>
            <w:tcW w:w="4414" w:type="dxa"/>
            <w:tcBorders>
              <w:bottom w:val="single" w:sz="4" w:space="0" w:color="auto"/>
              <w:right w:val="single" w:sz="4" w:space="0" w:color="auto"/>
            </w:tcBorders>
          </w:tcPr>
          <w:p w14:paraId="51AB8134"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41 (10,5 %)</w:t>
            </w:r>
          </w:p>
        </w:tc>
      </w:tr>
      <w:tr w:rsidR="00CF4276" w14:paraId="029E9785" w14:textId="77777777" w:rsidTr="00CF4276">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single" w:sz="4" w:space="0" w:color="auto"/>
            </w:tcBorders>
          </w:tcPr>
          <w:p w14:paraId="7DBDA1EC"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Prueba de ventilación espontánea</w:t>
            </w:r>
          </w:p>
        </w:tc>
        <w:tc>
          <w:tcPr>
            <w:tcW w:w="4414" w:type="dxa"/>
            <w:tcBorders>
              <w:top w:val="single" w:sz="4" w:space="0" w:color="auto"/>
              <w:right w:val="single" w:sz="4" w:space="0" w:color="auto"/>
            </w:tcBorders>
          </w:tcPr>
          <w:p w14:paraId="6EF9DCF5"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p>
        </w:tc>
      </w:tr>
      <w:tr w:rsidR="00CF4276" w14:paraId="3F3C74E6"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single" w:sz="4" w:space="0" w:color="auto"/>
            </w:tcBorders>
          </w:tcPr>
          <w:p w14:paraId="19278E2E" w14:textId="77777777" w:rsidR="00CF4276" w:rsidRPr="00CF4276" w:rsidRDefault="00CF4276" w:rsidP="00CF4276">
            <w:pPr>
              <w:jc w:val="center"/>
              <w:rPr>
                <w:rFonts w:ascii="Arial" w:hAnsi="Arial" w:cs="Arial"/>
                <w:i w:val="0"/>
                <w:sz w:val="20"/>
                <w:szCs w:val="20"/>
                <w:lang w:val="es-ES"/>
              </w:rPr>
            </w:pPr>
            <w:r w:rsidRPr="00CF4276">
              <w:rPr>
                <w:rFonts w:ascii="Arial" w:hAnsi="Arial" w:cs="Arial"/>
                <w:i w:val="0"/>
                <w:sz w:val="20"/>
                <w:szCs w:val="20"/>
                <w:lang w:val="es-ES"/>
              </w:rPr>
              <w:t>Prueba en presión de soporte</w:t>
            </w:r>
          </w:p>
        </w:tc>
        <w:tc>
          <w:tcPr>
            <w:tcW w:w="4414" w:type="dxa"/>
            <w:tcBorders>
              <w:top w:val="single" w:sz="4" w:space="0" w:color="auto"/>
              <w:right w:val="single" w:sz="4" w:space="0" w:color="auto"/>
            </w:tcBorders>
          </w:tcPr>
          <w:p w14:paraId="1D862B6B"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 xml:space="preserve">21 (51,2%) </w:t>
            </w:r>
          </w:p>
        </w:tc>
      </w:tr>
      <w:tr w:rsidR="00CF4276" w14:paraId="14BA617C" w14:textId="77777777" w:rsidTr="00CF4276">
        <w:tc>
          <w:tcPr>
            <w:cnfStyle w:val="001000000000" w:firstRow="0" w:lastRow="0" w:firstColumn="1" w:lastColumn="0" w:oddVBand="0" w:evenVBand="0" w:oddHBand="0" w:evenHBand="0" w:firstRowFirstColumn="0" w:firstRowLastColumn="0" w:lastRowFirstColumn="0" w:lastRowLastColumn="0"/>
            <w:tcW w:w="4414" w:type="dxa"/>
            <w:tcBorders>
              <w:left w:val="single" w:sz="4" w:space="0" w:color="auto"/>
            </w:tcBorders>
          </w:tcPr>
          <w:p w14:paraId="0D5D6AE8" w14:textId="77777777" w:rsidR="00CF4276" w:rsidRPr="00CF4276" w:rsidRDefault="00CF4276" w:rsidP="00CF4276">
            <w:pPr>
              <w:jc w:val="center"/>
              <w:rPr>
                <w:rFonts w:ascii="Arial" w:hAnsi="Arial" w:cs="Arial"/>
                <w:i w:val="0"/>
                <w:sz w:val="20"/>
                <w:szCs w:val="20"/>
                <w:lang w:val="es-ES"/>
              </w:rPr>
            </w:pPr>
            <w:r w:rsidRPr="00CF4276">
              <w:rPr>
                <w:rFonts w:ascii="Arial" w:hAnsi="Arial" w:cs="Arial"/>
                <w:i w:val="0"/>
                <w:sz w:val="20"/>
                <w:szCs w:val="20"/>
                <w:lang w:val="es-ES"/>
              </w:rPr>
              <w:t>Prueba en tubo T</w:t>
            </w:r>
          </w:p>
        </w:tc>
        <w:tc>
          <w:tcPr>
            <w:tcW w:w="4414" w:type="dxa"/>
            <w:tcBorders>
              <w:right w:val="single" w:sz="4" w:space="0" w:color="auto"/>
            </w:tcBorders>
          </w:tcPr>
          <w:p w14:paraId="53DB0778"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13 (31,7%)</w:t>
            </w:r>
          </w:p>
        </w:tc>
      </w:tr>
      <w:tr w:rsidR="00CF4276" w14:paraId="36D1389C"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left w:val="single" w:sz="4" w:space="0" w:color="auto"/>
              <w:bottom w:val="single" w:sz="4" w:space="0" w:color="auto"/>
            </w:tcBorders>
          </w:tcPr>
          <w:p w14:paraId="4D3A922F" w14:textId="77777777" w:rsidR="00CF4276" w:rsidRPr="00CF4276" w:rsidRDefault="00CF4276" w:rsidP="00CF4276">
            <w:pPr>
              <w:jc w:val="center"/>
              <w:rPr>
                <w:rFonts w:ascii="Arial" w:hAnsi="Arial" w:cs="Arial"/>
                <w:i w:val="0"/>
                <w:sz w:val="20"/>
                <w:szCs w:val="20"/>
                <w:lang w:val="es-ES"/>
              </w:rPr>
            </w:pPr>
            <w:r w:rsidRPr="00CF4276">
              <w:rPr>
                <w:rFonts w:ascii="Arial" w:hAnsi="Arial" w:cs="Arial"/>
                <w:i w:val="0"/>
                <w:sz w:val="20"/>
                <w:szCs w:val="20"/>
                <w:lang w:val="es-ES"/>
              </w:rPr>
              <w:t>Prueba no reportada</w:t>
            </w:r>
          </w:p>
        </w:tc>
        <w:tc>
          <w:tcPr>
            <w:tcW w:w="4414" w:type="dxa"/>
            <w:tcBorders>
              <w:bottom w:val="single" w:sz="4" w:space="0" w:color="auto"/>
              <w:right w:val="single" w:sz="4" w:space="0" w:color="auto"/>
            </w:tcBorders>
          </w:tcPr>
          <w:p w14:paraId="5B07017E"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7 (17,1%)</w:t>
            </w:r>
          </w:p>
        </w:tc>
      </w:tr>
      <w:tr w:rsidR="00CF4276" w:rsidRPr="00241E3C" w14:paraId="692E253F" w14:textId="77777777" w:rsidTr="00CF4276">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single" w:sz="4" w:space="0" w:color="auto"/>
            </w:tcBorders>
          </w:tcPr>
          <w:p w14:paraId="1375797D"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Resultado prueba de ventilación espontánea </w:t>
            </w:r>
          </w:p>
        </w:tc>
        <w:tc>
          <w:tcPr>
            <w:tcW w:w="4414" w:type="dxa"/>
            <w:tcBorders>
              <w:top w:val="single" w:sz="4" w:space="0" w:color="auto"/>
              <w:right w:val="single" w:sz="4" w:space="0" w:color="auto"/>
            </w:tcBorders>
          </w:tcPr>
          <w:p w14:paraId="1CC26876"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p>
        </w:tc>
      </w:tr>
      <w:tr w:rsidR="00CF4276" w:rsidRPr="00241E3C" w14:paraId="1B6B8189"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left w:val="single" w:sz="4" w:space="0" w:color="auto"/>
            </w:tcBorders>
          </w:tcPr>
          <w:p w14:paraId="2A57CC70" w14:textId="77777777" w:rsidR="00CF4276" w:rsidRPr="00CF4276" w:rsidRDefault="00CF4276" w:rsidP="00CF4276">
            <w:pPr>
              <w:jc w:val="center"/>
              <w:rPr>
                <w:rFonts w:ascii="Arial" w:hAnsi="Arial" w:cs="Arial"/>
                <w:i w:val="0"/>
                <w:sz w:val="20"/>
                <w:szCs w:val="20"/>
                <w:lang w:val="es-ES"/>
              </w:rPr>
            </w:pPr>
            <w:r w:rsidRPr="00CF4276">
              <w:rPr>
                <w:rFonts w:ascii="Arial" w:hAnsi="Arial" w:cs="Arial"/>
                <w:i w:val="0"/>
                <w:sz w:val="20"/>
                <w:szCs w:val="20"/>
                <w:lang w:val="es-ES"/>
              </w:rPr>
              <w:t>Éxito</w:t>
            </w:r>
          </w:p>
        </w:tc>
        <w:tc>
          <w:tcPr>
            <w:tcW w:w="4414" w:type="dxa"/>
            <w:tcBorders>
              <w:right w:val="single" w:sz="4" w:space="0" w:color="auto"/>
            </w:tcBorders>
          </w:tcPr>
          <w:p w14:paraId="054AA368"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4 (9,7%)</w:t>
            </w:r>
          </w:p>
        </w:tc>
      </w:tr>
      <w:tr w:rsidR="00CF4276" w:rsidRPr="00241E3C" w14:paraId="61F1A056" w14:textId="77777777" w:rsidTr="00CF4276">
        <w:tc>
          <w:tcPr>
            <w:cnfStyle w:val="001000000000" w:firstRow="0" w:lastRow="0" w:firstColumn="1" w:lastColumn="0" w:oddVBand="0" w:evenVBand="0" w:oddHBand="0" w:evenHBand="0" w:firstRowFirstColumn="0" w:firstRowLastColumn="0" w:lastRowFirstColumn="0" w:lastRowLastColumn="0"/>
            <w:tcW w:w="4414" w:type="dxa"/>
            <w:tcBorders>
              <w:left w:val="single" w:sz="4" w:space="0" w:color="auto"/>
            </w:tcBorders>
          </w:tcPr>
          <w:p w14:paraId="06551374" w14:textId="77777777" w:rsidR="00CF4276" w:rsidRPr="00CF4276" w:rsidRDefault="00CF4276" w:rsidP="00CF4276">
            <w:pPr>
              <w:jc w:val="center"/>
              <w:rPr>
                <w:rFonts w:ascii="Arial" w:hAnsi="Arial" w:cs="Arial"/>
                <w:i w:val="0"/>
                <w:sz w:val="20"/>
                <w:szCs w:val="20"/>
                <w:lang w:val="es-ES"/>
              </w:rPr>
            </w:pPr>
            <w:r w:rsidRPr="00CF4276">
              <w:rPr>
                <w:rFonts w:ascii="Arial" w:hAnsi="Arial" w:cs="Arial"/>
                <w:i w:val="0"/>
                <w:sz w:val="20"/>
                <w:szCs w:val="20"/>
                <w:lang w:val="es-ES"/>
              </w:rPr>
              <w:t>Fracaso</w:t>
            </w:r>
          </w:p>
        </w:tc>
        <w:tc>
          <w:tcPr>
            <w:tcW w:w="4414" w:type="dxa"/>
            <w:tcBorders>
              <w:right w:val="single" w:sz="4" w:space="0" w:color="auto"/>
            </w:tcBorders>
          </w:tcPr>
          <w:p w14:paraId="08D802D7"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CF4276">
              <w:rPr>
                <w:rFonts w:ascii="Arial" w:hAnsi="Arial" w:cs="Arial"/>
                <w:sz w:val="20"/>
                <w:szCs w:val="20"/>
                <w:lang w:val="es-ES"/>
              </w:rPr>
              <w:t>1 (2,4%)</w:t>
            </w:r>
          </w:p>
        </w:tc>
      </w:tr>
      <w:tr w:rsidR="00CF4276" w:rsidRPr="00D733D5" w14:paraId="1832F152"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left w:val="single" w:sz="4" w:space="0" w:color="auto"/>
              <w:bottom w:val="single" w:sz="4" w:space="0" w:color="auto"/>
            </w:tcBorders>
          </w:tcPr>
          <w:p w14:paraId="0DA0DFDB" w14:textId="77777777" w:rsidR="00CF4276" w:rsidRPr="00CF4276" w:rsidRDefault="00CF4276" w:rsidP="00CF4276">
            <w:pPr>
              <w:jc w:val="center"/>
              <w:rPr>
                <w:rFonts w:ascii="Arial" w:hAnsi="Arial" w:cs="Arial"/>
                <w:i w:val="0"/>
                <w:sz w:val="20"/>
                <w:szCs w:val="20"/>
                <w:lang w:val="es-ES"/>
              </w:rPr>
            </w:pPr>
            <w:r w:rsidRPr="00CF4276">
              <w:rPr>
                <w:rFonts w:ascii="Arial" w:hAnsi="Arial" w:cs="Arial"/>
                <w:i w:val="0"/>
                <w:sz w:val="20"/>
                <w:szCs w:val="20"/>
                <w:lang w:val="es-ES"/>
              </w:rPr>
              <w:t>Resultado no reportado</w:t>
            </w:r>
          </w:p>
        </w:tc>
        <w:tc>
          <w:tcPr>
            <w:tcW w:w="4414" w:type="dxa"/>
            <w:tcBorders>
              <w:bottom w:val="single" w:sz="4" w:space="0" w:color="auto"/>
              <w:right w:val="single" w:sz="4" w:space="0" w:color="auto"/>
            </w:tcBorders>
          </w:tcPr>
          <w:p w14:paraId="6FB89B83"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CF4276">
              <w:rPr>
                <w:rFonts w:ascii="Arial" w:hAnsi="Arial" w:cs="Arial"/>
                <w:sz w:val="20"/>
                <w:szCs w:val="20"/>
                <w:lang w:val="es-ES"/>
              </w:rPr>
              <w:t>36 (87,8 %)</w:t>
            </w:r>
          </w:p>
        </w:tc>
      </w:tr>
      <w:tr w:rsidR="00CF4276" w:rsidRPr="00241E3C" w14:paraId="0A3E8CEB" w14:textId="77777777" w:rsidTr="00CF4276">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single" w:sz="4" w:space="0" w:color="auto"/>
            </w:tcBorders>
          </w:tcPr>
          <w:p w14:paraId="75608CA9"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Profesional</w:t>
            </w:r>
          </w:p>
        </w:tc>
        <w:tc>
          <w:tcPr>
            <w:tcW w:w="4414" w:type="dxa"/>
            <w:tcBorders>
              <w:top w:val="single" w:sz="4" w:space="0" w:color="auto"/>
              <w:right w:val="single" w:sz="4" w:space="0" w:color="auto"/>
            </w:tcBorders>
          </w:tcPr>
          <w:p w14:paraId="1401203D"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p>
        </w:tc>
      </w:tr>
      <w:tr w:rsidR="00CF4276" w:rsidRPr="00241E3C" w14:paraId="3EDEE35F"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single" w:sz="4" w:space="0" w:color="auto"/>
            </w:tcBorders>
          </w:tcPr>
          <w:p w14:paraId="1CB0D529" w14:textId="77777777" w:rsidR="00CF4276" w:rsidRPr="00CF4276" w:rsidRDefault="00CF4276" w:rsidP="00CF4276">
            <w:pPr>
              <w:jc w:val="center"/>
              <w:rPr>
                <w:rFonts w:ascii="Arial" w:hAnsi="Arial" w:cs="Arial"/>
                <w:i w:val="0"/>
                <w:sz w:val="20"/>
                <w:szCs w:val="20"/>
                <w:lang w:val="es-ES"/>
              </w:rPr>
            </w:pPr>
            <w:r w:rsidRPr="00CF4276">
              <w:rPr>
                <w:rFonts w:ascii="Arial" w:hAnsi="Arial" w:cs="Arial"/>
                <w:i w:val="0"/>
                <w:sz w:val="20"/>
                <w:szCs w:val="20"/>
                <w:lang w:val="es-ES"/>
              </w:rPr>
              <w:t>Kinesiólogo de UCI</w:t>
            </w:r>
          </w:p>
        </w:tc>
        <w:tc>
          <w:tcPr>
            <w:tcW w:w="4414" w:type="dxa"/>
            <w:tcBorders>
              <w:top w:val="single" w:sz="4" w:space="0" w:color="auto"/>
              <w:right w:val="single" w:sz="4" w:space="0" w:color="auto"/>
            </w:tcBorders>
          </w:tcPr>
          <w:p w14:paraId="46EE4BCD"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41(100 %)</w:t>
            </w:r>
          </w:p>
        </w:tc>
      </w:tr>
      <w:tr w:rsidR="00CF4276" w:rsidRPr="00241E3C" w14:paraId="03D55309" w14:textId="77777777" w:rsidTr="00CF4276">
        <w:tc>
          <w:tcPr>
            <w:cnfStyle w:val="001000000000" w:firstRow="0" w:lastRow="0" w:firstColumn="1" w:lastColumn="0" w:oddVBand="0" w:evenVBand="0" w:oddHBand="0" w:evenHBand="0" w:firstRowFirstColumn="0" w:firstRowLastColumn="0" w:lastRowFirstColumn="0" w:lastRowLastColumn="0"/>
            <w:tcW w:w="4414" w:type="dxa"/>
            <w:tcBorders>
              <w:left w:val="single" w:sz="4" w:space="0" w:color="auto"/>
            </w:tcBorders>
          </w:tcPr>
          <w:p w14:paraId="07C57C92" w14:textId="77777777" w:rsidR="00CF4276" w:rsidRPr="00CF4276" w:rsidRDefault="00CF4276" w:rsidP="00CF4276">
            <w:pPr>
              <w:jc w:val="center"/>
              <w:rPr>
                <w:rFonts w:ascii="Arial" w:hAnsi="Arial" w:cs="Arial"/>
                <w:i w:val="0"/>
                <w:sz w:val="20"/>
                <w:szCs w:val="20"/>
                <w:lang w:val="es-ES"/>
              </w:rPr>
            </w:pPr>
            <w:r w:rsidRPr="00CF4276">
              <w:rPr>
                <w:rFonts w:ascii="Arial" w:hAnsi="Arial" w:cs="Arial"/>
                <w:i w:val="0"/>
                <w:sz w:val="20"/>
                <w:szCs w:val="20"/>
                <w:lang w:val="es-ES"/>
              </w:rPr>
              <w:t>Médico Residente</w:t>
            </w:r>
          </w:p>
        </w:tc>
        <w:tc>
          <w:tcPr>
            <w:tcW w:w="4414" w:type="dxa"/>
            <w:tcBorders>
              <w:right w:val="single" w:sz="4" w:space="0" w:color="auto"/>
            </w:tcBorders>
          </w:tcPr>
          <w:p w14:paraId="3E48A456"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(0 %)</w:t>
            </w:r>
          </w:p>
        </w:tc>
      </w:tr>
      <w:tr w:rsidR="00CF4276" w:rsidRPr="00241E3C" w14:paraId="36BF5E48"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left w:val="single" w:sz="4" w:space="0" w:color="auto"/>
            </w:tcBorders>
          </w:tcPr>
          <w:p w14:paraId="29DF20F1" w14:textId="77777777" w:rsidR="00CF4276" w:rsidRPr="00CF4276" w:rsidRDefault="00CF4276" w:rsidP="00CF4276">
            <w:pPr>
              <w:jc w:val="center"/>
              <w:rPr>
                <w:rFonts w:ascii="Arial" w:hAnsi="Arial" w:cs="Arial"/>
                <w:i w:val="0"/>
                <w:sz w:val="20"/>
                <w:szCs w:val="20"/>
                <w:lang w:val="es-ES"/>
              </w:rPr>
            </w:pPr>
            <w:r w:rsidRPr="00CF4276">
              <w:rPr>
                <w:rFonts w:ascii="Arial" w:hAnsi="Arial" w:cs="Arial"/>
                <w:i w:val="0"/>
                <w:sz w:val="20"/>
                <w:szCs w:val="20"/>
                <w:lang w:val="es-ES"/>
              </w:rPr>
              <w:t>Enfermero de UCI</w:t>
            </w:r>
          </w:p>
        </w:tc>
        <w:tc>
          <w:tcPr>
            <w:tcW w:w="4414" w:type="dxa"/>
            <w:tcBorders>
              <w:right w:val="single" w:sz="4" w:space="0" w:color="auto"/>
            </w:tcBorders>
          </w:tcPr>
          <w:p w14:paraId="6FFF7884"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(0 %)</w:t>
            </w:r>
          </w:p>
        </w:tc>
      </w:tr>
      <w:tr w:rsidR="00CF4276" w:rsidRPr="00241E3C" w14:paraId="5D11FCC1" w14:textId="77777777" w:rsidTr="00CF4276">
        <w:tc>
          <w:tcPr>
            <w:cnfStyle w:val="001000000000" w:firstRow="0" w:lastRow="0" w:firstColumn="1" w:lastColumn="0" w:oddVBand="0" w:evenVBand="0" w:oddHBand="0" w:evenHBand="0" w:firstRowFirstColumn="0" w:firstRowLastColumn="0" w:lastRowFirstColumn="0" w:lastRowLastColumn="0"/>
            <w:tcW w:w="8828" w:type="dxa"/>
            <w:gridSpan w:val="2"/>
            <w:tcBorders>
              <w:top w:val="single" w:sz="4" w:space="0" w:color="auto"/>
              <w:left w:val="single" w:sz="4" w:space="0" w:color="auto"/>
              <w:bottom w:val="single" w:sz="4" w:space="0" w:color="auto"/>
              <w:right w:val="single" w:sz="4" w:space="0" w:color="auto"/>
            </w:tcBorders>
          </w:tcPr>
          <w:p w14:paraId="6690D396"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Datos presentados en frecuencia absoluta (%) </w:t>
            </w:r>
          </w:p>
        </w:tc>
      </w:tr>
    </w:tbl>
    <w:p w14:paraId="5B26AAB5" w14:textId="756FD2F8" w:rsidR="00CF4276" w:rsidRDefault="00CF4276" w:rsidP="00DA5792">
      <w:pPr>
        <w:suppressLineNumbers/>
        <w:spacing w:line="480" w:lineRule="auto"/>
        <w:rPr>
          <w:rFonts w:ascii="Calibri" w:hAnsi="Calibri"/>
          <w:b/>
        </w:rPr>
      </w:pPr>
    </w:p>
    <w:p w14:paraId="5DFD768B" w14:textId="5FB9957A" w:rsidR="00CF4276" w:rsidRDefault="00CF4276" w:rsidP="00DA5792">
      <w:pPr>
        <w:suppressLineNumbers/>
        <w:spacing w:line="480" w:lineRule="auto"/>
        <w:rPr>
          <w:rFonts w:ascii="Calibri" w:hAnsi="Calibri"/>
          <w:b/>
        </w:rPr>
      </w:pPr>
    </w:p>
    <w:p w14:paraId="6DA84122" w14:textId="6AD7B10E" w:rsidR="00CF4276" w:rsidRDefault="00CF4276" w:rsidP="00DA5792">
      <w:pPr>
        <w:suppressLineNumbers/>
        <w:spacing w:line="480" w:lineRule="auto"/>
        <w:rPr>
          <w:rFonts w:ascii="Calibri" w:hAnsi="Calibri"/>
          <w:b/>
        </w:rPr>
      </w:pPr>
    </w:p>
    <w:p w14:paraId="6FB06217" w14:textId="5CAFFDDF" w:rsidR="00CF4276" w:rsidRDefault="00CF4276" w:rsidP="00DA5792">
      <w:pPr>
        <w:suppressLineNumbers/>
        <w:spacing w:line="480" w:lineRule="auto"/>
        <w:rPr>
          <w:rFonts w:ascii="Calibri" w:hAnsi="Calibri"/>
          <w:b/>
        </w:rPr>
      </w:pPr>
    </w:p>
    <w:p w14:paraId="4E031BD5" w14:textId="161A5B19" w:rsidR="00CF4276" w:rsidRDefault="00CF4276" w:rsidP="00DA5792">
      <w:pPr>
        <w:suppressLineNumbers/>
        <w:spacing w:line="480" w:lineRule="auto"/>
        <w:rPr>
          <w:rFonts w:ascii="Calibri" w:hAnsi="Calibri"/>
          <w:b/>
        </w:rPr>
      </w:pPr>
    </w:p>
    <w:p w14:paraId="0C257F8A" w14:textId="77777777" w:rsidR="00CF4276" w:rsidRPr="00CF7655" w:rsidRDefault="00CF4276" w:rsidP="00DA5792">
      <w:pPr>
        <w:suppressLineNumbers/>
        <w:spacing w:line="480" w:lineRule="auto"/>
        <w:rPr>
          <w:rFonts w:ascii="Calibri" w:hAnsi="Calibri"/>
          <w:b/>
        </w:rPr>
      </w:pPr>
    </w:p>
    <w:tbl>
      <w:tblPr>
        <w:tblStyle w:val="Tablanormal51"/>
        <w:tblW w:w="0" w:type="auto"/>
        <w:tblLook w:val="04A0" w:firstRow="1" w:lastRow="0" w:firstColumn="1" w:lastColumn="0" w:noHBand="0" w:noVBand="1"/>
      </w:tblPr>
      <w:tblGrid>
        <w:gridCol w:w="4469"/>
        <w:gridCol w:w="1385"/>
        <w:gridCol w:w="1390"/>
        <w:gridCol w:w="1300"/>
      </w:tblGrid>
      <w:tr w:rsidR="00CD6187" w14:paraId="23E01998" w14:textId="77777777" w:rsidTr="00A4573A">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828" w:type="dxa"/>
            <w:gridSpan w:val="4"/>
            <w:tcBorders>
              <w:top w:val="single" w:sz="4" w:space="0" w:color="auto"/>
              <w:left w:val="single" w:sz="4" w:space="0" w:color="auto"/>
              <w:bottom w:val="single" w:sz="4" w:space="0" w:color="auto"/>
              <w:right w:val="single" w:sz="4" w:space="0" w:color="auto"/>
            </w:tcBorders>
          </w:tcPr>
          <w:p w14:paraId="0B06EDDE" w14:textId="2C8063F6" w:rsidR="00CD6187" w:rsidRPr="00CF4276" w:rsidRDefault="00CD6187" w:rsidP="00A4573A">
            <w:pPr>
              <w:jc w:val="left"/>
              <w:rPr>
                <w:rFonts w:ascii="Arial" w:hAnsi="Arial" w:cs="Arial"/>
                <w:b/>
                <w:i w:val="0"/>
                <w:sz w:val="20"/>
                <w:szCs w:val="20"/>
                <w:lang w:val="es-ES"/>
              </w:rPr>
            </w:pPr>
            <w:r w:rsidRPr="00CF4276">
              <w:rPr>
                <w:rFonts w:ascii="Arial" w:hAnsi="Arial" w:cs="Arial"/>
                <w:b/>
                <w:i w:val="0"/>
                <w:sz w:val="20"/>
                <w:szCs w:val="20"/>
                <w:lang w:val="es-ES"/>
              </w:rPr>
              <w:lastRenderedPageBreak/>
              <w:t xml:space="preserve">Tabla </w:t>
            </w:r>
            <w:r w:rsidR="00DA6CC5" w:rsidRPr="00CF4276">
              <w:rPr>
                <w:rFonts w:ascii="Arial" w:hAnsi="Arial" w:cs="Arial"/>
                <w:b/>
                <w:i w:val="0"/>
                <w:sz w:val="20"/>
                <w:szCs w:val="20"/>
                <w:lang w:val="es-ES"/>
              </w:rPr>
              <w:t>4</w:t>
            </w:r>
            <w:r w:rsidRPr="00CF4276">
              <w:rPr>
                <w:rFonts w:ascii="Arial" w:hAnsi="Arial" w:cs="Arial"/>
                <w:b/>
                <w:i w:val="0"/>
                <w:sz w:val="20"/>
                <w:szCs w:val="20"/>
                <w:lang w:val="es-ES"/>
              </w:rPr>
              <w:t xml:space="preserve">. Cumplimiento del ABCDEF </w:t>
            </w:r>
            <w:r w:rsidR="00AD58D7" w:rsidRPr="00CF4276">
              <w:rPr>
                <w:rFonts w:ascii="Arial" w:hAnsi="Arial" w:cs="Arial"/>
                <w:b/>
                <w:i w:val="0"/>
                <w:sz w:val="20"/>
                <w:szCs w:val="20"/>
                <w:lang w:val="es-ES"/>
              </w:rPr>
              <w:t>“</w:t>
            </w:r>
            <w:proofErr w:type="spellStart"/>
            <w:r w:rsidR="00AD58D7" w:rsidRPr="00CF4276">
              <w:rPr>
                <w:rFonts w:ascii="Arial" w:hAnsi="Arial" w:cs="Arial"/>
                <w:b/>
                <w:i w:val="0"/>
                <w:sz w:val="20"/>
                <w:szCs w:val="20"/>
                <w:lang w:val="es-ES"/>
              </w:rPr>
              <w:t>bundle</w:t>
            </w:r>
            <w:proofErr w:type="spellEnd"/>
            <w:r w:rsidR="00AD58D7" w:rsidRPr="00CF4276">
              <w:rPr>
                <w:rFonts w:ascii="Arial" w:hAnsi="Arial" w:cs="Arial"/>
                <w:b/>
                <w:i w:val="0"/>
                <w:sz w:val="20"/>
                <w:szCs w:val="20"/>
                <w:lang w:val="es-ES"/>
              </w:rPr>
              <w:t>”</w:t>
            </w:r>
            <w:r w:rsidRPr="00CF4276">
              <w:rPr>
                <w:rFonts w:ascii="Arial" w:hAnsi="Arial" w:cs="Arial"/>
                <w:b/>
                <w:i w:val="0"/>
                <w:sz w:val="20"/>
                <w:szCs w:val="20"/>
                <w:lang w:val="es-ES"/>
              </w:rPr>
              <w:t xml:space="preserve"> entre marzo y agosto de 2019 (n =1134 día-paciente)</w:t>
            </w:r>
          </w:p>
        </w:tc>
      </w:tr>
      <w:tr w:rsidR="00CD6187" w14:paraId="7620C1F8"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tcBorders>
            <w:vAlign w:val="center"/>
          </w:tcPr>
          <w:p w14:paraId="67429BAE" w14:textId="77777777" w:rsidR="00CD6187" w:rsidRPr="00CF4276" w:rsidRDefault="00CD6187" w:rsidP="00A4573A">
            <w:pPr>
              <w:jc w:val="center"/>
              <w:rPr>
                <w:rFonts w:ascii="Arial" w:hAnsi="Arial" w:cs="Arial"/>
                <w:i w:val="0"/>
                <w:sz w:val="20"/>
                <w:szCs w:val="20"/>
                <w:lang w:val="es-ES"/>
              </w:rPr>
            </w:pPr>
            <w:r w:rsidRPr="00CF4276">
              <w:rPr>
                <w:rFonts w:ascii="Arial" w:hAnsi="Arial" w:cs="Arial"/>
                <w:i w:val="0"/>
                <w:sz w:val="20"/>
                <w:szCs w:val="20"/>
                <w:lang w:val="es-ES"/>
              </w:rPr>
              <w:t xml:space="preserve">Elemento “C”; </w:t>
            </w:r>
            <w:r w:rsidRPr="00CF4276">
              <w:rPr>
                <w:rFonts w:ascii="Arial" w:hAnsi="Arial" w:cs="Arial"/>
                <w:i w:val="0"/>
                <w:sz w:val="20"/>
                <w:szCs w:val="20"/>
              </w:rPr>
              <w:t>Elección de la sedación</w:t>
            </w:r>
          </w:p>
        </w:tc>
        <w:tc>
          <w:tcPr>
            <w:tcW w:w="1418" w:type="dxa"/>
            <w:tcBorders>
              <w:top w:val="single" w:sz="4" w:space="0" w:color="auto"/>
              <w:bottom w:val="single" w:sz="4" w:space="0" w:color="auto"/>
              <w:right w:val="single" w:sz="4" w:space="0" w:color="auto"/>
            </w:tcBorders>
            <w:vAlign w:val="center"/>
          </w:tcPr>
          <w:p w14:paraId="015B5CA6"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TOTAL</w:t>
            </w:r>
          </w:p>
        </w:tc>
        <w:tc>
          <w:tcPr>
            <w:tcW w:w="1417" w:type="dxa"/>
            <w:tcBorders>
              <w:top w:val="single" w:sz="4" w:space="0" w:color="auto"/>
              <w:bottom w:val="single" w:sz="4" w:space="0" w:color="auto"/>
              <w:right w:val="single" w:sz="4" w:space="0" w:color="auto"/>
            </w:tcBorders>
            <w:vAlign w:val="center"/>
          </w:tcPr>
          <w:p w14:paraId="28FDF824"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con sedación</w:t>
            </w:r>
          </w:p>
          <w:p w14:paraId="32253A86"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(n= 574)</w:t>
            </w:r>
          </w:p>
        </w:tc>
        <w:tc>
          <w:tcPr>
            <w:tcW w:w="1320" w:type="dxa"/>
            <w:tcBorders>
              <w:top w:val="single" w:sz="4" w:space="0" w:color="auto"/>
              <w:bottom w:val="single" w:sz="4" w:space="0" w:color="auto"/>
              <w:right w:val="single" w:sz="4" w:space="0" w:color="auto"/>
            </w:tcBorders>
            <w:vAlign w:val="center"/>
          </w:tcPr>
          <w:p w14:paraId="5942E38F"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sin sedación (n=560)</w:t>
            </w:r>
          </w:p>
        </w:tc>
      </w:tr>
      <w:tr w:rsidR="00CD6187" w14:paraId="45573E42" w14:textId="77777777" w:rsidTr="00A4573A">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tcBorders>
          </w:tcPr>
          <w:p w14:paraId="61BE4785" w14:textId="77777777" w:rsidR="00CD6187" w:rsidRPr="00CF4276" w:rsidRDefault="00CD6187" w:rsidP="00A4573A">
            <w:pPr>
              <w:jc w:val="left"/>
              <w:rPr>
                <w:rFonts w:ascii="Arial" w:hAnsi="Arial" w:cs="Arial"/>
                <w:i w:val="0"/>
                <w:sz w:val="20"/>
                <w:szCs w:val="20"/>
                <w:lang w:val="es-ES"/>
              </w:rPr>
            </w:pPr>
            <w:r w:rsidRPr="00CF4276">
              <w:rPr>
                <w:rFonts w:ascii="Arial" w:hAnsi="Arial" w:cs="Arial"/>
                <w:i w:val="0"/>
                <w:sz w:val="20"/>
                <w:szCs w:val="20"/>
                <w:lang w:val="es-ES"/>
              </w:rPr>
              <w:t>Elegible</w:t>
            </w:r>
          </w:p>
        </w:tc>
        <w:tc>
          <w:tcPr>
            <w:tcW w:w="1418" w:type="dxa"/>
            <w:tcBorders>
              <w:top w:val="single" w:sz="4" w:space="0" w:color="auto"/>
              <w:right w:val="single" w:sz="4" w:space="0" w:color="auto"/>
            </w:tcBorders>
          </w:tcPr>
          <w:p w14:paraId="5BCAA00B"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1134 (100%)</w:t>
            </w:r>
          </w:p>
        </w:tc>
        <w:tc>
          <w:tcPr>
            <w:tcW w:w="1417" w:type="dxa"/>
            <w:tcBorders>
              <w:top w:val="single" w:sz="4" w:space="0" w:color="auto"/>
              <w:right w:val="single" w:sz="4" w:space="0" w:color="auto"/>
            </w:tcBorders>
          </w:tcPr>
          <w:p w14:paraId="076AA0F6"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574 (100%)</w:t>
            </w:r>
          </w:p>
        </w:tc>
        <w:tc>
          <w:tcPr>
            <w:tcW w:w="1320" w:type="dxa"/>
            <w:tcBorders>
              <w:top w:val="single" w:sz="4" w:space="0" w:color="auto"/>
              <w:right w:val="single" w:sz="4" w:space="0" w:color="auto"/>
            </w:tcBorders>
          </w:tcPr>
          <w:p w14:paraId="20ADC47A"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560 (100%)</w:t>
            </w:r>
          </w:p>
        </w:tc>
      </w:tr>
      <w:tr w:rsidR="00CD6187" w14:paraId="73F055AD"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3" w:type="dxa"/>
            <w:tcBorders>
              <w:left w:val="single" w:sz="4" w:space="0" w:color="auto"/>
            </w:tcBorders>
          </w:tcPr>
          <w:p w14:paraId="3EFC3DD2" w14:textId="77777777" w:rsidR="00CD6187" w:rsidRPr="00CF4276" w:rsidRDefault="00CD6187" w:rsidP="00A4573A">
            <w:pPr>
              <w:jc w:val="left"/>
              <w:rPr>
                <w:rFonts w:ascii="Arial" w:hAnsi="Arial" w:cs="Arial"/>
                <w:i w:val="0"/>
                <w:sz w:val="20"/>
                <w:szCs w:val="20"/>
                <w:lang w:val="es-ES"/>
              </w:rPr>
            </w:pPr>
            <w:r w:rsidRPr="00CF4276">
              <w:rPr>
                <w:rFonts w:ascii="Arial" w:hAnsi="Arial" w:cs="Arial"/>
                <w:i w:val="0"/>
                <w:sz w:val="20"/>
                <w:szCs w:val="20"/>
                <w:lang w:val="es-ES"/>
              </w:rPr>
              <w:t>Implementación elemento “C”</w:t>
            </w:r>
          </w:p>
        </w:tc>
        <w:tc>
          <w:tcPr>
            <w:tcW w:w="1418" w:type="dxa"/>
            <w:tcBorders>
              <w:right w:val="single" w:sz="4" w:space="0" w:color="auto"/>
            </w:tcBorders>
          </w:tcPr>
          <w:p w14:paraId="6DDC84F1"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466 (40,4%)</w:t>
            </w:r>
          </w:p>
        </w:tc>
        <w:tc>
          <w:tcPr>
            <w:tcW w:w="1417" w:type="dxa"/>
            <w:tcBorders>
              <w:right w:val="single" w:sz="4" w:space="0" w:color="auto"/>
            </w:tcBorders>
          </w:tcPr>
          <w:p w14:paraId="3FE501B8"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421 (73,3%)</w:t>
            </w:r>
          </w:p>
        </w:tc>
        <w:tc>
          <w:tcPr>
            <w:tcW w:w="1320" w:type="dxa"/>
            <w:tcBorders>
              <w:right w:val="single" w:sz="4" w:space="0" w:color="auto"/>
            </w:tcBorders>
          </w:tcPr>
          <w:p w14:paraId="4F7FC689"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45 (8%)</w:t>
            </w:r>
          </w:p>
        </w:tc>
      </w:tr>
      <w:tr w:rsidR="00CD6187" w14:paraId="50FBB40D" w14:textId="77777777" w:rsidTr="00A4573A">
        <w:tc>
          <w:tcPr>
            <w:cnfStyle w:val="001000000000" w:firstRow="0" w:lastRow="0" w:firstColumn="1" w:lastColumn="0" w:oddVBand="0" w:evenVBand="0" w:oddHBand="0" w:evenHBand="0" w:firstRowFirstColumn="0" w:firstRowLastColumn="0" w:lastRowFirstColumn="0" w:lastRowLastColumn="0"/>
            <w:tcW w:w="4673" w:type="dxa"/>
            <w:tcBorders>
              <w:left w:val="single" w:sz="4" w:space="0" w:color="auto"/>
            </w:tcBorders>
          </w:tcPr>
          <w:p w14:paraId="6613BADE" w14:textId="16271B16" w:rsidR="00CD6187" w:rsidRPr="00CF4276" w:rsidRDefault="00CD6187" w:rsidP="00A4573A">
            <w:pPr>
              <w:jc w:val="left"/>
              <w:rPr>
                <w:rFonts w:ascii="Arial" w:hAnsi="Arial" w:cs="Arial"/>
                <w:i w:val="0"/>
                <w:sz w:val="20"/>
                <w:szCs w:val="20"/>
                <w:lang w:val="es-ES"/>
              </w:rPr>
            </w:pPr>
            <w:r w:rsidRPr="00CF4276">
              <w:rPr>
                <w:rFonts w:ascii="Arial" w:hAnsi="Arial" w:cs="Arial"/>
                <w:i w:val="0"/>
                <w:sz w:val="20"/>
                <w:szCs w:val="20"/>
                <w:lang w:val="es-ES"/>
              </w:rPr>
              <w:t xml:space="preserve">Recibió </w:t>
            </w:r>
            <w:r w:rsidRPr="00CF4276">
              <w:rPr>
                <w:rFonts w:ascii="Arial" w:hAnsi="Arial" w:cs="Arial"/>
                <w:i w:val="0"/>
                <w:sz w:val="20"/>
                <w:szCs w:val="20"/>
                <w:u w:val="single"/>
                <w:lang w:val="es-ES"/>
              </w:rPr>
              <w:t>&gt;</w:t>
            </w:r>
            <w:r w:rsidRPr="00CF4276">
              <w:rPr>
                <w:rFonts w:ascii="Arial" w:hAnsi="Arial" w:cs="Arial"/>
                <w:i w:val="0"/>
                <w:sz w:val="20"/>
                <w:szCs w:val="20"/>
                <w:lang w:val="es-ES"/>
              </w:rPr>
              <w:t xml:space="preserve"> 6 evaluaciones de estado de sedación</w:t>
            </w:r>
            <w:r w:rsidR="00A54467" w:rsidRPr="00CF4276">
              <w:rPr>
                <w:rFonts w:ascii="Arial" w:hAnsi="Arial" w:cs="Arial"/>
                <w:i w:val="0"/>
                <w:sz w:val="20"/>
                <w:szCs w:val="20"/>
                <w:lang w:val="es-ES"/>
              </w:rPr>
              <w:t xml:space="preserve"> </w:t>
            </w:r>
            <w:r w:rsidRPr="00CF4276">
              <w:rPr>
                <w:rFonts w:ascii="Arial" w:hAnsi="Arial" w:cs="Arial"/>
                <w:i w:val="0"/>
                <w:sz w:val="20"/>
                <w:szCs w:val="20"/>
                <w:lang w:val="es-ES"/>
              </w:rPr>
              <w:t>por día (RASS y SAS)</w:t>
            </w:r>
          </w:p>
        </w:tc>
        <w:tc>
          <w:tcPr>
            <w:tcW w:w="1418" w:type="dxa"/>
            <w:tcBorders>
              <w:right w:val="single" w:sz="4" w:space="0" w:color="auto"/>
            </w:tcBorders>
            <w:vAlign w:val="center"/>
          </w:tcPr>
          <w:p w14:paraId="1DF4BB94"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202 (43,4%)</w:t>
            </w:r>
          </w:p>
        </w:tc>
        <w:tc>
          <w:tcPr>
            <w:tcW w:w="1417" w:type="dxa"/>
            <w:tcBorders>
              <w:right w:val="single" w:sz="4" w:space="0" w:color="auto"/>
            </w:tcBorders>
            <w:vAlign w:val="center"/>
          </w:tcPr>
          <w:p w14:paraId="50CCE9F1"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200 (47,5%)</w:t>
            </w:r>
          </w:p>
        </w:tc>
        <w:tc>
          <w:tcPr>
            <w:tcW w:w="1320" w:type="dxa"/>
            <w:tcBorders>
              <w:right w:val="single" w:sz="4" w:space="0" w:color="auto"/>
            </w:tcBorders>
            <w:vAlign w:val="center"/>
          </w:tcPr>
          <w:p w14:paraId="60379FD6"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 (4,4%)</w:t>
            </w:r>
          </w:p>
        </w:tc>
      </w:tr>
      <w:tr w:rsidR="00CD6187" w14:paraId="4E01151E"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3" w:type="dxa"/>
            <w:tcBorders>
              <w:left w:val="single" w:sz="4" w:space="0" w:color="auto"/>
              <w:bottom w:val="single" w:sz="4" w:space="0" w:color="auto"/>
            </w:tcBorders>
          </w:tcPr>
          <w:p w14:paraId="6337325C" w14:textId="7546DDAD" w:rsidR="00CD6187" w:rsidRPr="00CF4276" w:rsidRDefault="00CD6187" w:rsidP="00A4573A">
            <w:pPr>
              <w:jc w:val="left"/>
              <w:rPr>
                <w:rFonts w:ascii="Arial" w:hAnsi="Arial" w:cs="Arial"/>
                <w:i w:val="0"/>
                <w:sz w:val="20"/>
                <w:szCs w:val="20"/>
                <w:lang w:val="es-ES"/>
              </w:rPr>
            </w:pPr>
            <w:r w:rsidRPr="00CF4276">
              <w:rPr>
                <w:rFonts w:ascii="Arial" w:hAnsi="Arial" w:cs="Arial"/>
                <w:i w:val="0"/>
                <w:sz w:val="20"/>
                <w:szCs w:val="20"/>
                <w:lang w:val="es-ES"/>
              </w:rPr>
              <w:t>Número de evaluaciones de estado de sedación</w:t>
            </w:r>
            <w:r w:rsidR="00A54467" w:rsidRPr="00CF4276">
              <w:rPr>
                <w:rFonts w:ascii="Arial" w:hAnsi="Arial" w:cs="Arial"/>
                <w:i w:val="0"/>
                <w:sz w:val="20"/>
                <w:szCs w:val="20"/>
                <w:lang w:val="es-ES"/>
              </w:rPr>
              <w:t xml:space="preserve"> </w:t>
            </w:r>
            <w:r w:rsidRPr="00CF4276">
              <w:rPr>
                <w:rFonts w:ascii="Arial" w:hAnsi="Arial" w:cs="Arial"/>
                <w:i w:val="0"/>
                <w:sz w:val="20"/>
                <w:szCs w:val="20"/>
                <w:lang w:val="es-ES"/>
              </w:rPr>
              <w:t>por día (RASS y SAS)</w:t>
            </w:r>
          </w:p>
        </w:tc>
        <w:tc>
          <w:tcPr>
            <w:tcW w:w="1418" w:type="dxa"/>
            <w:tcBorders>
              <w:bottom w:val="single" w:sz="4" w:space="0" w:color="auto"/>
              <w:right w:val="single" w:sz="4" w:space="0" w:color="auto"/>
            </w:tcBorders>
            <w:vAlign w:val="center"/>
          </w:tcPr>
          <w:p w14:paraId="5793D2E1"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5 (2-7)</w:t>
            </w:r>
          </w:p>
        </w:tc>
        <w:tc>
          <w:tcPr>
            <w:tcW w:w="1417" w:type="dxa"/>
            <w:tcBorders>
              <w:bottom w:val="single" w:sz="4" w:space="0" w:color="auto"/>
              <w:right w:val="single" w:sz="4" w:space="0" w:color="auto"/>
            </w:tcBorders>
            <w:vAlign w:val="center"/>
          </w:tcPr>
          <w:p w14:paraId="5D0DEB50"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5 (3-7)</w:t>
            </w:r>
          </w:p>
        </w:tc>
        <w:tc>
          <w:tcPr>
            <w:tcW w:w="1320" w:type="dxa"/>
            <w:tcBorders>
              <w:bottom w:val="single" w:sz="4" w:space="0" w:color="auto"/>
              <w:right w:val="single" w:sz="4" w:space="0" w:color="auto"/>
            </w:tcBorders>
            <w:vAlign w:val="center"/>
          </w:tcPr>
          <w:p w14:paraId="7A093347"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(0-0)</w:t>
            </w:r>
          </w:p>
        </w:tc>
      </w:tr>
      <w:tr w:rsidR="00CD6187" w14:paraId="5A528DC4" w14:textId="77777777" w:rsidTr="00A4573A">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tcBorders>
          </w:tcPr>
          <w:p w14:paraId="1A93F026" w14:textId="77777777" w:rsidR="00CD6187" w:rsidRPr="00CF4276" w:rsidRDefault="00CD6187" w:rsidP="00A4573A">
            <w:pPr>
              <w:jc w:val="left"/>
              <w:rPr>
                <w:rFonts w:ascii="Arial" w:hAnsi="Arial" w:cs="Arial"/>
                <w:i w:val="0"/>
                <w:sz w:val="20"/>
                <w:szCs w:val="20"/>
                <w:lang w:val="es-ES"/>
              </w:rPr>
            </w:pPr>
            <w:r w:rsidRPr="00CF4276">
              <w:rPr>
                <w:rFonts w:ascii="Arial" w:hAnsi="Arial" w:cs="Arial"/>
                <w:i w:val="0"/>
                <w:sz w:val="20"/>
                <w:szCs w:val="20"/>
                <w:lang w:val="es-ES"/>
              </w:rPr>
              <w:t>Escala*</w:t>
            </w:r>
          </w:p>
        </w:tc>
        <w:tc>
          <w:tcPr>
            <w:tcW w:w="1418" w:type="dxa"/>
            <w:tcBorders>
              <w:top w:val="single" w:sz="4" w:space="0" w:color="auto"/>
              <w:right w:val="single" w:sz="4" w:space="0" w:color="auto"/>
            </w:tcBorders>
          </w:tcPr>
          <w:p w14:paraId="3870A9E3"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2826 (100%)</w:t>
            </w:r>
          </w:p>
        </w:tc>
        <w:tc>
          <w:tcPr>
            <w:tcW w:w="1417" w:type="dxa"/>
            <w:tcBorders>
              <w:top w:val="single" w:sz="4" w:space="0" w:color="auto"/>
              <w:right w:val="single" w:sz="4" w:space="0" w:color="auto"/>
            </w:tcBorders>
          </w:tcPr>
          <w:p w14:paraId="55323943"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2599 (92%)</w:t>
            </w:r>
          </w:p>
        </w:tc>
        <w:tc>
          <w:tcPr>
            <w:tcW w:w="1320" w:type="dxa"/>
            <w:tcBorders>
              <w:top w:val="single" w:sz="4" w:space="0" w:color="auto"/>
              <w:right w:val="single" w:sz="4" w:space="0" w:color="auto"/>
            </w:tcBorders>
          </w:tcPr>
          <w:p w14:paraId="02CBAA57"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227 (8%)</w:t>
            </w:r>
          </w:p>
        </w:tc>
      </w:tr>
      <w:tr w:rsidR="00CD6187" w14:paraId="29246F5C"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3" w:type="dxa"/>
            <w:tcBorders>
              <w:left w:val="single" w:sz="4" w:space="0" w:color="auto"/>
            </w:tcBorders>
          </w:tcPr>
          <w:p w14:paraId="2C1580F5" w14:textId="77777777" w:rsidR="00CD6187" w:rsidRPr="00CF4276" w:rsidRDefault="00CD6187" w:rsidP="00A4573A">
            <w:pPr>
              <w:jc w:val="center"/>
              <w:rPr>
                <w:rFonts w:ascii="Arial" w:hAnsi="Arial" w:cs="Arial"/>
                <w:i w:val="0"/>
                <w:sz w:val="20"/>
                <w:szCs w:val="20"/>
                <w:lang w:val="en-US"/>
              </w:rPr>
            </w:pPr>
            <w:r w:rsidRPr="00CF4276">
              <w:rPr>
                <w:rFonts w:ascii="Arial" w:hAnsi="Arial" w:cs="Arial"/>
                <w:i w:val="0"/>
                <w:sz w:val="20"/>
                <w:szCs w:val="20"/>
                <w:lang w:val="en-US"/>
              </w:rPr>
              <w:t>RASS</w:t>
            </w:r>
          </w:p>
        </w:tc>
        <w:tc>
          <w:tcPr>
            <w:tcW w:w="1418" w:type="dxa"/>
            <w:tcBorders>
              <w:right w:val="single" w:sz="4" w:space="0" w:color="auto"/>
            </w:tcBorders>
          </w:tcPr>
          <w:p w14:paraId="5000FEEF"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F4276">
              <w:rPr>
                <w:rFonts w:ascii="Arial" w:hAnsi="Arial" w:cs="Arial"/>
                <w:sz w:val="20"/>
                <w:szCs w:val="20"/>
              </w:rPr>
              <w:t xml:space="preserve">2200 </w:t>
            </w:r>
            <w:r w:rsidRPr="00CF4276">
              <w:rPr>
                <w:rFonts w:ascii="Arial" w:hAnsi="Arial" w:cs="Arial"/>
                <w:sz w:val="20"/>
                <w:szCs w:val="20"/>
                <w:lang w:val="es-ES"/>
              </w:rPr>
              <w:t>(77,8%)</w:t>
            </w:r>
          </w:p>
        </w:tc>
        <w:tc>
          <w:tcPr>
            <w:tcW w:w="1417" w:type="dxa"/>
            <w:tcBorders>
              <w:right w:val="single" w:sz="4" w:space="0" w:color="auto"/>
            </w:tcBorders>
          </w:tcPr>
          <w:p w14:paraId="5140FF0C"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F4276">
              <w:rPr>
                <w:rFonts w:ascii="Arial" w:hAnsi="Arial" w:cs="Arial"/>
                <w:sz w:val="20"/>
                <w:szCs w:val="20"/>
              </w:rPr>
              <w:t>2124 (81,7%)</w:t>
            </w:r>
          </w:p>
        </w:tc>
        <w:tc>
          <w:tcPr>
            <w:tcW w:w="1320" w:type="dxa"/>
            <w:tcBorders>
              <w:right w:val="single" w:sz="4" w:space="0" w:color="auto"/>
            </w:tcBorders>
          </w:tcPr>
          <w:p w14:paraId="45856299"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F4276">
              <w:rPr>
                <w:rFonts w:ascii="Arial" w:hAnsi="Arial" w:cs="Arial"/>
                <w:sz w:val="20"/>
                <w:szCs w:val="20"/>
              </w:rPr>
              <w:t>76 (33,4%)</w:t>
            </w:r>
          </w:p>
        </w:tc>
      </w:tr>
      <w:tr w:rsidR="00CD6187" w14:paraId="57907C7A" w14:textId="77777777" w:rsidTr="00A4573A">
        <w:tc>
          <w:tcPr>
            <w:cnfStyle w:val="001000000000" w:firstRow="0" w:lastRow="0" w:firstColumn="1" w:lastColumn="0" w:oddVBand="0" w:evenVBand="0" w:oddHBand="0" w:evenHBand="0" w:firstRowFirstColumn="0" w:firstRowLastColumn="0" w:lastRowFirstColumn="0" w:lastRowLastColumn="0"/>
            <w:tcW w:w="4673" w:type="dxa"/>
            <w:tcBorders>
              <w:left w:val="single" w:sz="4" w:space="0" w:color="auto"/>
            </w:tcBorders>
          </w:tcPr>
          <w:p w14:paraId="75D0E5D9" w14:textId="77777777" w:rsidR="00CD6187" w:rsidRPr="00CF4276" w:rsidRDefault="00CD6187" w:rsidP="00A4573A">
            <w:pPr>
              <w:jc w:val="center"/>
              <w:rPr>
                <w:rFonts w:ascii="Arial" w:hAnsi="Arial" w:cs="Arial"/>
                <w:i w:val="0"/>
                <w:sz w:val="20"/>
                <w:szCs w:val="20"/>
                <w:lang w:val="es-ES"/>
              </w:rPr>
            </w:pPr>
            <w:r w:rsidRPr="00CF4276">
              <w:rPr>
                <w:rFonts w:ascii="Arial" w:hAnsi="Arial" w:cs="Arial"/>
                <w:i w:val="0"/>
                <w:sz w:val="20"/>
                <w:szCs w:val="20"/>
                <w:lang w:val="es-ES"/>
              </w:rPr>
              <w:t>SAS</w:t>
            </w:r>
          </w:p>
        </w:tc>
        <w:tc>
          <w:tcPr>
            <w:tcW w:w="1418" w:type="dxa"/>
            <w:tcBorders>
              <w:right w:val="single" w:sz="4" w:space="0" w:color="auto"/>
            </w:tcBorders>
          </w:tcPr>
          <w:p w14:paraId="6A0EB655"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78 (2,8%)</w:t>
            </w:r>
          </w:p>
        </w:tc>
        <w:tc>
          <w:tcPr>
            <w:tcW w:w="1417" w:type="dxa"/>
            <w:tcBorders>
              <w:right w:val="single" w:sz="4" w:space="0" w:color="auto"/>
            </w:tcBorders>
          </w:tcPr>
          <w:p w14:paraId="5175C880"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76 (2,9%)</w:t>
            </w:r>
          </w:p>
        </w:tc>
        <w:tc>
          <w:tcPr>
            <w:tcW w:w="1320" w:type="dxa"/>
            <w:tcBorders>
              <w:right w:val="single" w:sz="4" w:space="0" w:color="auto"/>
            </w:tcBorders>
          </w:tcPr>
          <w:p w14:paraId="2E99A660"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 (0,9%)</w:t>
            </w:r>
          </w:p>
        </w:tc>
      </w:tr>
      <w:tr w:rsidR="00CD6187" w14:paraId="17871C47"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3" w:type="dxa"/>
            <w:tcBorders>
              <w:left w:val="single" w:sz="4" w:space="0" w:color="auto"/>
            </w:tcBorders>
          </w:tcPr>
          <w:p w14:paraId="5D0438B9" w14:textId="77777777" w:rsidR="00CD6187" w:rsidRPr="00CF4276" w:rsidRDefault="00CD6187" w:rsidP="00A4573A">
            <w:pPr>
              <w:jc w:val="center"/>
              <w:rPr>
                <w:rFonts w:ascii="Arial" w:hAnsi="Arial" w:cs="Arial"/>
                <w:i w:val="0"/>
                <w:sz w:val="20"/>
                <w:szCs w:val="20"/>
                <w:lang w:val="es-ES"/>
              </w:rPr>
            </w:pPr>
            <w:r w:rsidRPr="00CF4276">
              <w:rPr>
                <w:rFonts w:ascii="Arial" w:hAnsi="Arial" w:cs="Arial"/>
                <w:i w:val="0"/>
                <w:sz w:val="20"/>
                <w:szCs w:val="20"/>
                <w:lang w:val="es-ES"/>
              </w:rPr>
              <w:t>GCS</w:t>
            </w:r>
          </w:p>
        </w:tc>
        <w:tc>
          <w:tcPr>
            <w:tcW w:w="1418" w:type="dxa"/>
            <w:tcBorders>
              <w:right w:val="single" w:sz="4" w:space="0" w:color="auto"/>
            </w:tcBorders>
          </w:tcPr>
          <w:p w14:paraId="0600FA56"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307 (10,9%)</w:t>
            </w:r>
          </w:p>
        </w:tc>
        <w:tc>
          <w:tcPr>
            <w:tcW w:w="1417" w:type="dxa"/>
            <w:tcBorders>
              <w:right w:val="single" w:sz="4" w:space="0" w:color="auto"/>
            </w:tcBorders>
          </w:tcPr>
          <w:p w14:paraId="6E9062A5"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213 (8,2%)</w:t>
            </w:r>
          </w:p>
        </w:tc>
        <w:tc>
          <w:tcPr>
            <w:tcW w:w="1320" w:type="dxa"/>
            <w:tcBorders>
              <w:right w:val="single" w:sz="4" w:space="0" w:color="auto"/>
            </w:tcBorders>
          </w:tcPr>
          <w:p w14:paraId="342556FE"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94 (41,4%)</w:t>
            </w:r>
          </w:p>
        </w:tc>
      </w:tr>
      <w:tr w:rsidR="00CD6187" w14:paraId="588A18A2" w14:textId="77777777" w:rsidTr="00A4573A">
        <w:tc>
          <w:tcPr>
            <w:cnfStyle w:val="001000000000" w:firstRow="0" w:lastRow="0" w:firstColumn="1" w:lastColumn="0" w:oddVBand="0" w:evenVBand="0" w:oddHBand="0" w:evenHBand="0" w:firstRowFirstColumn="0" w:firstRowLastColumn="0" w:lastRowFirstColumn="0" w:lastRowLastColumn="0"/>
            <w:tcW w:w="4673" w:type="dxa"/>
            <w:tcBorders>
              <w:left w:val="single" w:sz="4" w:space="0" w:color="auto"/>
            </w:tcBorders>
          </w:tcPr>
          <w:p w14:paraId="355486A4" w14:textId="77777777" w:rsidR="00CD6187" w:rsidRPr="00CF4276" w:rsidRDefault="00CD6187" w:rsidP="00A4573A">
            <w:pPr>
              <w:jc w:val="center"/>
              <w:rPr>
                <w:rFonts w:ascii="Arial" w:hAnsi="Arial" w:cs="Arial"/>
                <w:i w:val="0"/>
                <w:sz w:val="20"/>
                <w:szCs w:val="20"/>
                <w:lang w:val="en-US"/>
              </w:rPr>
            </w:pPr>
            <w:r w:rsidRPr="00CF4276">
              <w:rPr>
                <w:rFonts w:ascii="Arial" w:hAnsi="Arial" w:cs="Arial"/>
                <w:i w:val="0"/>
                <w:sz w:val="20"/>
                <w:szCs w:val="20"/>
                <w:lang w:val="en-US"/>
              </w:rPr>
              <w:t>FOUR</w:t>
            </w:r>
          </w:p>
        </w:tc>
        <w:tc>
          <w:tcPr>
            <w:tcW w:w="1418" w:type="dxa"/>
            <w:tcBorders>
              <w:right w:val="single" w:sz="4" w:space="0" w:color="auto"/>
            </w:tcBorders>
          </w:tcPr>
          <w:p w14:paraId="06BE19EC"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241 (8,5%)</w:t>
            </w:r>
          </w:p>
        </w:tc>
        <w:tc>
          <w:tcPr>
            <w:tcW w:w="1417" w:type="dxa"/>
            <w:tcBorders>
              <w:right w:val="single" w:sz="4" w:space="0" w:color="auto"/>
            </w:tcBorders>
          </w:tcPr>
          <w:p w14:paraId="45F52C21"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 xml:space="preserve">186 (7,1%) </w:t>
            </w:r>
          </w:p>
        </w:tc>
        <w:tc>
          <w:tcPr>
            <w:tcW w:w="1320" w:type="dxa"/>
            <w:tcBorders>
              <w:right w:val="single" w:sz="4" w:space="0" w:color="auto"/>
            </w:tcBorders>
          </w:tcPr>
          <w:p w14:paraId="69AACD12"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55 (24,2%)</w:t>
            </w:r>
          </w:p>
        </w:tc>
      </w:tr>
      <w:tr w:rsidR="00CD6187" w14:paraId="28AD56C3"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3" w:type="dxa"/>
            <w:tcBorders>
              <w:left w:val="single" w:sz="4" w:space="0" w:color="auto"/>
            </w:tcBorders>
          </w:tcPr>
          <w:p w14:paraId="44DFEAAC" w14:textId="77777777" w:rsidR="00CD6187" w:rsidRPr="00CF4276" w:rsidRDefault="00CD6187" w:rsidP="00A4573A">
            <w:pPr>
              <w:jc w:val="left"/>
              <w:rPr>
                <w:rFonts w:ascii="Arial" w:hAnsi="Arial" w:cs="Arial"/>
                <w:i w:val="0"/>
                <w:sz w:val="20"/>
                <w:szCs w:val="20"/>
                <w:lang w:val="es-ES"/>
              </w:rPr>
            </w:pPr>
            <w:r w:rsidRPr="00CF4276">
              <w:rPr>
                <w:rFonts w:ascii="Arial" w:hAnsi="Arial" w:cs="Arial"/>
                <w:i w:val="0"/>
                <w:sz w:val="20"/>
                <w:szCs w:val="20"/>
                <w:lang w:val="es-ES"/>
              </w:rPr>
              <w:t>Resultado escala de sedación</w:t>
            </w:r>
          </w:p>
        </w:tc>
        <w:tc>
          <w:tcPr>
            <w:tcW w:w="1418" w:type="dxa"/>
            <w:tcBorders>
              <w:right w:val="single" w:sz="4" w:space="0" w:color="auto"/>
            </w:tcBorders>
          </w:tcPr>
          <w:p w14:paraId="5D3AB0EF"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c>
          <w:tcPr>
            <w:tcW w:w="1417" w:type="dxa"/>
            <w:tcBorders>
              <w:right w:val="single" w:sz="4" w:space="0" w:color="auto"/>
            </w:tcBorders>
          </w:tcPr>
          <w:p w14:paraId="2FA2A29B"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c>
          <w:tcPr>
            <w:tcW w:w="1320" w:type="dxa"/>
            <w:tcBorders>
              <w:right w:val="single" w:sz="4" w:space="0" w:color="auto"/>
            </w:tcBorders>
          </w:tcPr>
          <w:p w14:paraId="0D44EFB9"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r>
      <w:tr w:rsidR="00CD6187" w14:paraId="137EED34" w14:textId="77777777" w:rsidTr="00A4573A">
        <w:tc>
          <w:tcPr>
            <w:cnfStyle w:val="001000000000" w:firstRow="0" w:lastRow="0" w:firstColumn="1" w:lastColumn="0" w:oddVBand="0" w:evenVBand="0" w:oddHBand="0" w:evenHBand="0" w:firstRowFirstColumn="0" w:firstRowLastColumn="0" w:lastRowFirstColumn="0" w:lastRowLastColumn="0"/>
            <w:tcW w:w="4673" w:type="dxa"/>
            <w:tcBorders>
              <w:left w:val="single" w:sz="4" w:space="0" w:color="auto"/>
            </w:tcBorders>
          </w:tcPr>
          <w:p w14:paraId="1CE6466B" w14:textId="77777777" w:rsidR="00CD6187" w:rsidRPr="00CF4276" w:rsidRDefault="00CD6187" w:rsidP="00A4573A">
            <w:pPr>
              <w:jc w:val="center"/>
              <w:rPr>
                <w:rFonts w:ascii="Arial" w:hAnsi="Arial" w:cs="Arial"/>
                <w:i w:val="0"/>
                <w:sz w:val="20"/>
                <w:szCs w:val="20"/>
                <w:lang w:val="en-US"/>
              </w:rPr>
            </w:pPr>
            <w:r w:rsidRPr="00CF4276">
              <w:rPr>
                <w:rFonts w:ascii="Arial" w:hAnsi="Arial" w:cs="Arial"/>
                <w:i w:val="0"/>
                <w:sz w:val="20"/>
                <w:szCs w:val="20"/>
                <w:lang w:val="en-US"/>
              </w:rPr>
              <w:t>RASS</w:t>
            </w:r>
          </w:p>
        </w:tc>
        <w:tc>
          <w:tcPr>
            <w:tcW w:w="1418" w:type="dxa"/>
            <w:tcBorders>
              <w:right w:val="single" w:sz="4" w:space="0" w:color="auto"/>
            </w:tcBorders>
          </w:tcPr>
          <w:p w14:paraId="4928269A"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 (-4 - 0)</w:t>
            </w:r>
          </w:p>
        </w:tc>
        <w:tc>
          <w:tcPr>
            <w:tcW w:w="1417" w:type="dxa"/>
            <w:tcBorders>
              <w:right w:val="single" w:sz="4" w:space="0" w:color="auto"/>
            </w:tcBorders>
          </w:tcPr>
          <w:p w14:paraId="245DB079"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 (-4 - 0)</w:t>
            </w:r>
          </w:p>
        </w:tc>
        <w:tc>
          <w:tcPr>
            <w:tcW w:w="1320" w:type="dxa"/>
            <w:tcBorders>
              <w:right w:val="single" w:sz="4" w:space="0" w:color="auto"/>
            </w:tcBorders>
          </w:tcPr>
          <w:p w14:paraId="3947D338"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(-3 - 0)</w:t>
            </w:r>
          </w:p>
        </w:tc>
      </w:tr>
      <w:tr w:rsidR="00CD6187" w14:paraId="11D49C82"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3" w:type="dxa"/>
            <w:tcBorders>
              <w:left w:val="single" w:sz="4" w:space="0" w:color="auto"/>
            </w:tcBorders>
          </w:tcPr>
          <w:p w14:paraId="075E9FE9" w14:textId="77777777" w:rsidR="00CD6187" w:rsidRPr="00CF4276" w:rsidRDefault="00CD6187" w:rsidP="00A4573A">
            <w:pPr>
              <w:jc w:val="center"/>
              <w:rPr>
                <w:rFonts w:ascii="Arial" w:hAnsi="Arial" w:cs="Arial"/>
                <w:i w:val="0"/>
                <w:sz w:val="20"/>
                <w:szCs w:val="20"/>
                <w:lang w:val="es-ES"/>
              </w:rPr>
            </w:pPr>
            <w:r w:rsidRPr="00CF4276">
              <w:rPr>
                <w:rFonts w:ascii="Arial" w:hAnsi="Arial" w:cs="Arial"/>
                <w:i w:val="0"/>
                <w:sz w:val="20"/>
                <w:szCs w:val="20"/>
                <w:lang w:val="es-ES"/>
              </w:rPr>
              <w:t>SAS</w:t>
            </w:r>
          </w:p>
        </w:tc>
        <w:tc>
          <w:tcPr>
            <w:tcW w:w="1418" w:type="dxa"/>
            <w:tcBorders>
              <w:right w:val="single" w:sz="4" w:space="0" w:color="auto"/>
            </w:tcBorders>
          </w:tcPr>
          <w:p w14:paraId="54297414"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 (1 - 4)</w:t>
            </w:r>
          </w:p>
        </w:tc>
        <w:tc>
          <w:tcPr>
            <w:tcW w:w="1417" w:type="dxa"/>
            <w:tcBorders>
              <w:right w:val="single" w:sz="4" w:space="0" w:color="auto"/>
            </w:tcBorders>
          </w:tcPr>
          <w:p w14:paraId="5556F337"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 (1 - 4)</w:t>
            </w:r>
          </w:p>
        </w:tc>
        <w:tc>
          <w:tcPr>
            <w:tcW w:w="1320" w:type="dxa"/>
            <w:tcBorders>
              <w:right w:val="single" w:sz="4" w:space="0" w:color="auto"/>
            </w:tcBorders>
          </w:tcPr>
          <w:p w14:paraId="03BD578E" w14:textId="41F44EEE" w:rsidR="00CD6187" w:rsidRPr="00CF4276" w:rsidRDefault="00CF4276"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4</w:t>
            </w:r>
            <w:r w:rsidR="00CD6187" w:rsidRPr="00CF4276">
              <w:rPr>
                <w:rFonts w:ascii="Arial" w:hAnsi="Arial" w:cs="Arial"/>
                <w:sz w:val="20"/>
                <w:szCs w:val="20"/>
                <w:lang w:val="es-ES"/>
              </w:rPr>
              <w:t>(4-5)</w:t>
            </w:r>
          </w:p>
        </w:tc>
      </w:tr>
      <w:tr w:rsidR="00CD6187" w14:paraId="5E991BC5" w14:textId="77777777" w:rsidTr="00A4573A">
        <w:tc>
          <w:tcPr>
            <w:cnfStyle w:val="001000000000" w:firstRow="0" w:lastRow="0" w:firstColumn="1" w:lastColumn="0" w:oddVBand="0" w:evenVBand="0" w:oddHBand="0" w:evenHBand="0" w:firstRowFirstColumn="0" w:firstRowLastColumn="0" w:lastRowFirstColumn="0" w:lastRowLastColumn="0"/>
            <w:tcW w:w="4673" w:type="dxa"/>
            <w:tcBorders>
              <w:left w:val="single" w:sz="4" w:space="0" w:color="auto"/>
            </w:tcBorders>
          </w:tcPr>
          <w:p w14:paraId="2484EA5D" w14:textId="77777777" w:rsidR="00CD6187" w:rsidRPr="00CF4276" w:rsidRDefault="00CD6187" w:rsidP="00A4573A">
            <w:pPr>
              <w:jc w:val="center"/>
              <w:rPr>
                <w:rFonts w:ascii="Arial" w:hAnsi="Arial" w:cs="Arial"/>
                <w:i w:val="0"/>
                <w:sz w:val="20"/>
                <w:szCs w:val="20"/>
                <w:lang w:val="es-ES"/>
              </w:rPr>
            </w:pPr>
            <w:r w:rsidRPr="00CF4276">
              <w:rPr>
                <w:rFonts w:ascii="Arial" w:hAnsi="Arial" w:cs="Arial"/>
                <w:i w:val="0"/>
                <w:sz w:val="20"/>
                <w:szCs w:val="20"/>
                <w:lang w:val="es-ES"/>
              </w:rPr>
              <w:t>GCS</w:t>
            </w:r>
          </w:p>
        </w:tc>
        <w:tc>
          <w:tcPr>
            <w:tcW w:w="1418" w:type="dxa"/>
            <w:tcBorders>
              <w:right w:val="single" w:sz="4" w:space="0" w:color="auto"/>
            </w:tcBorders>
          </w:tcPr>
          <w:p w14:paraId="1A1FC209"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15 (12-15)</w:t>
            </w:r>
          </w:p>
        </w:tc>
        <w:tc>
          <w:tcPr>
            <w:tcW w:w="1417" w:type="dxa"/>
            <w:tcBorders>
              <w:right w:val="single" w:sz="4" w:space="0" w:color="auto"/>
            </w:tcBorders>
          </w:tcPr>
          <w:p w14:paraId="4F639B5A"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14 (11-15)</w:t>
            </w:r>
          </w:p>
        </w:tc>
        <w:tc>
          <w:tcPr>
            <w:tcW w:w="1320" w:type="dxa"/>
            <w:tcBorders>
              <w:right w:val="single" w:sz="4" w:space="0" w:color="auto"/>
            </w:tcBorders>
          </w:tcPr>
          <w:p w14:paraId="3B4B9B7F"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16 (8-16)</w:t>
            </w:r>
          </w:p>
        </w:tc>
      </w:tr>
      <w:tr w:rsidR="00CD6187" w14:paraId="2C05EDEE"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3" w:type="dxa"/>
            <w:tcBorders>
              <w:left w:val="single" w:sz="4" w:space="0" w:color="auto"/>
              <w:bottom w:val="single" w:sz="4" w:space="0" w:color="auto"/>
            </w:tcBorders>
          </w:tcPr>
          <w:p w14:paraId="32CB3D18" w14:textId="77777777" w:rsidR="00CD6187" w:rsidRPr="00CF4276" w:rsidRDefault="00CD6187" w:rsidP="00A4573A">
            <w:pPr>
              <w:jc w:val="center"/>
              <w:rPr>
                <w:rFonts w:ascii="Arial" w:hAnsi="Arial" w:cs="Arial"/>
                <w:i w:val="0"/>
                <w:sz w:val="20"/>
                <w:szCs w:val="20"/>
                <w:lang w:val="en-US"/>
              </w:rPr>
            </w:pPr>
            <w:r w:rsidRPr="00CF4276">
              <w:rPr>
                <w:rFonts w:ascii="Arial" w:hAnsi="Arial" w:cs="Arial"/>
                <w:i w:val="0"/>
                <w:sz w:val="20"/>
                <w:szCs w:val="20"/>
                <w:lang w:val="en-US"/>
              </w:rPr>
              <w:t>FOUR</w:t>
            </w:r>
          </w:p>
        </w:tc>
        <w:tc>
          <w:tcPr>
            <w:tcW w:w="1418" w:type="dxa"/>
            <w:tcBorders>
              <w:bottom w:val="single" w:sz="4" w:space="0" w:color="auto"/>
              <w:right w:val="single" w:sz="4" w:space="0" w:color="auto"/>
            </w:tcBorders>
          </w:tcPr>
          <w:p w14:paraId="39F3841B"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15 (11-16)</w:t>
            </w:r>
          </w:p>
        </w:tc>
        <w:tc>
          <w:tcPr>
            <w:tcW w:w="1417" w:type="dxa"/>
            <w:tcBorders>
              <w:bottom w:val="single" w:sz="4" w:space="0" w:color="auto"/>
              <w:right w:val="single" w:sz="4" w:space="0" w:color="auto"/>
            </w:tcBorders>
          </w:tcPr>
          <w:p w14:paraId="4E1FD719"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15 (11-16)</w:t>
            </w:r>
          </w:p>
        </w:tc>
        <w:tc>
          <w:tcPr>
            <w:tcW w:w="1320" w:type="dxa"/>
            <w:tcBorders>
              <w:bottom w:val="single" w:sz="4" w:space="0" w:color="auto"/>
              <w:right w:val="single" w:sz="4" w:space="0" w:color="auto"/>
            </w:tcBorders>
          </w:tcPr>
          <w:p w14:paraId="368BCB60"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15 (14-15)</w:t>
            </w:r>
          </w:p>
        </w:tc>
      </w:tr>
      <w:tr w:rsidR="00CD6187" w14:paraId="75EB9465" w14:textId="77777777" w:rsidTr="00A4573A">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right w:val="single" w:sz="4" w:space="0" w:color="auto"/>
            </w:tcBorders>
          </w:tcPr>
          <w:p w14:paraId="7A8584F2" w14:textId="77777777" w:rsidR="00CD6187" w:rsidRPr="00CF4276" w:rsidRDefault="00CD6187" w:rsidP="00A4573A">
            <w:pPr>
              <w:jc w:val="left"/>
              <w:rPr>
                <w:rFonts w:ascii="Arial" w:hAnsi="Arial" w:cs="Arial"/>
                <w:i w:val="0"/>
                <w:sz w:val="20"/>
                <w:szCs w:val="20"/>
                <w:lang w:val="es-ES"/>
              </w:rPr>
            </w:pPr>
            <w:r w:rsidRPr="00CF4276">
              <w:rPr>
                <w:rFonts w:ascii="Arial" w:hAnsi="Arial" w:cs="Arial"/>
                <w:i w:val="0"/>
                <w:sz w:val="20"/>
                <w:szCs w:val="20"/>
                <w:lang w:val="es-ES"/>
              </w:rPr>
              <w:t xml:space="preserve">Profesional </w:t>
            </w:r>
          </w:p>
        </w:tc>
        <w:tc>
          <w:tcPr>
            <w:tcW w:w="1418" w:type="dxa"/>
            <w:tcBorders>
              <w:top w:val="single" w:sz="4" w:space="0" w:color="auto"/>
              <w:left w:val="single" w:sz="4" w:space="0" w:color="auto"/>
              <w:right w:val="single" w:sz="4" w:space="0" w:color="auto"/>
            </w:tcBorders>
          </w:tcPr>
          <w:p w14:paraId="6F4A2EAC"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p>
        </w:tc>
        <w:tc>
          <w:tcPr>
            <w:tcW w:w="1417" w:type="dxa"/>
            <w:tcBorders>
              <w:top w:val="single" w:sz="4" w:space="0" w:color="auto"/>
              <w:left w:val="single" w:sz="4" w:space="0" w:color="auto"/>
              <w:right w:val="single" w:sz="4" w:space="0" w:color="auto"/>
            </w:tcBorders>
          </w:tcPr>
          <w:p w14:paraId="0BED78F2"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p>
        </w:tc>
        <w:tc>
          <w:tcPr>
            <w:tcW w:w="1320" w:type="dxa"/>
            <w:tcBorders>
              <w:top w:val="single" w:sz="4" w:space="0" w:color="auto"/>
              <w:left w:val="single" w:sz="4" w:space="0" w:color="auto"/>
              <w:right w:val="single" w:sz="4" w:space="0" w:color="auto"/>
            </w:tcBorders>
          </w:tcPr>
          <w:p w14:paraId="30458427"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p>
        </w:tc>
      </w:tr>
      <w:tr w:rsidR="00CD6187" w14:paraId="7B37020B"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3" w:type="dxa"/>
            <w:tcBorders>
              <w:left w:val="single" w:sz="4" w:space="0" w:color="auto"/>
              <w:right w:val="single" w:sz="4" w:space="0" w:color="auto"/>
            </w:tcBorders>
          </w:tcPr>
          <w:p w14:paraId="69A8EACA" w14:textId="77777777" w:rsidR="00CD6187" w:rsidRPr="00CF4276" w:rsidRDefault="00CD6187" w:rsidP="00A4573A">
            <w:pPr>
              <w:jc w:val="center"/>
              <w:rPr>
                <w:rFonts w:ascii="Arial" w:hAnsi="Arial" w:cs="Arial"/>
                <w:i w:val="0"/>
                <w:sz w:val="20"/>
                <w:szCs w:val="20"/>
                <w:lang w:val="es-ES"/>
              </w:rPr>
            </w:pPr>
            <w:r w:rsidRPr="00CF4276">
              <w:rPr>
                <w:rFonts w:ascii="Arial" w:hAnsi="Arial" w:cs="Arial"/>
                <w:i w:val="0"/>
                <w:sz w:val="20"/>
                <w:szCs w:val="20"/>
                <w:lang w:val="es-ES"/>
              </w:rPr>
              <w:t>Enfermero de UCI</w:t>
            </w:r>
          </w:p>
        </w:tc>
        <w:tc>
          <w:tcPr>
            <w:tcW w:w="1418" w:type="dxa"/>
            <w:tcBorders>
              <w:left w:val="single" w:sz="4" w:space="0" w:color="auto"/>
              <w:right w:val="single" w:sz="4" w:space="0" w:color="auto"/>
            </w:tcBorders>
          </w:tcPr>
          <w:p w14:paraId="10442A37"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1758 (62,2%)</w:t>
            </w:r>
          </w:p>
        </w:tc>
        <w:tc>
          <w:tcPr>
            <w:tcW w:w="1417" w:type="dxa"/>
            <w:tcBorders>
              <w:left w:val="single" w:sz="4" w:space="0" w:color="auto"/>
              <w:right w:val="single" w:sz="4" w:space="0" w:color="auto"/>
            </w:tcBorders>
          </w:tcPr>
          <w:p w14:paraId="221449DD"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1611 (62%)</w:t>
            </w:r>
          </w:p>
        </w:tc>
        <w:tc>
          <w:tcPr>
            <w:tcW w:w="1320" w:type="dxa"/>
            <w:tcBorders>
              <w:left w:val="single" w:sz="4" w:space="0" w:color="auto"/>
              <w:right w:val="single" w:sz="4" w:space="0" w:color="auto"/>
            </w:tcBorders>
          </w:tcPr>
          <w:p w14:paraId="7F625A81"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147 (64,8%)</w:t>
            </w:r>
          </w:p>
        </w:tc>
      </w:tr>
      <w:tr w:rsidR="00CD6187" w14:paraId="079A8909" w14:textId="77777777" w:rsidTr="00A4573A">
        <w:tc>
          <w:tcPr>
            <w:cnfStyle w:val="001000000000" w:firstRow="0" w:lastRow="0" w:firstColumn="1" w:lastColumn="0" w:oddVBand="0" w:evenVBand="0" w:oddHBand="0" w:evenHBand="0" w:firstRowFirstColumn="0" w:firstRowLastColumn="0" w:lastRowFirstColumn="0" w:lastRowLastColumn="0"/>
            <w:tcW w:w="4673" w:type="dxa"/>
            <w:tcBorders>
              <w:left w:val="single" w:sz="4" w:space="0" w:color="auto"/>
              <w:right w:val="single" w:sz="4" w:space="0" w:color="auto"/>
            </w:tcBorders>
          </w:tcPr>
          <w:p w14:paraId="08565184" w14:textId="77777777" w:rsidR="00CD6187" w:rsidRPr="00CF4276" w:rsidRDefault="00CD6187" w:rsidP="00A4573A">
            <w:pPr>
              <w:jc w:val="center"/>
              <w:rPr>
                <w:rFonts w:ascii="Arial" w:hAnsi="Arial" w:cs="Arial"/>
                <w:i w:val="0"/>
                <w:sz w:val="20"/>
                <w:szCs w:val="20"/>
                <w:lang w:val="es-ES"/>
              </w:rPr>
            </w:pPr>
            <w:r w:rsidRPr="00CF4276">
              <w:rPr>
                <w:rFonts w:ascii="Arial" w:hAnsi="Arial" w:cs="Arial"/>
                <w:i w:val="0"/>
                <w:sz w:val="20"/>
                <w:szCs w:val="20"/>
                <w:lang w:val="es-ES"/>
              </w:rPr>
              <w:t>Kinesiólogo de UCI</w:t>
            </w:r>
          </w:p>
        </w:tc>
        <w:tc>
          <w:tcPr>
            <w:tcW w:w="1418" w:type="dxa"/>
            <w:tcBorders>
              <w:left w:val="single" w:sz="4" w:space="0" w:color="auto"/>
              <w:right w:val="single" w:sz="4" w:space="0" w:color="auto"/>
            </w:tcBorders>
          </w:tcPr>
          <w:p w14:paraId="7281EF9F"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771 (27,2%)</w:t>
            </w:r>
          </w:p>
        </w:tc>
        <w:tc>
          <w:tcPr>
            <w:tcW w:w="1417" w:type="dxa"/>
            <w:tcBorders>
              <w:left w:val="single" w:sz="4" w:space="0" w:color="auto"/>
              <w:right w:val="single" w:sz="4" w:space="0" w:color="auto"/>
            </w:tcBorders>
          </w:tcPr>
          <w:p w14:paraId="7DD28937"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714 (27,4%)</w:t>
            </w:r>
          </w:p>
        </w:tc>
        <w:tc>
          <w:tcPr>
            <w:tcW w:w="1320" w:type="dxa"/>
            <w:tcBorders>
              <w:left w:val="single" w:sz="4" w:space="0" w:color="auto"/>
              <w:right w:val="single" w:sz="4" w:space="0" w:color="auto"/>
            </w:tcBorders>
          </w:tcPr>
          <w:p w14:paraId="10E6F6E6"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57 (25%)</w:t>
            </w:r>
          </w:p>
        </w:tc>
      </w:tr>
      <w:tr w:rsidR="00CD6187" w14:paraId="0F7EB16A"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3" w:type="dxa"/>
            <w:tcBorders>
              <w:left w:val="single" w:sz="4" w:space="0" w:color="auto"/>
              <w:right w:val="single" w:sz="4" w:space="0" w:color="auto"/>
            </w:tcBorders>
          </w:tcPr>
          <w:p w14:paraId="4E87C994" w14:textId="77777777" w:rsidR="00CD6187" w:rsidRPr="00CF4276" w:rsidRDefault="00CD6187" w:rsidP="00A4573A">
            <w:pPr>
              <w:jc w:val="center"/>
              <w:rPr>
                <w:rFonts w:ascii="Arial" w:hAnsi="Arial" w:cs="Arial"/>
                <w:i w:val="0"/>
                <w:sz w:val="20"/>
                <w:szCs w:val="20"/>
                <w:lang w:val="es-ES"/>
              </w:rPr>
            </w:pPr>
            <w:r w:rsidRPr="00CF4276">
              <w:rPr>
                <w:rFonts w:ascii="Arial" w:hAnsi="Arial" w:cs="Arial"/>
                <w:i w:val="0"/>
                <w:sz w:val="20"/>
                <w:szCs w:val="20"/>
                <w:lang w:val="es-ES"/>
              </w:rPr>
              <w:t>Médico Residente</w:t>
            </w:r>
          </w:p>
        </w:tc>
        <w:tc>
          <w:tcPr>
            <w:tcW w:w="1418" w:type="dxa"/>
            <w:tcBorders>
              <w:left w:val="single" w:sz="4" w:space="0" w:color="auto"/>
              <w:right w:val="single" w:sz="4" w:space="0" w:color="auto"/>
            </w:tcBorders>
          </w:tcPr>
          <w:p w14:paraId="4A4D0C28"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284 (10%)</w:t>
            </w:r>
          </w:p>
        </w:tc>
        <w:tc>
          <w:tcPr>
            <w:tcW w:w="1417" w:type="dxa"/>
            <w:tcBorders>
              <w:left w:val="single" w:sz="4" w:space="0" w:color="auto"/>
              <w:right w:val="single" w:sz="4" w:space="0" w:color="auto"/>
            </w:tcBorders>
          </w:tcPr>
          <w:p w14:paraId="08D828C3"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264 (10,2%)</w:t>
            </w:r>
          </w:p>
        </w:tc>
        <w:tc>
          <w:tcPr>
            <w:tcW w:w="1320" w:type="dxa"/>
            <w:tcBorders>
              <w:left w:val="single" w:sz="4" w:space="0" w:color="auto"/>
              <w:right w:val="single" w:sz="4" w:space="0" w:color="auto"/>
            </w:tcBorders>
          </w:tcPr>
          <w:p w14:paraId="67A0663A"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20 (8,8%)</w:t>
            </w:r>
          </w:p>
        </w:tc>
      </w:tr>
      <w:tr w:rsidR="00CD6187" w14:paraId="3FDAF6FD" w14:textId="77777777" w:rsidTr="00A4573A">
        <w:tc>
          <w:tcPr>
            <w:cnfStyle w:val="001000000000" w:firstRow="0" w:lastRow="0" w:firstColumn="1" w:lastColumn="0" w:oddVBand="0" w:evenVBand="0" w:oddHBand="0" w:evenHBand="0" w:firstRowFirstColumn="0" w:firstRowLastColumn="0" w:lastRowFirstColumn="0" w:lastRowLastColumn="0"/>
            <w:tcW w:w="4673" w:type="dxa"/>
            <w:tcBorders>
              <w:left w:val="single" w:sz="4" w:space="0" w:color="auto"/>
              <w:right w:val="single" w:sz="4" w:space="0" w:color="auto"/>
            </w:tcBorders>
          </w:tcPr>
          <w:p w14:paraId="0A68EA08" w14:textId="77777777" w:rsidR="00CD6187" w:rsidRPr="00CF4276" w:rsidRDefault="00CD6187" w:rsidP="00A4573A">
            <w:pPr>
              <w:jc w:val="center"/>
              <w:rPr>
                <w:rFonts w:ascii="Arial" w:hAnsi="Arial" w:cs="Arial"/>
                <w:i w:val="0"/>
                <w:sz w:val="20"/>
                <w:szCs w:val="20"/>
                <w:lang w:val="es-ES"/>
              </w:rPr>
            </w:pPr>
            <w:r w:rsidRPr="00CF4276">
              <w:rPr>
                <w:rFonts w:ascii="Arial" w:hAnsi="Arial" w:cs="Arial"/>
                <w:i w:val="0"/>
                <w:sz w:val="20"/>
                <w:szCs w:val="20"/>
                <w:lang w:val="es-ES"/>
              </w:rPr>
              <w:t>Neurocirujano</w:t>
            </w:r>
          </w:p>
        </w:tc>
        <w:tc>
          <w:tcPr>
            <w:tcW w:w="1418" w:type="dxa"/>
            <w:tcBorders>
              <w:left w:val="single" w:sz="4" w:space="0" w:color="auto"/>
              <w:right w:val="single" w:sz="4" w:space="0" w:color="auto"/>
            </w:tcBorders>
          </w:tcPr>
          <w:p w14:paraId="75E6E30F"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9 (0,3%)</w:t>
            </w:r>
          </w:p>
        </w:tc>
        <w:tc>
          <w:tcPr>
            <w:tcW w:w="1417" w:type="dxa"/>
            <w:tcBorders>
              <w:left w:val="single" w:sz="4" w:space="0" w:color="auto"/>
              <w:right w:val="single" w:sz="4" w:space="0" w:color="auto"/>
            </w:tcBorders>
          </w:tcPr>
          <w:p w14:paraId="35A1B275"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6 (0,23%)</w:t>
            </w:r>
          </w:p>
        </w:tc>
        <w:tc>
          <w:tcPr>
            <w:tcW w:w="1320" w:type="dxa"/>
            <w:tcBorders>
              <w:left w:val="single" w:sz="4" w:space="0" w:color="auto"/>
              <w:right w:val="single" w:sz="4" w:space="0" w:color="auto"/>
            </w:tcBorders>
          </w:tcPr>
          <w:p w14:paraId="1747FDA9"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3 (1,3%)</w:t>
            </w:r>
          </w:p>
        </w:tc>
      </w:tr>
      <w:tr w:rsidR="00CD6187" w14:paraId="49B89E91"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3" w:type="dxa"/>
            <w:tcBorders>
              <w:left w:val="single" w:sz="4" w:space="0" w:color="auto"/>
              <w:right w:val="single" w:sz="4" w:space="0" w:color="auto"/>
            </w:tcBorders>
          </w:tcPr>
          <w:p w14:paraId="4E422366" w14:textId="77777777" w:rsidR="00CD6187" w:rsidRPr="00CF4276" w:rsidRDefault="00CD6187" w:rsidP="00A4573A">
            <w:pPr>
              <w:jc w:val="center"/>
              <w:rPr>
                <w:rFonts w:ascii="Arial" w:hAnsi="Arial" w:cs="Arial"/>
                <w:i w:val="0"/>
                <w:sz w:val="20"/>
                <w:szCs w:val="20"/>
                <w:lang w:val="es-ES"/>
              </w:rPr>
            </w:pPr>
            <w:r w:rsidRPr="00CF4276">
              <w:rPr>
                <w:rFonts w:ascii="Arial" w:hAnsi="Arial" w:cs="Arial"/>
                <w:i w:val="0"/>
                <w:sz w:val="20"/>
                <w:szCs w:val="20"/>
                <w:lang w:val="es-ES"/>
              </w:rPr>
              <w:t>Químico Farmacéutico</w:t>
            </w:r>
          </w:p>
        </w:tc>
        <w:tc>
          <w:tcPr>
            <w:tcW w:w="1418" w:type="dxa"/>
            <w:tcBorders>
              <w:left w:val="single" w:sz="4" w:space="0" w:color="auto"/>
              <w:right w:val="single" w:sz="4" w:space="0" w:color="auto"/>
            </w:tcBorders>
          </w:tcPr>
          <w:p w14:paraId="5A54D193" w14:textId="3AB32903"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3</w:t>
            </w:r>
            <w:r w:rsidR="00A54467" w:rsidRPr="00CF4276">
              <w:rPr>
                <w:rFonts w:ascii="Arial" w:hAnsi="Arial" w:cs="Arial"/>
                <w:sz w:val="20"/>
                <w:szCs w:val="20"/>
                <w:lang w:val="es-ES"/>
              </w:rPr>
              <w:t xml:space="preserve"> </w:t>
            </w:r>
            <w:r w:rsidRPr="00CF4276">
              <w:rPr>
                <w:rFonts w:ascii="Arial" w:hAnsi="Arial" w:cs="Arial"/>
                <w:sz w:val="20"/>
                <w:szCs w:val="20"/>
                <w:lang w:val="es-ES"/>
              </w:rPr>
              <w:t>(0,1%)</w:t>
            </w:r>
          </w:p>
        </w:tc>
        <w:tc>
          <w:tcPr>
            <w:tcW w:w="1417" w:type="dxa"/>
            <w:tcBorders>
              <w:left w:val="single" w:sz="4" w:space="0" w:color="auto"/>
              <w:right w:val="single" w:sz="4" w:space="0" w:color="auto"/>
            </w:tcBorders>
          </w:tcPr>
          <w:p w14:paraId="02F8E639"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3 (0,1%)</w:t>
            </w:r>
          </w:p>
        </w:tc>
        <w:tc>
          <w:tcPr>
            <w:tcW w:w="1320" w:type="dxa"/>
            <w:tcBorders>
              <w:left w:val="single" w:sz="4" w:space="0" w:color="auto"/>
              <w:right w:val="single" w:sz="4" w:space="0" w:color="auto"/>
            </w:tcBorders>
          </w:tcPr>
          <w:p w14:paraId="21A4C8D0"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r>
      <w:tr w:rsidR="00CD6187" w14:paraId="3378A82B" w14:textId="77777777" w:rsidTr="00A4573A">
        <w:tc>
          <w:tcPr>
            <w:cnfStyle w:val="001000000000" w:firstRow="0" w:lastRow="0" w:firstColumn="1" w:lastColumn="0" w:oddVBand="0" w:evenVBand="0" w:oddHBand="0" w:evenHBand="0" w:firstRowFirstColumn="0" w:firstRowLastColumn="0" w:lastRowFirstColumn="0" w:lastRowLastColumn="0"/>
            <w:tcW w:w="4673" w:type="dxa"/>
            <w:tcBorders>
              <w:left w:val="single" w:sz="4" w:space="0" w:color="auto"/>
              <w:bottom w:val="single" w:sz="4" w:space="0" w:color="auto"/>
              <w:right w:val="single" w:sz="4" w:space="0" w:color="auto"/>
            </w:tcBorders>
          </w:tcPr>
          <w:p w14:paraId="4AA80AB3" w14:textId="77777777" w:rsidR="00CD6187" w:rsidRPr="00CF4276" w:rsidRDefault="00CD6187" w:rsidP="00A4573A">
            <w:pPr>
              <w:jc w:val="center"/>
              <w:rPr>
                <w:rFonts w:ascii="Arial" w:hAnsi="Arial" w:cs="Arial"/>
                <w:i w:val="0"/>
                <w:sz w:val="20"/>
                <w:szCs w:val="20"/>
                <w:lang w:val="es-ES"/>
              </w:rPr>
            </w:pPr>
            <w:r w:rsidRPr="00CF4276">
              <w:rPr>
                <w:rFonts w:ascii="Arial" w:hAnsi="Arial" w:cs="Arial"/>
                <w:i w:val="0"/>
                <w:sz w:val="20"/>
                <w:szCs w:val="20"/>
                <w:lang w:val="es-ES"/>
              </w:rPr>
              <w:t>Traumatólogo</w:t>
            </w:r>
          </w:p>
        </w:tc>
        <w:tc>
          <w:tcPr>
            <w:tcW w:w="1418" w:type="dxa"/>
            <w:tcBorders>
              <w:left w:val="single" w:sz="4" w:space="0" w:color="auto"/>
              <w:bottom w:val="single" w:sz="4" w:space="0" w:color="auto"/>
              <w:right w:val="single" w:sz="4" w:space="0" w:color="auto"/>
            </w:tcBorders>
          </w:tcPr>
          <w:p w14:paraId="2BAF4FB1"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 (0,03%)</w:t>
            </w:r>
          </w:p>
        </w:tc>
        <w:tc>
          <w:tcPr>
            <w:tcW w:w="1417" w:type="dxa"/>
            <w:tcBorders>
              <w:left w:val="single" w:sz="4" w:space="0" w:color="auto"/>
              <w:bottom w:val="single" w:sz="4" w:space="0" w:color="auto"/>
              <w:right w:val="single" w:sz="4" w:space="0" w:color="auto"/>
            </w:tcBorders>
          </w:tcPr>
          <w:p w14:paraId="7F910AE5"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 (0,03%)</w:t>
            </w:r>
          </w:p>
        </w:tc>
        <w:tc>
          <w:tcPr>
            <w:tcW w:w="1320" w:type="dxa"/>
            <w:tcBorders>
              <w:left w:val="single" w:sz="4" w:space="0" w:color="auto"/>
              <w:bottom w:val="single" w:sz="4" w:space="0" w:color="auto"/>
              <w:right w:val="single" w:sz="4" w:space="0" w:color="auto"/>
            </w:tcBorders>
          </w:tcPr>
          <w:p w14:paraId="7A5BEBF9"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r>
      <w:tr w:rsidR="00CD6187" w:rsidRPr="00DC122E" w14:paraId="31A36530"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4"/>
            <w:tcBorders>
              <w:top w:val="single" w:sz="4" w:space="0" w:color="auto"/>
              <w:left w:val="single" w:sz="4" w:space="0" w:color="auto"/>
              <w:bottom w:val="single" w:sz="4" w:space="0" w:color="auto"/>
              <w:right w:val="single" w:sz="4" w:space="0" w:color="auto"/>
            </w:tcBorders>
          </w:tcPr>
          <w:p w14:paraId="36D84513" w14:textId="77777777" w:rsidR="00CD6187" w:rsidRPr="00CF4276" w:rsidRDefault="00CD6187" w:rsidP="00A4573A">
            <w:pPr>
              <w:jc w:val="left"/>
              <w:rPr>
                <w:rFonts w:ascii="Arial" w:hAnsi="Arial" w:cs="Arial"/>
                <w:i w:val="0"/>
                <w:iCs w:val="0"/>
                <w:sz w:val="20"/>
                <w:szCs w:val="20"/>
                <w:lang w:val="es-ES"/>
              </w:rPr>
            </w:pPr>
            <w:r w:rsidRPr="00CF4276">
              <w:rPr>
                <w:rFonts w:ascii="Arial" w:hAnsi="Arial" w:cs="Arial"/>
                <w:i w:val="0"/>
                <w:sz w:val="20"/>
                <w:szCs w:val="20"/>
                <w:lang w:val="es-ES"/>
              </w:rPr>
              <w:t xml:space="preserve">Datos presentados en frecuencia absoluta (%) o mediana y (rango intercuartílico). </w:t>
            </w:r>
          </w:p>
          <w:p w14:paraId="21DEC05F" w14:textId="77777777" w:rsidR="00CD6187" w:rsidRPr="00CF4276" w:rsidRDefault="00CD6187" w:rsidP="00A4573A">
            <w:pPr>
              <w:jc w:val="left"/>
              <w:rPr>
                <w:rFonts w:ascii="Arial" w:hAnsi="Arial" w:cs="Arial"/>
                <w:i w:val="0"/>
                <w:sz w:val="20"/>
                <w:szCs w:val="20"/>
                <w:lang w:val="es-ES"/>
              </w:rPr>
            </w:pPr>
            <w:r w:rsidRPr="00CF4276">
              <w:rPr>
                <w:rFonts w:ascii="Arial" w:hAnsi="Arial" w:cs="Arial"/>
                <w:i w:val="0"/>
                <w:iCs w:val="0"/>
                <w:sz w:val="20"/>
                <w:szCs w:val="20"/>
                <w:lang w:val="es-ES"/>
              </w:rPr>
              <w:t xml:space="preserve">* </w:t>
            </w:r>
            <w:r w:rsidRPr="00CF4276">
              <w:rPr>
                <w:rFonts w:ascii="Arial" w:hAnsi="Arial" w:cs="Arial"/>
                <w:i w:val="0"/>
                <w:sz w:val="20"/>
                <w:szCs w:val="20"/>
                <w:lang w:val="es-ES"/>
              </w:rPr>
              <w:t xml:space="preserve">1 día-paciente podía registrar &gt; 1 </w:t>
            </w:r>
            <w:r w:rsidRPr="00CF4276">
              <w:rPr>
                <w:rFonts w:ascii="Arial" w:hAnsi="Arial" w:cs="Arial"/>
                <w:i w:val="0"/>
                <w:iCs w:val="0"/>
                <w:sz w:val="20"/>
                <w:szCs w:val="20"/>
                <w:lang w:val="es-ES"/>
              </w:rPr>
              <w:t>evaluación; el total de evaluaciones registradas es de 2826 en los 1134 días-paciente elegible.</w:t>
            </w:r>
          </w:p>
          <w:p w14:paraId="42A0E5F9" w14:textId="77777777" w:rsidR="00CD6187" w:rsidRPr="00CF4276" w:rsidRDefault="00CD6187" w:rsidP="00A4573A">
            <w:pPr>
              <w:jc w:val="left"/>
              <w:rPr>
                <w:rFonts w:ascii="Arial" w:hAnsi="Arial" w:cs="Arial"/>
                <w:i w:val="0"/>
                <w:sz w:val="20"/>
                <w:szCs w:val="20"/>
                <w:lang w:val="en-US"/>
              </w:rPr>
            </w:pPr>
            <w:r w:rsidRPr="00CF4276">
              <w:rPr>
                <w:rFonts w:ascii="Arial" w:hAnsi="Arial" w:cs="Arial"/>
                <w:b/>
                <w:i w:val="0"/>
                <w:iCs w:val="0"/>
                <w:sz w:val="20"/>
                <w:szCs w:val="20"/>
                <w:lang w:val="en-US"/>
              </w:rPr>
              <w:t>RASS:</w:t>
            </w:r>
            <w:r w:rsidRPr="00CF4276">
              <w:rPr>
                <w:rFonts w:ascii="Arial" w:hAnsi="Arial" w:cs="Arial"/>
                <w:i w:val="0"/>
                <w:sz w:val="20"/>
                <w:szCs w:val="20"/>
                <w:lang w:val="en-US"/>
              </w:rPr>
              <w:t xml:space="preserve"> Richmond Agitation Sedation Scale</w:t>
            </w:r>
            <w:r w:rsidRPr="00CF4276">
              <w:rPr>
                <w:rFonts w:ascii="Arial" w:hAnsi="Arial" w:cs="Arial"/>
                <w:i w:val="0"/>
                <w:iCs w:val="0"/>
                <w:sz w:val="20"/>
                <w:szCs w:val="20"/>
                <w:lang w:val="en-US"/>
              </w:rPr>
              <w:t xml:space="preserve">, </w:t>
            </w:r>
            <w:r w:rsidRPr="00CF4276">
              <w:rPr>
                <w:rFonts w:ascii="Arial" w:hAnsi="Arial" w:cs="Arial"/>
                <w:b/>
                <w:i w:val="0"/>
                <w:iCs w:val="0"/>
                <w:sz w:val="20"/>
                <w:szCs w:val="20"/>
                <w:lang w:val="en-US"/>
              </w:rPr>
              <w:t>SAS:</w:t>
            </w:r>
            <w:r w:rsidRPr="00CF4276">
              <w:rPr>
                <w:rFonts w:ascii="Arial" w:hAnsi="Arial" w:cs="Arial"/>
                <w:i w:val="0"/>
                <w:sz w:val="20"/>
                <w:szCs w:val="20"/>
                <w:lang w:val="en-US"/>
              </w:rPr>
              <w:t xml:space="preserve"> Sedation Agitation Scale</w:t>
            </w:r>
            <w:r w:rsidRPr="00CF4276">
              <w:rPr>
                <w:rFonts w:ascii="Arial" w:hAnsi="Arial" w:cs="Arial"/>
                <w:i w:val="0"/>
                <w:iCs w:val="0"/>
                <w:sz w:val="20"/>
                <w:szCs w:val="20"/>
                <w:lang w:val="en-US"/>
              </w:rPr>
              <w:t xml:space="preserve">, </w:t>
            </w:r>
            <w:r w:rsidRPr="00CF4276">
              <w:rPr>
                <w:rFonts w:ascii="Arial" w:hAnsi="Arial" w:cs="Arial"/>
                <w:b/>
                <w:i w:val="0"/>
                <w:iCs w:val="0"/>
                <w:sz w:val="20"/>
                <w:szCs w:val="20"/>
                <w:lang w:val="en-US"/>
              </w:rPr>
              <w:t>GCS:</w:t>
            </w:r>
            <w:r w:rsidRPr="00CF4276">
              <w:rPr>
                <w:rFonts w:ascii="Arial" w:hAnsi="Arial" w:cs="Arial"/>
                <w:i w:val="0"/>
                <w:sz w:val="20"/>
                <w:szCs w:val="20"/>
                <w:lang w:val="en-US"/>
              </w:rPr>
              <w:t xml:space="preserve"> </w:t>
            </w:r>
            <w:proofErr w:type="spellStart"/>
            <w:r w:rsidRPr="00CF4276">
              <w:rPr>
                <w:rFonts w:ascii="Arial" w:hAnsi="Arial" w:cs="Arial"/>
                <w:i w:val="0"/>
                <w:sz w:val="20"/>
                <w:szCs w:val="20"/>
                <w:lang w:val="en-US"/>
              </w:rPr>
              <w:t>Escala</w:t>
            </w:r>
            <w:proofErr w:type="spellEnd"/>
            <w:r w:rsidRPr="00CF4276">
              <w:rPr>
                <w:rFonts w:ascii="Arial" w:hAnsi="Arial" w:cs="Arial"/>
                <w:i w:val="0"/>
                <w:sz w:val="20"/>
                <w:szCs w:val="20"/>
                <w:lang w:val="en-US"/>
              </w:rPr>
              <w:t xml:space="preserve"> coma de Glasgow</w:t>
            </w:r>
            <w:r w:rsidRPr="00CF4276">
              <w:rPr>
                <w:rFonts w:ascii="Arial" w:hAnsi="Arial" w:cs="Arial"/>
                <w:i w:val="0"/>
                <w:iCs w:val="0"/>
                <w:sz w:val="20"/>
                <w:szCs w:val="20"/>
                <w:lang w:val="en-US"/>
              </w:rPr>
              <w:t xml:space="preserve">, </w:t>
            </w:r>
            <w:r w:rsidRPr="00CF4276">
              <w:rPr>
                <w:rFonts w:ascii="Arial" w:hAnsi="Arial" w:cs="Arial"/>
                <w:b/>
                <w:i w:val="0"/>
                <w:iCs w:val="0"/>
                <w:sz w:val="20"/>
                <w:szCs w:val="20"/>
                <w:lang w:val="en-US"/>
              </w:rPr>
              <w:t>FOUR:</w:t>
            </w:r>
            <w:r w:rsidRPr="00CF4276">
              <w:rPr>
                <w:rFonts w:ascii="Arial" w:hAnsi="Arial" w:cs="Arial"/>
                <w:i w:val="0"/>
                <w:sz w:val="20"/>
                <w:szCs w:val="20"/>
                <w:lang w:val="en-US"/>
              </w:rPr>
              <w:t xml:space="preserve"> Full Outline of </w:t>
            </w:r>
            <w:proofErr w:type="spellStart"/>
            <w:r w:rsidRPr="00CF4276">
              <w:rPr>
                <w:rFonts w:ascii="Arial" w:hAnsi="Arial" w:cs="Arial"/>
                <w:i w:val="0"/>
                <w:sz w:val="20"/>
                <w:szCs w:val="20"/>
                <w:lang w:val="en-US"/>
              </w:rPr>
              <w:t>UnResponsiveness</w:t>
            </w:r>
            <w:proofErr w:type="spellEnd"/>
            <w:r w:rsidRPr="00CF4276">
              <w:rPr>
                <w:rFonts w:ascii="Arial" w:hAnsi="Arial" w:cs="Arial"/>
                <w:i w:val="0"/>
                <w:iCs w:val="0"/>
                <w:sz w:val="20"/>
                <w:szCs w:val="20"/>
                <w:lang w:val="en-US"/>
              </w:rPr>
              <w:t>.</w:t>
            </w:r>
          </w:p>
        </w:tc>
      </w:tr>
    </w:tbl>
    <w:p w14:paraId="646DB335" w14:textId="77777777" w:rsidR="00CF7655" w:rsidRPr="00CD6187" w:rsidRDefault="00CF7655" w:rsidP="00BC7C94">
      <w:pPr>
        <w:suppressLineNumbers/>
        <w:spacing w:line="480" w:lineRule="auto"/>
        <w:rPr>
          <w:b/>
          <w:lang w:val="en-US"/>
        </w:rPr>
      </w:pPr>
    </w:p>
    <w:p w14:paraId="5F80F11D" w14:textId="77777777" w:rsidR="00CF7655" w:rsidRDefault="00CF7655" w:rsidP="00BC7C94">
      <w:pPr>
        <w:suppressLineNumbers/>
        <w:spacing w:line="480" w:lineRule="auto"/>
        <w:rPr>
          <w:lang w:val="en-US"/>
        </w:rPr>
      </w:pPr>
    </w:p>
    <w:p w14:paraId="70AEBED9" w14:textId="77777777" w:rsidR="00CD6187" w:rsidRDefault="00CD6187" w:rsidP="00BC7C94">
      <w:pPr>
        <w:suppressLineNumbers/>
        <w:spacing w:line="480" w:lineRule="auto"/>
        <w:rPr>
          <w:lang w:val="en-US"/>
        </w:rPr>
      </w:pPr>
    </w:p>
    <w:tbl>
      <w:tblPr>
        <w:tblStyle w:val="Tablanormal51"/>
        <w:tblpPr w:leftFromText="141" w:rightFromText="141" w:vertAnchor="text" w:horzAnchor="margin" w:tblpY="-163"/>
        <w:tblW w:w="0" w:type="auto"/>
        <w:tblLook w:val="04A0" w:firstRow="1" w:lastRow="0" w:firstColumn="1" w:lastColumn="0" w:noHBand="0" w:noVBand="1"/>
      </w:tblPr>
      <w:tblGrid>
        <w:gridCol w:w="4593"/>
        <w:gridCol w:w="1406"/>
        <w:gridCol w:w="1253"/>
        <w:gridCol w:w="1292"/>
      </w:tblGrid>
      <w:tr w:rsidR="00CD6187" w:rsidRPr="00D9247E" w14:paraId="7705CA16" w14:textId="77777777" w:rsidTr="00A4573A">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828" w:type="dxa"/>
            <w:gridSpan w:val="4"/>
            <w:tcBorders>
              <w:top w:val="single" w:sz="4" w:space="0" w:color="auto"/>
              <w:left w:val="single" w:sz="4" w:space="0" w:color="auto"/>
              <w:bottom w:val="single" w:sz="4" w:space="0" w:color="auto"/>
              <w:right w:val="single" w:sz="4" w:space="0" w:color="auto"/>
            </w:tcBorders>
          </w:tcPr>
          <w:p w14:paraId="7ADC7873" w14:textId="507CE67B" w:rsidR="00CD6187" w:rsidRPr="00CF4276" w:rsidRDefault="00CD6187" w:rsidP="00A4573A">
            <w:pPr>
              <w:jc w:val="left"/>
              <w:rPr>
                <w:rFonts w:ascii="Arial" w:hAnsi="Arial" w:cs="Arial"/>
                <w:b/>
                <w:i w:val="0"/>
                <w:sz w:val="20"/>
                <w:szCs w:val="20"/>
                <w:lang w:val="es-ES"/>
              </w:rPr>
            </w:pPr>
            <w:r w:rsidRPr="00CF4276">
              <w:rPr>
                <w:rFonts w:ascii="Arial" w:hAnsi="Arial" w:cs="Arial"/>
                <w:b/>
                <w:i w:val="0"/>
                <w:sz w:val="20"/>
                <w:szCs w:val="20"/>
                <w:lang w:val="es-ES"/>
              </w:rPr>
              <w:lastRenderedPageBreak/>
              <w:t xml:space="preserve">Tabla </w:t>
            </w:r>
            <w:r w:rsidR="00CF4276" w:rsidRPr="00CF4276">
              <w:rPr>
                <w:rFonts w:ascii="Arial" w:hAnsi="Arial" w:cs="Arial"/>
                <w:b/>
                <w:i w:val="0"/>
                <w:sz w:val="20"/>
                <w:szCs w:val="20"/>
                <w:lang w:val="es-ES"/>
              </w:rPr>
              <w:t>5.</w:t>
            </w:r>
            <w:r w:rsidRPr="00CF4276">
              <w:rPr>
                <w:rFonts w:ascii="Arial" w:hAnsi="Arial" w:cs="Arial"/>
                <w:b/>
                <w:i w:val="0"/>
                <w:sz w:val="20"/>
                <w:szCs w:val="20"/>
                <w:lang w:val="es-ES"/>
              </w:rPr>
              <w:t xml:space="preserve"> Cumplimiento del ABCDEF </w:t>
            </w:r>
            <w:r w:rsidR="00AD58D7" w:rsidRPr="00CF4276">
              <w:rPr>
                <w:rFonts w:ascii="Arial" w:hAnsi="Arial" w:cs="Arial"/>
                <w:b/>
                <w:i w:val="0"/>
                <w:sz w:val="20"/>
                <w:szCs w:val="20"/>
                <w:lang w:val="es-ES"/>
              </w:rPr>
              <w:t>“</w:t>
            </w:r>
            <w:proofErr w:type="spellStart"/>
            <w:r w:rsidR="00AD58D7" w:rsidRPr="00CF4276">
              <w:rPr>
                <w:rFonts w:ascii="Arial" w:hAnsi="Arial" w:cs="Arial"/>
                <w:b/>
                <w:i w:val="0"/>
                <w:sz w:val="20"/>
                <w:szCs w:val="20"/>
                <w:lang w:val="es-ES"/>
              </w:rPr>
              <w:t>bundle</w:t>
            </w:r>
            <w:proofErr w:type="spellEnd"/>
            <w:r w:rsidR="00AD58D7" w:rsidRPr="00CF4276">
              <w:rPr>
                <w:rFonts w:ascii="Arial" w:hAnsi="Arial" w:cs="Arial"/>
                <w:b/>
                <w:i w:val="0"/>
                <w:sz w:val="20"/>
                <w:szCs w:val="20"/>
                <w:lang w:val="es-ES"/>
              </w:rPr>
              <w:t>”</w:t>
            </w:r>
            <w:r w:rsidRPr="00CF4276">
              <w:rPr>
                <w:rFonts w:ascii="Arial" w:hAnsi="Arial" w:cs="Arial"/>
                <w:b/>
                <w:i w:val="0"/>
                <w:sz w:val="20"/>
                <w:szCs w:val="20"/>
                <w:lang w:val="es-ES"/>
              </w:rPr>
              <w:t xml:space="preserve"> entre marzo y agosto de 2019 (n =1134 día-paciente)</w:t>
            </w:r>
          </w:p>
        </w:tc>
      </w:tr>
      <w:tr w:rsidR="00CD6187" w:rsidRPr="00D9247E" w14:paraId="1801491A"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Borders>
              <w:top w:val="single" w:sz="4" w:space="0" w:color="auto"/>
              <w:left w:val="single" w:sz="4" w:space="0" w:color="auto"/>
              <w:bottom w:val="single" w:sz="4" w:space="0" w:color="auto"/>
            </w:tcBorders>
            <w:vAlign w:val="center"/>
          </w:tcPr>
          <w:p w14:paraId="3426A701" w14:textId="77777777" w:rsidR="00CD6187" w:rsidRPr="00CF4276" w:rsidRDefault="00CD6187" w:rsidP="00A4573A">
            <w:pPr>
              <w:jc w:val="center"/>
              <w:rPr>
                <w:rFonts w:ascii="Arial" w:hAnsi="Arial" w:cs="Arial"/>
                <w:i w:val="0"/>
                <w:sz w:val="20"/>
                <w:szCs w:val="20"/>
                <w:lang w:val="es-ES"/>
              </w:rPr>
            </w:pPr>
            <w:r w:rsidRPr="00CF4276">
              <w:rPr>
                <w:rFonts w:ascii="Arial" w:hAnsi="Arial" w:cs="Arial"/>
                <w:i w:val="0"/>
                <w:sz w:val="20"/>
                <w:szCs w:val="20"/>
                <w:lang w:val="es-ES"/>
              </w:rPr>
              <w:t xml:space="preserve">Elemento “D”; </w:t>
            </w:r>
            <w:r w:rsidRPr="00CF4276">
              <w:rPr>
                <w:rFonts w:ascii="Arial" w:hAnsi="Arial" w:cs="Arial"/>
                <w:i w:val="0"/>
                <w:sz w:val="20"/>
                <w:szCs w:val="20"/>
              </w:rPr>
              <w:t>Evaluación, seguimiento y tratamiento del delirium</w:t>
            </w:r>
          </w:p>
        </w:tc>
        <w:tc>
          <w:tcPr>
            <w:tcW w:w="1417" w:type="dxa"/>
            <w:tcBorders>
              <w:top w:val="single" w:sz="4" w:space="0" w:color="auto"/>
              <w:bottom w:val="single" w:sz="4" w:space="0" w:color="auto"/>
              <w:right w:val="single" w:sz="4" w:space="0" w:color="auto"/>
            </w:tcBorders>
            <w:vAlign w:val="center"/>
          </w:tcPr>
          <w:p w14:paraId="49E19253"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TOTAL</w:t>
            </w:r>
          </w:p>
        </w:tc>
        <w:tc>
          <w:tcPr>
            <w:tcW w:w="1277" w:type="dxa"/>
            <w:tcBorders>
              <w:top w:val="single" w:sz="4" w:space="0" w:color="auto"/>
              <w:bottom w:val="single" w:sz="4" w:space="0" w:color="auto"/>
              <w:right w:val="single" w:sz="4" w:space="0" w:color="auto"/>
            </w:tcBorders>
            <w:vAlign w:val="center"/>
          </w:tcPr>
          <w:p w14:paraId="6DB7667F"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con VMI</w:t>
            </w:r>
          </w:p>
          <w:p w14:paraId="2FE40901"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(n= 391)</w:t>
            </w:r>
          </w:p>
        </w:tc>
        <w:tc>
          <w:tcPr>
            <w:tcW w:w="1319" w:type="dxa"/>
            <w:tcBorders>
              <w:top w:val="single" w:sz="4" w:space="0" w:color="auto"/>
              <w:bottom w:val="single" w:sz="4" w:space="0" w:color="auto"/>
              <w:right w:val="single" w:sz="4" w:space="0" w:color="auto"/>
            </w:tcBorders>
            <w:vAlign w:val="center"/>
          </w:tcPr>
          <w:p w14:paraId="5A3A305F"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sin VMI</w:t>
            </w:r>
          </w:p>
          <w:p w14:paraId="055E9185"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(n= 743)</w:t>
            </w:r>
          </w:p>
        </w:tc>
      </w:tr>
      <w:tr w:rsidR="00CD6187" w:rsidRPr="00D9247E" w14:paraId="270D1E0D" w14:textId="77777777" w:rsidTr="00A4573A">
        <w:tc>
          <w:tcPr>
            <w:cnfStyle w:val="001000000000" w:firstRow="0" w:lastRow="0" w:firstColumn="1" w:lastColumn="0" w:oddVBand="0" w:evenVBand="0" w:oddHBand="0" w:evenHBand="0" w:firstRowFirstColumn="0" w:firstRowLastColumn="0" w:lastRowFirstColumn="0" w:lastRowLastColumn="0"/>
            <w:tcW w:w="4815" w:type="dxa"/>
            <w:tcBorders>
              <w:top w:val="single" w:sz="4" w:space="0" w:color="auto"/>
              <w:left w:val="single" w:sz="4" w:space="0" w:color="auto"/>
            </w:tcBorders>
          </w:tcPr>
          <w:p w14:paraId="045E1D40" w14:textId="77777777" w:rsidR="00CD6187" w:rsidRPr="00CF4276" w:rsidRDefault="00CD6187" w:rsidP="00A4573A">
            <w:pPr>
              <w:jc w:val="left"/>
              <w:rPr>
                <w:rFonts w:ascii="Arial" w:hAnsi="Arial" w:cs="Arial"/>
                <w:i w:val="0"/>
                <w:sz w:val="20"/>
                <w:szCs w:val="20"/>
                <w:lang w:val="es-ES"/>
              </w:rPr>
            </w:pPr>
            <w:r w:rsidRPr="00CF4276">
              <w:rPr>
                <w:rFonts w:ascii="Arial" w:hAnsi="Arial" w:cs="Arial"/>
                <w:i w:val="0"/>
                <w:sz w:val="20"/>
                <w:szCs w:val="20"/>
                <w:lang w:val="es-ES"/>
              </w:rPr>
              <w:t>Elegible</w:t>
            </w:r>
          </w:p>
        </w:tc>
        <w:tc>
          <w:tcPr>
            <w:tcW w:w="1417" w:type="dxa"/>
            <w:tcBorders>
              <w:top w:val="single" w:sz="4" w:space="0" w:color="auto"/>
              <w:right w:val="single" w:sz="4" w:space="0" w:color="auto"/>
            </w:tcBorders>
          </w:tcPr>
          <w:p w14:paraId="2994D992"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1134 (100%)</w:t>
            </w:r>
          </w:p>
        </w:tc>
        <w:tc>
          <w:tcPr>
            <w:tcW w:w="1277" w:type="dxa"/>
            <w:tcBorders>
              <w:top w:val="single" w:sz="4" w:space="0" w:color="auto"/>
              <w:right w:val="single" w:sz="4" w:space="0" w:color="auto"/>
            </w:tcBorders>
          </w:tcPr>
          <w:p w14:paraId="4E6B8E27"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391 (100%)</w:t>
            </w:r>
          </w:p>
        </w:tc>
        <w:tc>
          <w:tcPr>
            <w:tcW w:w="1319" w:type="dxa"/>
            <w:tcBorders>
              <w:top w:val="single" w:sz="4" w:space="0" w:color="auto"/>
              <w:right w:val="single" w:sz="4" w:space="0" w:color="auto"/>
            </w:tcBorders>
          </w:tcPr>
          <w:p w14:paraId="0F395F63"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743 (100%)</w:t>
            </w:r>
          </w:p>
        </w:tc>
      </w:tr>
      <w:tr w:rsidR="00CD6187" w:rsidRPr="00D9247E" w14:paraId="3540E0A2" w14:textId="77777777" w:rsidTr="00A4573A">
        <w:trPr>
          <w:cnfStyle w:val="000000100000" w:firstRow="0" w:lastRow="0" w:firstColumn="0" w:lastColumn="0" w:oddVBand="0" w:evenVBand="0" w:oddHBand="1" w:evenHBand="0" w:firstRowFirstColumn="0" w:firstRowLastColumn="0" w:lastRowFirstColumn="0" w:lastRowLastColumn="0"/>
          <w:trHeight w:val="76"/>
        </w:trPr>
        <w:tc>
          <w:tcPr>
            <w:cnfStyle w:val="001000000000" w:firstRow="0" w:lastRow="0" w:firstColumn="1" w:lastColumn="0" w:oddVBand="0" w:evenVBand="0" w:oddHBand="0" w:evenHBand="0" w:firstRowFirstColumn="0" w:firstRowLastColumn="0" w:lastRowFirstColumn="0" w:lastRowLastColumn="0"/>
            <w:tcW w:w="4815" w:type="dxa"/>
            <w:tcBorders>
              <w:left w:val="single" w:sz="4" w:space="0" w:color="auto"/>
            </w:tcBorders>
          </w:tcPr>
          <w:p w14:paraId="3D469E55" w14:textId="77777777" w:rsidR="00CD6187" w:rsidRPr="00CF4276" w:rsidRDefault="00CD6187" w:rsidP="00A4573A">
            <w:pPr>
              <w:jc w:val="left"/>
              <w:rPr>
                <w:rFonts w:ascii="Arial" w:hAnsi="Arial" w:cs="Arial"/>
                <w:i w:val="0"/>
                <w:sz w:val="20"/>
                <w:szCs w:val="20"/>
                <w:lang w:val="es-ES"/>
              </w:rPr>
            </w:pPr>
            <w:r w:rsidRPr="00CF4276">
              <w:rPr>
                <w:rFonts w:ascii="Arial" w:hAnsi="Arial" w:cs="Arial"/>
                <w:i w:val="0"/>
                <w:sz w:val="20"/>
                <w:szCs w:val="20"/>
                <w:lang w:val="es-ES"/>
              </w:rPr>
              <w:t>Cumplimiento elemento “D”</w:t>
            </w:r>
          </w:p>
        </w:tc>
        <w:tc>
          <w:tcPr>
            <w:tcW w:w="1417" w:type="dxa"/>
            <w:tcBorders>
              <w:right w:val="single" w:sz="4" w:space="0" w:color="auto"/>
            </w:tcBorders>
          </w:tcPr>
          <w:p w14:paraId="5934F2E7"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274 (24%)</w:t>
            </w:r>
          </w:p>
        </w:tc>
        <w:tc>
          <w:tcPr>
            <w:tcW w:w="1277" w:type="dxa"/>
            <w:tcBorders>
              <w:right w:val="single" w:sz="4" w:space="0" w:color="auto"/>
            </w:tcBorders>
          </w:tcPr>
          <w:p w14:paraId="5F576175"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90 (23%)</w:t>
            </w:r>
          </w:p>
        </w:tc>
        <w:tc>
          <w:tcPr>
            <w:tcW w:w="1319" w:type="dxa"/>
            <w:tcBorders>
              <w:right w:val="single" w:sz="4" w:space="0" w:color="auto"/>
            </w:tcBorders>
          </w:tcPr>
          <w:p w14:paraId="3642A1AB"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184 (24,8%)</w:t>
            </w:r>
          </w:p>
        </w:tc>
      </w:tr>
      <w:tr w:rsidR="00CD6187" w:rsidRPr="00D9247E" w14:paraId="6A075CA0" w14:textId="77777777" w:rsidTr="00A4573A">
        <w:trPr>
          <w:trHeight w:val="76"/>
        </w:trPr>
        <w:tc>
          <w:tcPr>
            <w:cnfStyle w:val="001000000000" w:firstRow="0" w:lastRow="0" w:firstColumn="1" w:lastColumn="0" w:oddVBand="0" w:evenVBand="0" w:oddHBand="0" w:evenHBand="0" w:firstRowFirstColumn="0" w:firstRowLastColumn="0" w:lastRowFirstColumn="0" w:lastRowLastColumn="0"/>
            <w:tcW w:w="4815" w:type="dxa"/>
            <w:tcBorders>
              <w:left w:val="single" w:sz="4" w:space="0" w:color="auto"/>
              <w:right w:val="single" w:sz="4" w:space="0" w:color="auto"/>
            </w:tcBorders>
          </w:tcPr>
          <w:p w14:paraId="14F67395" w14:textId="77777777" w:rsidR="00CD6187" w:rsidRPr="00CF4276" w:rsidRDefault="00CD6187" w:rsidP="00A4573A">
            <w:pPr>
              <w:jc w:val="left"/>
              <w:rPr>
                <w:rFonts w:ascii="Arial" w:hAnsi="Arial" w:cs="Arial"/>
                <w:i w:val="0"/>
                <w:sz w:val="20"/>
                <w:szCs w:val="20"/>
                <w:lang w:val="es-ES"/>
              </w:rPr>
            </w:pPr>
            <w:r w:rsidRPr="00CF4276">
              <w:rPr>
                <w:rFonts w:ascii="Arial" w:hAnsi="Arial" w:cs="Arial"/>
                <w:i w:val="0"/>
                <w:sz w:val="20"/>
                <w:szCs w:val="20"/>
                <w:lang w:val="es-ES"/>
              </w:rPr>
              <w:t xml:space="preserve">Recibió </w:t>
            </w:r>
            <w:r w:rsidRPr="00CF4276">
              <w:rPr>
                <w:rFonts w:ascii="Arial" w:hAnsi="Arial" w:cs="Arial"/>
                <w:i w:val="0"/>
                <w:sz w:val="20"/>
                <w:szCs w:val="20"/>
                <w:u w:val="single"/>
                <w:lang w:val="es-ES"/>
              </w:rPr>
              <w:t>&gt;</w:t>
            </w:r>
            <w:r w:rsidRPr="00CF4276">
              <w:rPr>
                <w:rFonts w:ascii="Arial" w:hAnsi="Arial" w:cs="Arial"/>
                <w:i w:val="0"/>
                <w:sz w:val="20"/>
                <w:szCs w:val="20"/>
                <w:lang w:val="es-ES"/>
              </w:rPr>
              <w:t xml:space="preserve"> 2 evaluaciones</w:t>
            </w:r>
          </w:p>
        </w:tc>
        <w:tc>
          <w:tcPr>
            <w:tcW w:w="1417" w:type="dxa"/>
            <w:tcBorders>
              <w:left w:val="single" w:sz="4" w:space="0" w:color="auto"/>
              <w:right w:val="single" w:sz="4" w:space="0" w:color="auto"/>
            </w:tcBorders>
          </w:tcPr>
          <w:p w14:paraId="4DBCCE9B"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42 (15,5%)</w:t>
            </w:r>
          </w:p>
        </w:tc>
        <w:tc>
          <w:tcPr>
            <w:tcW w:w="1277" w:type="dxa"/>
            <w:tcBorders>
              <w:right w:val="single" w:sz="4" w:space="0" w:color="auto"/>
            </w:tcBorders>
          </w:tcPr>
          <w:p w14:paraId="5F4EE1FB"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12 (13%)</w:t>
            </w:r>
          </w:p>
        </w:tc>
        <w:tc>
          <w:tcPr>
            <w:tcW w:w="1319" w:type="dxa"/>
            <w:tcBorders>
              <w:right w:val="single" w:sz="4" w:space="0" w:color="auto"/>
            </w:tcBorders>
          </w:tcPr>
          <w:p w14:paraId="70403392"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30 (16,3%)</w:t>
            </w:r>
          </w:p>
        </w:tc>
      </w:tr>
      <w:tr w:rsidR="00CD6187" w:rsidRPr="00D9247E" w14:paraId="38FE7BE8" w14:textId="77777777" w:rsidTr="00A4573A">
        <w:trPr>
          <w:cnfStyle w:val="000000100000" w:firstRow="0" w:lastRow="0" w:firstColumn="0" w:lastColumn="0" w:oddVBand="0" w:evenVBand="0" w:oddHBand="1" w:evenHBand="0" w:firstRowFirstColumn="0" w:firstRowLastColumn="0" w:lastRowFirstColumn="0" w:lastRowLastColumn="0"/>
          <w:trHeight w:val="76"/>
        </w:trPr>
        <w:tc>
          <w:tcPr>
            <w:cnfStyle w:val="001000000000" w:firstRow="0" w:lastRow="0" w:firstColumn="1" w:lastColumn="0" w:oddVBand="0" w:evenVBand="0" w:oddHBand="0" w:evenHBand="0" w:firstRowFirstColumn="0" w:firstRowLastColumn="0" w:lastRowFirstColumn="0" w:lastRowLastColumn="0"/>
            <w:tcW w:w="4815" w:type="dxa"/>
            <w:tcBorders>
              <w:left w:val="single" w:sz="4" w:space="0" w:color="auto"/>
              <w:bottom w:val="single" w:sz="4" w:space="0" w:color="auto"/>
            </w:tcBorders>
          </w:tcPr>
          <w:p w14:paraId="3779583E" w14:textId="77777777" w:rsidR="00CD6187" w:rsidRPr="00CF4276" w:rsidRDefault="00CD6187" w:rsidP="00A4573A">
            <w:pPr>
              <w:jc w:val="left"/>
              <w:rPr>
                <w:rFonts w:ascii="Arial" w:hAnsi="Arial" w:cs="Arial"/>
                <w:i w:val="0"/>
                <w:sz w:val="20"/>
                <w:szCs w:val="20"/>
                <w:lang w:val="es-ES"/>
              </w:rPr>
            </w:pPr>
            <w:r w:rsidRPr="00CF4276">
              <w:rPr>
                <w:rFonts w:ascii="Arial" w:hAnsi="Arial" w:cs="Arial"/>
                <w:i w:val="0"/>
                <w:sz w:val="20"/>
                <w:szCs w:val="20"/>
                <w:lang w:val="es-ES"/>
              </w:rPr>
              <w:t>Número de evaluaciones de delirium por día</w:t>
            </w:r>
          </w:p>
        </w:tc>
        <w:tc>
          <w:tcPr>
            <w:tcW w:w="1417" w:type="dxa"/>
            <w:tcBorders>
              <w:bottom w:val="single" w:sz="4" w:space="0" w:color="auto"/>
              <w:right w:val="single" w:sz="4" w:space="0" w:color="auto"/>
            </w:tcBorders>
          </w:tcPr>
          <w:p w14:paraId="453B0E80"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 (1-1)</w:t>
            </w:r>
          </w:p>
        </w:tc>
        <w:tc>
          <w:tcPr>
            <w:tcW w:w="1277" w:type="dxa"/>
            <w:tcBorders>
              <w:bottom w:val="single" w:sz="4" w:space="0" w:color="auto"/>
              <w:right w:val="single" w:sz="4" w:space="0" w:color="auto"/>
            </w:tcBorders>
          </w:tcPr>
          <w:p w14:paraId="05A82563"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1(1-2)</w:t>
            </w:r>
          </w:p>
        </w:tc>
        <w:tc>
          <w:tcPr>
            <w:tcW w:w="1319" w:type="dxa"/>
            <w:tcBorders>
              <w:bottom w:val="single" w:sz="4" w:space="0" w:color="auto"/>
              <w:right w:val="single" w:sz="4" w:space="0" w:color="auto"/>
            </w:tcBorders>
          </w:tcPr>
          <w:p w14:paraId="1EAEF51F"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 (1-1)</w:t>
            </w:r>
          </w:p>
        </w:tc>
      </w:tr>
      <w:tr w:rsidR="00CD6187" w:rsidRPr="00D9247E" w14:paraId="5C590250" w14:textId="77777777" w:rsidTr="00A4573A">
        <w:tc>
          <w:tcPr>
            <w:cnfStyle w:val="001000000000" w:firstRow="0" w:lastRow="0" w:firstColumn="1" w:lastColumn="0" w:oddVBand="0" w:evenVBand="0" w:oddHBand="0" w:evenHBand="0" w:firstRowFirstColumn="0" w:firstRowLastColumn="0" w:lastRowFirstColumn="0" w:lastRowLastColumn="0"/>
            <w:tcW w:w="4815" w:type="dxa"/>
            <w:tcBorders>
              <w:top w:val="single" w:sz="4" w:space="0" w:color="auto"/>
              <w:left w:val="single" w:sz="4" w:space="0" w:color="auto"/>
            </w:tcBorders>
          </w:tcPr>
          <w:p w14:paraId="15E43E5D" w14:textId="77777777" w:rsidR="00CD6187" w:rsidRPr="00CF4276" w:rsidRDefault="00CD6187" w:rsidP="00A4573A">
            <w:pPr>
              <w:jc w:val="left"/>
              <w:rPr>
                <w:rFonts w:ascii="Arial" w:hAnsi="Arial" w:cs="Arial"/>
                <w:i w:val="0"/>
                <w:sz w:val="20"/>
                <w:szCs w:val="20"/>
                <w:lang w:val="es-ES"/>
              </w:rPr>
            </w:pPr>
            <w:r w:rsidRPr="00CF4276">
              <w:rPr>
                <w:rFonts w:ascii="Arial" w:hAnsi="Arial" w:cs="Arial"/>
                <w:i w:val="0"/>
                <w:sz w:val="20"/>
                <w:szCs w:val="20"/>
                <w:lang w:val="es-ES"/>
              </w:rPr>
              <w:t xml:space="preserve">Escala* </w:t>
            </w:r>
          </w:p>
        </w:tc>
        <w:tc>
          <w:tcPr>
            <w:tcW w:w="1417" w:type="dxa"/>
            <w:tcBorders>
              <w:top w:val="single" w:sz="4" w:space="0" w:color="auto"/>
              <w:right w:val="single" w:sz="4" w:space="0" w:color="auto"/>
            </w:tcBorders>
          </w:tcPr>
          <w:p w14:paraId="70392968" w14:textId="063938FA" w:rsidR="00CD6187" w:rsidRPr="00CF4276" w:rsidRDefault="00A54467" w:rsidP="00A4573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 xml:space="preserve"> </w:t>
            </w:r>
            <w:r w:rsidR="00CD6187" w:rsidRPr="00CF4276">
              <w:rPr>
                <w:rFonts w:ascii="Arial" w:hAnsi="Arial" w:cs="Arial"/>
                <w:sz w:val="20"/>
                <w:szCs w:val="20"/>
                <w:lang w:val="es-ES"/>
              </w:rPr>
              <w:t xml:space="preserve"> 334 (100%)</w:t>
            </w:r>
          </w:p>
        </w:tc>
        <w:tc>
          <w:tcPr>
            <w:tcW w:w="1277" w:type="dxa"/>
            <w:tcBorders>
              <w:top w:val="single" w:sz="4" w:space="0" w:color="auto"/>
              <w:right w:val="single" w:sz="4" w:space="0" w:color="auto"/>
            </w:tcBorders>
          </w:tcPr>
          <w:p w14:paraId="5BF680C0" w14:textId="77777777" w:rsidR="00CD6187" w:rsidRPr="00CF4276" w:rsidRDefault="00CD6187" w:rsidP="00A4573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 xml:space="preserve"> 113 (33,8%)</w:t>
            </w:r>
          </w:p>
        </w:tc>
        <w:tc>
          <w:tcPr>
            <w:tcW w:w="1319" w:type="dxa"/>
            <w:tcBorders>
              <w:top w:val="single" w:sz="4" w:space="0" w:color="auto"/>
              <w:right w:val="single" w:sz="4" w:space="0" w:color="auto"/>
            </w:tcBorders>
          </w:tcPr>
          <w:p w14:paraId="1AB63D43"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221 (66,2%)</w:t>
            </w:r>
          </w:p>
        </w:tc>
      </w:tr>
      <w:tr w:rsidR="00CD6187" w:rsidRPr="00D9247E" w14:paraId="62D30B28"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Borders>
              <w:left w:val="single" w:sz="4" w:space="0" w:color="auto"/>
            </w:tcBorders>
          </w:tcPr>
          <w:p w14:paraId="5DBAA222" w14:textId="144A878D" w:rsidR="00CD6187" w:rsidRPr="00CF4276" w:rsidRDefault="00A54467" w:rsidP="00A4573A">
            <w:pPr>
              <w:jc w:val="left"/>
              <w:rPr>
                <w:rFonts w:ascii="Arial" w:hAnsi="Arial" w:cs="Arial"/>
                <w:i w:val="0"/>
                <w:sz w:val="20"/>
                <w:szCs w:val="20"/>
                <w:lang w:val="en-US"/>
              </w:rPr>
            </w:pPr>
            <w:r w:rsidRPr="00CF4276">
              <w:rPr>
                <w:rFonts w:ascii="Arial" w:hAnsi="Arial" w:cs="Arial"/>
                <w:i w:val="0"/>
                <w:sz w:val="20"/>
                <w:szCs w:val="20"/>
                <w:lang w:val="en-US"/>
              </w:rPr>
              <w:t xml:space="preserve">     </w:t>
            </w:r>
            <w:r w:rsidR="00CD6187" w:rsidRPr="00CF4276">
              <w:rPr>
                <w:rFonts w:ascii="Arial" w:hAnsi="Arial" w:cs="Arial"/>
                <w:i w:val="0"/>
                <w:sz w:val="20"/>
                <w:szCs w:val="20"/>
                <w:lang w:val="en-US"/>
              </w:rPr>
              <w:t>CAM-ICU</w:t>
            </w:r>
          </w:p>
        </w:tc>
        <w:tc>
          <w:tcPr>
            <w:tcW w:w="1417" w:type="dxa"/>
            <w:tcBorders>
              <w:right w:val="single" w:sz="4" w:space="0" w:color="auto"/>
            </w:tcBorders>
          </w:tcPr>
          <w:p w14:paraId="5BEAE1D8"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334 (100%)</w:t>
            </w:r>
          </w:p>
        </w:tc>
        <w:tc>
          <w:tcPr>
            <w:tcW w:w="1277" w:type="dxa"/>
            <w:tcBorders>
              <w:right w:val="single" w:sz="4" w:space="0" w:color="auto"/>
            </w:tcBorders>
          </w:tcPr>
          <w:p w14:paraId="5CE70019"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113 (100%)</w:t>
            </w:r>
          </w:p>
        </w:tc>
        <w:tc>
          <w:tcPr>
            <w:tcW w:w="1319" w:type="dxa"/>
            <w:tcBorders>
              <w:right w:val="single" w:sz="4" w:space="0" w:color="auto"/>
            </w:tcBorders>
          </w:tcPr>
          <w:p w14:paraId="24FB96C0"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221 (100%)</w:t>
            </w:r>
          </w:p>
        </w:tc>
      </w:tr>
      <w:tr w:rsidR="00CD6187" w:rsidRPr="00D9247E" w14:paraId="45E6F2E3" w14:textId="77777777" w:rsidTr="00A4573A">
        <w:tc>
          <w:tcPr>
            <w:cnfStyle w:val="001000000000" w:firstRow="0" w:lastRow="0" w:firstColumn="1" w:lastColumn="0" w:oddVBand="0" w:evenVBand="0" w:oddHBand="0" w:evenHBand="0" w:firstRowFirstColumn="0" w:firstRowLastColumn="0" w:lastRowFirstColumn="0" w:lastRowLastColumn="0"/>
            <w:tcW w:w="4815" w:type="dxa"/>
            <w:tcBorders>
              <w:left w:val="single" w:sz="4" w:space="0" w:color="auto"/>
              <w:bottom w:val="single" w:sz="4" w:space="0" w:color="auto"/>
            </w:tcBorders>
          </w:tcPr>
          <w:p w14:paraId="555FDB57" w14:textId="60A85E08" w:rsidR="00CD6187" w:rsidRPr="00CF4276" w:rsidRDefault="00A54467" w:rsidP="00A4573A">
            <w:pPr>
              <w:jc w:val="left"/>
              <w:rPr>
                <w:rFonts w:ascii="Arial" w:hAnsi="Arial" w:cs="Arial"/>
                <w:i w:val="0"/>
                <w:sz w:val="20"/>
                <w:szCs w:val="20"/>
                <w:lang w:val="en-US"/>
              </w:rPr>
            </w:pPr>
            <w:r w:rsidRPr="00CF4276">
              <w:rPr>
                <w:rFonts w:ascii="Arial" w:hAnsi="Arial" w:cs="Arial"/>
                <w:i w:val="0"/>
                <w:sz w:val="20"/>
                <w:szCs w:val="20"/>
                <w:lang w:val="en-US"/>
              </w:rPr>
              <w:t xml:space="preserve">     </w:t>
            </w:r>
            <w:r w:rsidR="00CD6187" w:rsidRPr="00CF4276">
              <w:rPr>
                <w:rFonts w:ascii="Arial" w:hAnsi="Arial" w:cs="Arial"/>
                <w:i w:val="0"/>
                <w:sz w:val="20"/>
                <w:szCs w:val="20"/>
                <w:lang w:val="en-US"/>
              </w:rPr>
              <w:t>ICDSC</w:t>
            </w:r>
          </w:p>
        </w:tc>
        <w:tc>
          <w:tcPr>
            <w:tcW w:w="1417" w:type="dxa"/>
            <w:tcBorders>
              <w:bottom w:val="single" w:sz="4" w:space="0" w:color="auto"/>
              <w:right w:val="single" w:sz="4" w:space="0" w:color="auto"/>
            </w:tcBorders>
          </w:tcPr>
          <w:p w14:paraId="596E8254"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c>
          <w:tcPr>
            <w:tcW w:w="1277" w:type="dxa"/>
            <w:tcBorders>
              <w:bottom w:val="single" w:sz="4" w:space="0" w:color="auto"/>
              <w:right w:val="single" w:sz="4" w:space="0" w:color="auto"/>
            </w:tcBorders>
          </w:tcPr>
          <w:p w14:paraId="7F8AB5AA"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c>
          <w:tcPr>
            <w:tcW w:w="1319" w:type="dxa"/>
            <w:tcBorders>
              <w:bottom w:val="single" w:sz="4" w:space="0" w:color="auto"/>
              <w:right w:val="single" w:sz="4" w:space="0" w:color="auto"/>
            </w:tcBorders>
          </w:tcPr>
          <w:p w14:paraId="07684335"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r>
      <w:tr w:rsidR="00CD6187" w:rsidRPr="00D9247E" w14:paraId="6A077E2A"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Borders>
              <w:top w:val="single" w:sz="4" w:space="0" w:color="auto"/>
              <w:left w:val="single" w:sz="4" w:space="0" w:color="auto"/>
            </w:tcBorders>
          </w:tcPr>
          <w:p w14:paraId="4800D5DE" w14:textId="77777777" w:rsidR="00CD6187" w:rsidRPr="00CF4276" w:rsidRDefault="00CD6187" w:rsidP="00A4573A">
            <w:pPr>
              <w:jc w:val="left"/>
              <w:rPr>
                <w:rFonts w:ascii="Arial" w:hAnsi="Arial" w:cs="Arial"/>
                <w:i w:val="0"/>
                <w:sz w:val="20"/>
                <w:szCs w:val="20"/>
                <w:lang w:val="es-ES"/>
              </w:rPr>
            </w:pPr>
            <w:r w:rsidRPr="00CF4276">
              <w:rPr>
                <w:rFonts w:ascii="Arial" w:hAnsi="Arial" w:cs="Arial"/>
                <w:i w:val="0"/>
                <w:sz w:val="20"/>
                <w:szCs w:val="20"/>
                <w:lang w:val="es-ES"/>
              </w:rPr>
              <w:t>Resultado escala delirium</w:t>
            </w:r>
          </w:p>
        </w:tc>
        <w:tc>
          <w:tcPr>
            <w:tcW w:w="1417" w:type="dxa"/>
            <w:tcBorders>
              <w:top w:val="single" w:sz="4" w:space="0" w:color="auto"/>
              <w:right w:val="single" w:sz="4" w:space="0" w:color="auto"/>
            </w:tcBorders>
          </w:tcPr>
          <w:p w14:paraId="63197299" w14:textId="77777777" w:rsidR="00CD6187" w:rsidRPr="00CF4276" w:rsidRDefault="00CD6187" w:rsidP="00A4573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c>
          <w:tcPr>
            <w:tcW w:w="1277" w:type="dxa"/>
            <w:tcBorders>
              <w:top w:val="single" w:sz="4" w:space="0" w:color="auto"/>
              <w:right w:val="single" w:sz="4" w:space="0" w:color="auto"/>
            </w:tcBorders>
          </w:tcPr>
          <w:p w14:paraId="624E4653" w14:textId="77777777" w:rsidR="00CD6187" w:rsidRPr="00CF4276" w:rsidRDefault="00CD6187" w:rsidP="00A4573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c>
          <w:tcPr>
            <w:tcW w:w="1319" w:type="dxa"/>
            <w:tcBorders>
              <w:top w:val="single" w:sz="4" w:space="0" w:color="auto"/>
              <w:right w:val="single" w:sz="4" w:space="0" w:color="auto"/>
            </w:tcBorders>
          </w:tcPr>
          <w:p w14:paraId="6FECC9D2" w14:textId="77777777" w:rsidR="00CD6187" w:rsidRPr="00CF4276" w:rsidRDefault="00CD6187" w:rsidP="00A4573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r>
      <w:tr w:rsidR="00CD6187" w:rsidRPr="00D9247E" w14:paraId="5BB004CF" w14:textId="77777777" w:rsidTr="00A4573A">
        <w:tc>
          <w:tcPr>
            <w:cnfStyle w:val="001000000000" w:firstRow="0" w:lastRow="0" w:firstColumn="1" w:lastColumn="0" w:oddVBand="0" w:evenVBand="0" w:oddHBand="0" w:evenHBand="0" w:firstRowFirstColumn="0" w:firstRowLastColumn="0" w:lastRowFirstColumn="0" w:lastRowLastColumn="0"/>
            <w:tcW w:w="4815" w:type="dxa"/>
            <w:tcBorders>
              <w:left w:val="single" w:sz="4" w:space="0" w:color="auto"/>
            </w:tcBorders>
          </w:tcPr>
          <w:p w14:paraId="3C7FFB48" w14:textId="089D074E" w:rsidR="00CD6187" w:rsidRPr="00CF4276" w:rsidRDefault="00A54467" w:rsidP="00A4573A">
            <w:pPr>
              <w:jc w:val="left"/>
              <w:rPr>
                <w:rFonts w:ascii="Arial" w:hAnsi="Arial" w:cs="Arial"/>
                <w:i w:val="0"/>
                <w:sz w:val="20"/>
                <w:szCs w:val="20"/>
                <w:lang w:val="es-ES"/>
              </w:rPr>
            </w:pPr>
            <w:r w:rsidRPr="00CF4276">
              <w:rPr>
                <w:rFonts w:ascii="Arial" w:hAnsi="Arial" w:cs="Arial"/>
                <w:i w:val="0"/>
                <w:sz w:val="20"/>
                <w:szCs w:val="20"/>
                <w:lang w:val="es-ES"/>
              </w:rPr>
              <w:t xml:space="preserve">     </w:t>
            </w:r>
            <w:r w:rsidR="00CD6187" w:rsidRPr="00CF4276">
              <w:rPr>
                <w:rFonts w:ascii="Arial" w:hAnsi="Arial" w:cs="Arial"/>
                <w:i w:val="0"/>
                <w:sz w:val="20"/>
                <w:szCs w:val="20"/>
                <w:lang w:val="es-ES"/>
              </w:rPr>
              <w:t>Positivo</w:t>
            </w:r>
          </w:p>
        </w:tc>
        <w:tc>
          <w:tcPr>
            <w:tcW w:w="1417" w:type="dxa"/>
            <w:tcBorders>
              <w:right w:val="single" w:sz="4" w:space="0" w:color="auto"/>
            </w:tcBorders>
          </w:tcPr>
          <w:p w14:paraId="14D7D3D3"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32 (9,6%)</w:t>
            </w:r>
          </w:p>
        </w:tc>
        <w:tc>
          <w:tcPr>
            <w:tcW w:w="1277" w:type="dxa"/>
            <w:tcBorders>
              <w:right w:val="single" w:sz="4" w:space="0" w:color="auto"/>
            </w:tcBorders>
          </w:tcPr>
          <w:p w14:paraId="36E5F0E3"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14 (12,3%)</w:t>
            </w:r>
          </w:p>
        </w:tc>
        <w:tc>
          <w:tcPr>
            <w:tcW w:w="1319" w:type="dxa"/>
            <w:tcBorders>
              <w:right w:val="single" w:sz="4" w:space="0" w:color="auto"/>
            </w:tcBorders>
          </w:tcPr>
          <w:p w14:paraId="2E5706E3"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18 (8,1%)</w:t>
            </w:r>
          </w:p>
        </w:tc>
      </w:tr>
      <w:tr w:rsidR="00CD6187" w:rsidRPr="00D9247E" w14:paraId="6B727E92"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Borders>
              <w:left w:val="single" w:sz="4" w:space="0" w:color="auto"/>
            </w:tcBorders>
          </w:tcPr>
          <w:p w14:paraId="0AB56AF2" w14:textId="383F26A0" w:rsidR="00CD6187" w:rsidRPr="00CF4276" w:rsidRDefault="00A54467" w:rsidP="00A4573A">
            <w:pPr>
              <w:jc w:val="left"/>
              <w:rPr>
                <w:rFonts w:ascii="Arial" w:hAnsi="Arial" w:cs="Arial"/>
                <w:i w:val="0"/>
                <w:sz w:val="20"/>
                <w:szCs w:val="20"/>
                <w:lang w:val="es-ES"/>
              </w:rPr>
            </w:pPr>
            <w:r w:rsidRPr="00CF4276">
              <w:rPr>
                <w:rFonts w:ascii="Arial" w:hAnsi="Arial" w:cs="Arial"/>
                <w:i w:val="0"/>
                <w:sz w:val="20"/>
                <w:szCs w:val="20"/>
                <w:lang w:val="es-ES"/>
              </w:rPr>
              <w:t xml:space="preserve">     </w:t>
            </w:r>
            <w:r w:rsidR="00CD6187" w:rsidRPr="00CF4276">
              <w:rPr>
                <w:rFonts w:ascii="Arial" w:hAnsi="Arial" w:cs="Arial"/>
                <w:i w:val="0"/>
                <w:sz w:val="20"/>
                <w:szCs w:val="20"/>
                <w:lang w:val="es-ES"/>
              </w:rPr>
              <w:t>Negativo</w:t>
            </w:r>
          </w:p>
        </w:tc>
        <w:tc>
          <w:tcPr>
            <w:tcW w:w="1417" w:type="dxa"/>
            <w:tcBorders>
              <w:right w:val="single" w:sz="4" w:space="0" w:color="auto"/>
            </w:tcBorders>
          </w:tcPr>
          <w:p w14:paraId="6CD46F0C"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240 (71,8%)</w:t>
            </w:r>
          </w:p>
        </w:tc>
        <w:tc>
          <w:tcPr>
            <w:tcW w:w="1277" w:type="dxa"/>
            <w:tcBorders>
              <w:right w:val="single" w:sz="4" w:space="0" w:color="auto"/>
            </w:tcBorders>
          </w:tcPr>
          <w:p w14:paraId="2CB514D9"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55 (48,7%)</w:t>
            </w:r>
          </w:p>
        </w:tc>
        <w:tc>
          <w:tcPr>
            <w:tcW w:w="1319" w:type="dxa"/>
            <w:tcBorders>
              <w:right w:val="single" w:sz="4" w:space="0" w:color="auto"/>
            </w:tcBorders>
          </w:tcPr>
          <w:p w14:paraId="39ED9B7B"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185 (83,7%)</w:t>
            </w:r>
          </w:p>
        </w:tc>
      </w:tr>
      <w:tr w:rsidR="00CD6187" w:rsidRPr="00D9247E" w14:paraId="5713EC6B" w14:textId="77777777" w:rsidTr="00A4573A">
        <w:tc>
          <w:tcPr>
            <w:cnfStyle w:val="001000000000" w:firstRow="0" w:lastRow="0" w:firstColumn="1" w:lastColumn="0" w:oddVBand="0" w:evenVBand="0" w:oddHBand="0" w:evenHBand="0" w:firstRowFirstColumn="0" w:firstRowLastColumn="0" w:lastRowFirstColumn="0" w:lastRowLastColumn="0"/>
            <w:tcW w:w="4815" w:type="dxa"/>
            <w:tcBorders>
              <w:left w:val="single" w:sz="4" w:space="0" w:color="auto"/>
              <w:bottom w:val="single" w:sz="4" w:space="0" w:color="auto"/>
            </w:tcBorders>
          </w:tcPr>
          <w:p w14:paraId="226E8C6B" w14:textId="7B9CA5CB" w:rsidR="00CD6187" w:rsidRPr="00CF4276" w:rsidRDefault="00A54467" w:rsidP="00A4573A">
            <w:pPr>
              <w:jc w:val="left"/>
              <w:rPr>
                <w:rFonts w:ascii="Arial" w:hAnsi="Arial" w:cs="Arial"/>
                <w:i w:val="0"/>
                <w:sz w:val="20"/>
                <w:szCs w:val="20"/>
                <w:lang w:val="es-ES"/>
              </w:rPr>
            </w:pPr>
            <w:r w:rsidRPr="00CF4276">
              <w:rPr>
                <w:rFonts w:ascii="Arial" w:hAnsi="Arial" w:cs="Arial"/>
                <w:i w:val="0"/>
                <w:sz w:val="20"/>
                <w:szCs w:val="20"/>
                <w:lang w:val="es-ES"/>
              </w:rPr>
              <w:t xml:space="preserve">     </w:t>
            </w:r>
            <w:r w:rsidR="00CD6187" w:rsidRPr="00CF4276">
              <w:rPr>
                <w:rFonts w:ascii="Arial" w:hAnsi="Arial" w:cs="Arial"/>
                <w:i w:val="0"/>
                <w:sz w:val="20"/>
                <w:szCs w:val="20"/>
                <w:lang w:val="es-ES"/>
              </w:rPr>
              <w:t>No evaluable</w:t>
            </w:r>
          </w:p>
        </w:tc>
        <w:tc>
          <w:tcPr>
            <w:tcW w:w="1417" w:type="dxa"/>
            <w:tcBorders>
              <w:bottom w:val="single" w:sz="4" w:space="0" w:color="auto"/>
              <w:right w:val="single" w:sz="4" w:space="0" w:color="auto"/>
            </w:tcBorders>
          </w:tcPr>
          <w:p w14:paraId="060DB593"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62 (18,5%)</w:t>
            </w:r>
          </w:p>
        </w:tc>
        <w:tc>
          <w:tcPr>
            <w:tcW w:w="1277" w:type="dxa"/>
            <w:tcBorders>
              <w:bottom w:val="single" w:sz="4" w:space="0" w:color="auto"/>
              <w:right w:val="single" w:sz="4" w:space="0" w:color="auto"/>
            </w:tcBorders>
          </w:tcPr>
          <w:p w14:paraId="56FB6D91"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44 (38,9%)</w:t>
            </w:r>
          </w:p>
        </w:tc>
        <w:tc>
          <w:tcPr>
            <w:tcW w:w="1319" w:type="dxa"/>
            <w:tcBorders>
              <w:bottom w:val="single" w:sz="4" w:space="0" w:color="auto"/>
              <w:right w:val="single" w:sz="4" w:space="0" w:color="auto"/>
            </w:tcBorders>
          </w:tcPr>
          <w:p w14:paraId="06A7311D"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18 (8,1%)</w:t>
            </w:r>
          </w:p>
        </w:tc>
      </w:tr>
      <w:tr w:rsidR="00CD6187" w:rsidRPr="00D9247E" w14:paraId="1099C18E"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Borders>
              <w:top w:val="single" w:sz="4" w:space="0" w:color="auto"/>
              <w:left w:val="single" w:sz="4" w:space="0" w:color="auto"/>
            </w:tcBorders>
          </w:tcPr>
          <w:p w14:paraId="32619844" w14:textId="77777777" w:rsidR="00CD6187" w:rsidRPr="00CF4276" w:rsidRDefault="00CD6187" w:rsidP="00A4573A">
            <w:pPr>
              <w:jc w:val="left"/>
              <w:rPr>
                <w:rFonts w:ascii="Arial" w:hAnsi="Arial" w:cs="Arial"/>
                <w:i w:val="0"/>
                <w:sz w:val="20"/>
                <w:szCs w:val="20"/>
                <w:lang w:val="es-ES"/>
              </w:rPr>
            </w:pPr>
            <w:r w:rsidRPr="00CF4276">
              <w:rPr>
                <w:rFonts w:ascii="Arial" w:hAnsi="Arial" w:cs="Arial"/>
                <w:i w:val="0"/>
                <w:sz w:val="20"/>
                <w:szCs w:val="20"/>
                <w:lang w:val="es-ES"/>
              </w:rPr>
              <w:t xml:space="preserve">Profesional </w:t>
            </w:r>
          </w:p>
        </w:tc>
        <w:tc>
          <w:tcPr>
            <w:tcW w:w="1417" w:type="dxa"/>
            <w:tcBorders>
              <w:top w:val="single" w:sz="4" w:space="0" w:color="auto"/>
              <w:right w:val="single" w:sz="4" w:space="0" w:color="auto"/>
            </w:tcBorders>
          </w:tcPr>
          <w:p w14:paraId="651B48E9" w14:textId="77777777" w:rsidR="00CD6187" w:rsidRPr="00CF4276" w:rsidRDefault="00CD6187" w:rsidP="00A4573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c>
          <w:tcPr>
            <w:tcW w:w="1277" w:type="dxa"/>
            <w:tcBorders>
              <w:top w:val="single" w:sz="4" w:space="0" w:color="auto"/>
              <w:right w:val="single" w:sz="4" w:space="0" w:color="auto"/>
            </w:tcBorders>
          </w:tcPr>
          <w:p w14:paraId="62C8F52C" w14:textId="77777777" w:rsidR="00CD6187" w:rsidRPr="00CF4276" w:rsidRDefault="00CD6187" w:rsidP="00A4573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c>
          <w:tcPr>
            <w:tcW w:w="1319" w:type="dxa"/>
            <w:tcBorders>
              <w:top w:val="single" w:sz="4" w:space="0" w:color="auto"/>
              <w:right w:val="single" w:sz="4" w:space="0" w:color="auto"/>
            </w:tcBorders>
          </w:tcPr>
          <w:p w14:paraId="527293B7" w14:textId="77777777" w:rsidR="00CD6187" w:rsidRPr="00CF4276" w:rsidRDefault="00CD6187" w:rsidP="00A4573A">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r>
      <w:tr w:rsidR="00CD6187" w:rsidRPr="00D9247E" w14:paraId="00C69C8D" w14:textId="77777777" w:rsidTr="00A4573A">
        <w:tc>
          <w:tcPr>
            <w:cnfStyle w:val="001000000000" w:firstRow="0" w:lastRow="0" w:firstColumn="1" w:lastColumn="0" w:oddVBand="0" w:evenVBand="0" w:oddHBand="0" w:evenHBand="0" w:firstRowFirstColumn="0" w:firstRowLastColumn="0" w:lastRowFirstColumn="0" w:lastRowLastColumn="0"/>
            <w:tcW w:w="4815" w:type="dxa"/>
            <w:tcBorders>
              <w:left w:val="single" w:sz="4" w:space="0" w:color="auto"/>
            </w:tcBorders>
          </w:tcPr>
          <w:p w14:paraId="75A3118A" w14:textId="38D719FD" w:rsidR="00CD6187" w:rsidRPr="00CF4276" w:rsidRDefault="00A54467" w:rsidP="00A4573A">
            <w:pPr>
              <w:jc w:val="left"/>
              <w:rPr>
                <w:rFonts w:ascii="Arial" w:hAnsi="Arial" w:cs="Arial"/>
                <w:i w:val="0"/>
                <w:sz w:val="20"/>
                <w:szCs w:val="20"/>
                <w:lang w:val="es-ES"/>
              </w:rPr>
            </w:pPr>
            <w:r w:rsidRPr="00CF4276">
              <w:rPr>
                <w:rFonts w:ascii="Arial" w:hAnsi="Arial" w:cs="Arial"/>
                <w:i w:val="0"/>
                <w:sz w:val="20"/>
                <w:szCs w:val="20"/>
                <w:lang w:val="es-ES"/>
              </w:rPr>
              <w:t xml:space="preserve">     </w:t>
            </w:r>
            <w:r w:rsidR="00CD6187" w:rsidRPr="00CF4276">
              <w:rPr>
                <w:rFonts w:ascii="Arial" w:hAnsi="Arial" w:cs="Arial"/>
                <w:i w:val="0"/>
                <w:sz w:val="20"/>
                <w:szCs w:val="20"/>
                <w:lang w:val="es-ES"/>
              </w:rPr>
              <w:t>Kinesiólogo de UCI</w:t>
            </w:r>
          </w:p>
        </w:tc>
        <w:tc>
          <w:tcPr>
            <w:tcW w:w="1417" w:type="dxa"/>
            <w:tcBorders>
              <w:right w:val="single" w:sz="4" w:space="0" w:color="auto"/>
            </w:tcBorders>
          </w:tcPr>
          <w:p w14:paraId="0BE4DABD"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329(98,5%)</w:t>
            </w:r>
          </w:p>
        </w:tc>
        <w:tc>
          <w:tcPr>
            <w:tcW w:w="1277" w:type="dxa"/>
            <w:tcBorders>
              <w:right w:val="single" w:sz="4" w:space="0" w:color="auto"/>
            </w:tcBorders>
          </w:tcPr>
          <w:p w14:paraId="65A84506"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112 (99,1%)</w:t>
            </w:r>
          </w:p>
        </w:tc>
        <w:tc>
          <w:tcPr>
            <w:tcW w:w="1319" w:type="dxa"/>
            <w:tcBorders>
              <w:right w:val="single" w:sz="4" w:space="0" w:color="auto"/>
            </w:tcBorders>
          </w:tcPr>
          <w:p w14:paraId="036CD226"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217 (98,2%)</w:t>
            </w:r>
          </w:p>
        </w:tc>
      </w:tr>
      <w:tr w:rsidR="00CD6187" w:rsidRPr="00D9247E" w14:paraId="1D2D0D53"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Borders>
              <w:left w:val="single" w:sz="4" w:space="0" w:color="auto"/>
            </w:tcBorders>
          </w:tcPr>
          <w:p w14:paraId="5E708F28" w14:textId="57286A08" w:rsidR="00CD6187" w:rsidRPr="00CF4276" w:rsidRDefault="00A54467" w:rsidP="00A4573A">
            <w:pPr>
              <w:jc w:val="left"/>
              <w:rPr>
                <w:rFonts w:ascii="Arial" w:hAnsi="Arial" w:cs="Arial"/>
                <w:i w:val="0"/>
                <w:sz w:val="20"/>
                <w:szCs w:val="20"/>
                <w:lang w:val="es-ES"/>
              </w:rPr>
            </w:pPr>
            <w:r w:rsidRPr="00CF4276">
              <w:rPr>
                <w:rFonts w:ascii="Arial" w:hAnsi="Arial" w:cs="Arial"/>
                <w:i w:val="0"/>
                <w:sz w:val="20"/>
                <w:szCs w:val="20"/>
                <w:lang w:val="es-ES"/>
              </w:rPr>
              <w:t xml:space="preserve">     </w:t>
            </w:r>
            <w:r w:rsidR="00CD6187" w:rsidRPr="00CF4276">
              <w:rPr>
                <w:rFonts w:ascii="Arial" w:hAnsi="Arial" w:cs="Arial"/>
                <w:i w:val="0"/>
                <w:sz w:val="20"/>
                <w:szCs w:val="20"/>
                <w:lang w:val="es-ES"/>
              </w:rPr>
              <w:t>Médico Residente</w:t>
            </w:r>
          </w:p>
        </w:tc>
        <w:tc>
          <w:tcPr>
            <w:tcW w:w="1417" w:type="dxa"/>
            <w:tcBorders>
              <w:right w:val="single" w:sz="4" w:space="0" w:color="auto"/>
            </w:tcBorders>
          </w:tcPr>
          <w:p w14:paraId="1F30EBBE"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4 (1,2%)</w:t>
            </w:r>
          </w:p>
        </w:tc>
        <w:tc>
          <w:tcPr>
            <w:tcW w:w="1277" w:type="dxa"/>
            <w:tcBorders>
              <w:right w:val="single" w:sz="4" w:space="0" w:color="auto"/>
            </w:tcBorders>
          </w:tcPr>
          <w:p w14:paraId="32D0A0C8"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c>
          <w:tcPr>
            <w:tcW w:w="1319" w:type="dxa"/>
            <w:tcBorders>
              <w:right w:val="single" w:sz="4" w:space="0" w:color="auto"/>
            </w:tcBorders>
          </w:tcPr>
          <w:p w14:paraId="08B4DA72"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4 (1,8%)</w:t>
            </w:r>
          </w:p>
        </w:tc>
      </w:tr>
      <w:tr w:rsidR="00CD6187" w:rsidRPr="00D9247E" w14:paraId="657BF511" w14:textId="77777777" w:rsidTr="00A4573A">
        <w:tc>
          <w:tcPr>
            <w:cnfStyle w:val="001000000000" w:firstRow="0" w:lastRow="0" w:firstColumn="1" w:lastColumn="0" w:oddVBand="0" w:evenVBand="0" w:oddHBand="0" w:evenHBand="0" w:firstRowFirstColumn="0" w:firstRowLastColumn="0" w:lastRowFirstColumn="0" w:lastRowLastColumn="0"/>
            <w:tcW w:w="4815" w:type="dxa"/>
            <w:tcBorders>
              <w:left w:val="single" w:sz="4" w:space="0" w:color="auto"/>
              <w:bottom w:val="single" w:sz="4" w:space="0" w:color="auto"/>
            </w:tcBorders>
          </w:tcPr>
          <w:p w14:paraId="6464EEAF" w14:textId="257647F5" w:rsidR="00CD6187" w:rsidRPr="00CF4276" w:rsidRDefault="00A54467" w:rsidP="00A4573A">
            <w:pPr>
              <w:jc w:val="left"/>
              <w:rPr>
                <w:rFonts w:ascii="Arial" w:hAnsi="Arial" w:cs="Arial"/>
                <w:i w:val="0"/>
                <w:sz w:val="20"/>
                <w:szCs w:val="20"/>
                <w:lang w:val="es-ES"/>
              </w:rPr>
            </w:pPr>
            <w:r w:rsidRPr="00CF4276">
              <w:rPr>
                <w:rFonts w:ascii="Arial" w:hAnsi="Arial" w:cs="Arial"/>
                <w:i w:val="0"/>
                <w:sz w:val="20"/>
                <w:szCs w:val="20"/>
                <w:lang w:val="es-ES"/>
              </w:rPr>
              <w:t xml:space="preserve">     </w:t>
            </w:r>
            <w:r w:rsidR="00CD6187" w:rsidRPr="00CF4276">
              <w:rPr>
                <w:rFonts w:ascii="Arial" w:hAnsi="Arial" w:cs="Arial"/>
                <w:i w:val="0"/>
                <w:sz w:val="20"/>
                <w:szCs w:val="20"/>
                <w:lang w:val="es-ES"/>
              </w:rPr>
              <w:t>Enfermero de UCI</w:t>
            </w:r>
          </w:p>
        </w:tc>
        <w:tc>
          <w:tcPr>
            <w:tcW w:w="1417" w:type="dxa"/>
            <w:tcBorders>
              <w:bottom w:val="single" w:sz="4" w:space="0" w:color="auto"/>
              <w:right w:val="single" w:sz="4" w:space="0" w:color="auto"/>
            </w:tcBorders>
          </w:tcPr>
          <w:p w14:paraId="0F259EFF"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 (0,3%)</w:t>
            </w:r>
          </w:p>
        </w:tc>
        <w:tc>
          <w:tcPr>
            <w:tcW w:w="1277" w:type="dxa"/>
            <w:tcBorders>
              <w:bottom w:val="single" w:sz="4" w:space="0" w:color="auto"/>
              <w:right w:val="single" w:sz="4" w:space="0" w:color="auto"/>
            </w:tcBorders>
          </w:tcPr>
          <w:p w14:paraId="315153EF"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 (0,9%)</w:t>
            </w:r>
          </w:p>
        </w:tc>
        <w:tc>
          <w:tcPr>
            <w:tcW w:w="1319" w:type="dxa"/>
            <w:tcBorders>
              <w:bottom w:val="single" w:sz="4" w:space="0" w:color="auto"/>
              <w:right w:val="single" w:sz="4" w:space="0" w:color="auto"/>
            </w:tcBorders>
          </w:tcPr>
          <w:p w14:paraId="180DD39D"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w:t>
            </w:r>
          </w:p>
        </w:tc>
      </w:tr>
      <w:tr w:rsidR="00CD6187" w:rsidRPr="007D41EC" w14:paraId="24F425DD"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4"/>
            <w:tcBorders>
              <w:top w:val="single" w:sz="4" w:space="0" w:color="auto"/>
              <w:left w:val="single" w:sz="4" w:space="0" w:color="auto"/>
              <w:bottom w:val="single" w:sz="4" w:space="0" w:color="auto"/>
              <w:right w:val="single" w:sz="4" w:space="0" w:color="auto"/>
            </w:tcBorders>
          </w:tcPr>
          <w:p w14:paraId="5F756E82" w14:textId="0FFC9F5A" w:rsidR="00CD6187" w:rsidRPr="00CF4276" w:rsidRDefault="00CD6187" w:rsidP="00A4573A">
            <w:pPr>
              <w:jc w:val="left"/>
              <w:rPr>
                <w:rFonts w:ascii="Arial" w:hAnsi="Arial" w:cs="Arial"/>
                <w:i w:val="0"/>
                <w:iCs w:val="0"/>
                <w:sz w:val="20"/>
                <w:szCs w:val="20"/>
                <w:lang w:val="es-ES"/>
              </w:rPr>
            </w:pPr>
            <w:r w:rsidRPr="00CF4276">
              <w:rPr>
                <w:rFonts w:ascii="Arial" w:hAnsi="Arial" w:cs="Arial"/>
                <w:i w:val="0"/>
                <w:sz w:val="20"/>
                <w:szCs w:val="20"/>
                <w:lang w:val="es-ES"/>
              </w:rPr>
              <w:t>Datos presentados en frecuencia absoluta</w:t>
            </w:r>
            <w:r w:rsidR="00A22368" w:rsidRPr="00CF4276">
              <w:rPr>
                <w:rFonts w:ascii="Arial" w:hAnsi="Arial" w:cs="Arial"/>
                <w:i w:val="0"/>
                <w:sz w:val="20"/>
                <w:szCs w:val="20"/>
                <w:lang w:val="es-ES"/>
              </w:rPr>
              <w:t xml:space="preserve"> y relativa </w:t>
            </w:r>
            <w:r w:rsidRPr="00CF4276">
              <w:rPr>
                <w:rFonts w:ascii="Arial" w:hAnsi="Arial" w:cs="Arial"/>
                <w:i w:val="0"/>
                <w:sz w:val="20"/>
                <w:szCs w:val="20"/>
                <w:lang w:val="es-ES"/>
              </w:rPr>
              <w:t xml:space="preserve"> (%) o mediana y (rango </w:t>
            </w:r>
            <w:proofErr w:type="spellStart"/>
            <w:r w:rsidRPr="00CF4276">
              <w:rPr>
                <w:rFonts w:ascii="Arial" w:hAnsi="Arial" w:cs="Arial"/>
                <w:i w:val="0"/>
                <w:sz w:val="20"/>
                <w:szCs w:val="20"/>
                <w:lang w:val="es-ES"/>
              </w:rPr>
              <w:t>intercuartílico</w:t>
            </w:r>
            <w:proofErr w:type="spellEnd"/>
            <w:r w:rsidRPr="00CF4276">
              <w:rPr>
                <w:rFonts w:ascii="Arial" w:hAnsi="Arial" w:cs="Arial"/>
                <w:i w:val="0"/>
                <w:sz w:val="20"/>
                <w:szCs w:val="20"/>
                <w:lang w:val="es-ES"/>
              </w:rPr>
              <w:t>)</w:t>
            </w:r>
          </w:p>
          <w:p w14:paraId="371D4931" w14:textId="0CA0A19A" w:rsidR="00CD6187" w:rsidRPr="00CF4276" w:rsidRDefault="00CD6187" w:rsidP="00A4573A">
            <w:pPr>
              <w:jc w:val="left"/>
              <w:rPr>
                <w:rFonts w:ascii="Arial" w:hAnsi="Arial" w:cs="Arial"/>
                <w:i w:val="0"/>
                <w:sz w:val="20"/>
                <w:szCs w:val="20"/>
                <w:lang w:val="es-ES"/>
              </w:rPr>
            </w:pPr>
            <w:r w:rsidRPr="00CF4276">
              <w:rPr>
                <w:rFonts w:ascii="Arial" w:hAnsi="Arial" w:cs="Arial"/>
                <w:i w:val="0"/>
                <w:iCs w:val="0"/>
                <w:sz w:val="20"/>
                <w:szCs w:val="20"/>
                <w:lang w:val="es-ES"/>
              </w:rPr>
              <w:t xml:space="preserve">* </w:t>
            </w:r>
            <w:r w:rsidRPr="00CF4276">
              <w:rPr>
                <w:rFonts w:ascii="Arial" w:hAnsi="Arial" w:cs="Arial"/>
                <w:i w:val="0"/>
                <w:sz w:val="20"/>
                <w:szCs w:val="20"/>
                <w:lang w:val="es-ES"/>
              </w:rPr>
              <w:t xml:space="preserve">1 día-paciente podía recibir &gt; 1 </w:t>
            </w:r>
            <w:r w:rsidRPr="00CF4276">
              <w:rPr>
                <w:rFonts w:ascii="Arial" w:hAnsi="Arial" w:cs="Arial"/>
                <w:i w:val="0"/>
                <w:iCs w:val="0"/>
                <w:sz w:val="20"/>
                <w:szCs w:val="20"/>
                <w:lang w:val="es-ES"/>
              </w:rPr>
              <w:t>evaluación; el total de evaluaciones registradas es de n= 334</w:t>
            </w:r>
            <w:r w:rsidR="00A54467" w:rsidRPr="00CF4276">
              <w:rPr>
                <w:rFonts w:ascii="Arial" w:hAnsi="Arial" w:cs="Arial"/>
                <w:i w:val="0"/>
                <w:iCs w:val="0"/>
                <w:sz w:val="20"/>
                <w:szCs w:val="20"/>
                <w:lang w:val="es-ES"/>
              </w:rPr>
              <w:t xml:space="preserve"> </w:t>
            </w:r>
            <w:r w:rsidRPr="00CF4276">
              <w:rPr>
                <w:rFonts w:ascii="Arial" w:hAnsi="Arial" w:cs="Arial"/>
                <w:i w:val="0"/>
                <w:iCs w:val="0"/>
                <w:sz w:val="20"/>
                <w:szCs w:val="20"/>
                <w:lang w:val="es-ES"/>
              </w:rPr>
              <w:t>en los 1134</w:t>
            </w:r>
            <w:r w:rsidR="00A54467" w:rsidRPr="00CF4276">
              <w:rPr>
                <w:rFonts w:ascii="Arial" w:hAnsi="Arial" w:cs="Arial"/>
                <w:i w:val="0"/>
                <w:iCs w:val="0"/>
                <w:sz w:val="20"/>
                <w:szCs w:val="20"/>
                <w:lang w:val="es-ES"/>
              </w:rPr>
              <w:t xml:space="preserve"> </w:t>
            </w:r>
            <w:r w:rsidRPr="00CF4276">
              <w:rPr>
                <w:rFonts w:ascii="Arial" w:hAnsi="Arial" w:cs="Arial"/>
                <w:i w:val="0"/>
                <w:iCs w:val="0"/>
                <w:sz w:val="20"/>
                <w:szCs w:val="20"/>
                <w:lang w:val="es-ES"/>
              </w:rPr>
              <w:t>días-paciente elegible.</w:t>
            </w:r>
          </w:p>
          <w:p w14:paraId="798DC014" w14:textId="77777777" w:rsidR="00CD6187" w:rsidRPr="00CF4276" w:rsidRDefault="00CD6187" w:rsidP="00A4573A">
            <w:pPr>
              <w:jc w:val="left"/>
              <w:rPr>
                <w:rFonts w:ascii="Arial" w:hAnsi="Arial" w:cs="Arial"/>
                <w:i w:val="0"/>
                <w:iCs w:val="0"/>
                <w:sz w:val="20"/>
                <w:szCs w:val="20"/>
                <w:lang w:val="en-US"/>
              </w:rPr>
            </w:pPr>
            <w:r w:rsidRPr="00CF4276">
              <w:rPr>
                <w:rFonts w:ascii="Arial" w:hAnsi="Arial" w:cs="Arial"/>
                <w:b/>
                <w:i w:val="0"/>
                <w:sz w:val="20"/>
                <w:szCs w:val="20"/>
                <w:lang w:val="en-US"/>
              </w:rPr>
              <w:t>CAM-ICU:</w:t>
            </w:r>
            <w:r w:rsidRPr="00CF4276">
              <w:rPr>
                <w:rFonts w:ascii="Arial" w:hAnsi="Arial" w:cs="Arial"/>
                <w:i w:val="0"/>
                <w:sz w:val="20"/>
                <w:szCs w:val="20"/>
                <w:lang w:val="en-US"/>
              </w:rPr>
              <w:t xml:space="preserve"> Confusion Assessment Method for the ICU, </w:t>
            </w:r>
            <w:r w:rsidRPr="00CF4276">
              <w:rPr>
                <w:rFonts w:ascii="Arial" w:hAnsi="Arial" w:cs="Arial"/>
                <w:b/>
                <w:i w:val="0"/>
                <w:sz w:val="20"/>
                <w:szCs w:val="20"/>
                <w:lang w:val="en-US"/>
              </w:rPr>
              <w:t>ICDSC:</w:t>
            </w:r>
            <w:r w:rsidRPr="00CF4276">
              <w:rPr>
                <w:rFonts w:ascii="Arial" w:hAnsi="Arial" w:cs="Arial"/>
                <w:i w:val="0"/>
                <w:sz w:val="20"/>
                <w:szCs w:val="20"/>
                <w:lang w:val="en-US"/>
              </w:rPr>
              <w:t xml:space="preserve"> Intensive Care Delirium Screening Checklist.</w:t>
            </w:r>
          </w:p>
          <w:p w14:paraId="4E0EB2F4" w14:textId="77777777" w:rsidR="00CD6187" w:rsidRPr="00CF4276" w:rsidRDefault="00CD6187" w:rsidP="00A4573A">
            <w:pPr>
              <w:jc w:val="left"/>
              <w:rPr>
                <w:rFonts w:ascii="Arial" w:hAnsi="Arial" w:cs="Arial"/>
                <w:i w:val="0"/>
                <w:sz w:val="20"/>
                <w:szCs w:val="20"/>
                <w:lang w:val="es-ES"/>
              </w:rPr>
            </w:pPr>
            <w:r w:rsidRPr="00CF4276">
              <w:rPr>
                <w:rFonts w:ascii="Arial" w:hAnsi="Arial" w:cs="Arial"/>
                <w:i w:val="0"/>
                <w:iCs w:val="0"/>
                <w:sz w:val="20"/>
                <w:szCs w:val="20"/>
                <w:lang w:val="es-ES"/>
              </w:rPr>
              <w:t>VMI: Ventilación Mecánica Invasiva</w:t>
            </w:r>
          </w:p>
        </w:tc>
      </w:tr>
    </w:tbl>
    <w:p w14:paraId="455D665A" w14:textId="767412AE" w:rsidR="00CD6187" w:rsidRDefault="00CD6187" w:rsidP="00BC7C94">
      <w:pPr>
        <w:suppressLineNumbers/>
        <w:spacing w:line="480" w:lineRule="auto"/>
        <w:rPr>
          <w:lang w:val="en-US"/>
        </w:rPr>
      </w:pPr>
    </w:p>
    <w:p w14:paraId="5DFD9F0F" w14:textId="65CBFA68" w:rsidR="00CF4276" w:rsidRDefault="00CF4276" w:rsidP="00BC7C94">
      <w:pPr>
        <w:suppressLineNumbers/>
        <w:spacing w:line="480" w:lineRule="auto"/>
        <w:rPr>
          <w:lang w:val="en-US"/>
        </w:rPr>
      </w:pPr>
    </w:p>
    <w:p w14:paraId="5D526090" w14:textId="3C4F6D06" w:rsidR="00CF4276" w:rsidRDefault="00CF4276" w:rsidP="00BC7C94">
      <w:pPr>
        <w:suppressLineNumbers/>
        <w:spacing w:line="480" w:lineRule="auto"/>
        <w:rPr>
          <w:lang w:val="en-US"/>
        </w:rPr>
      </w:pPr>
    </w:p>
    <w:p w14:paraId="4E164A8F" w14:textId="48371F73" w:rsidR="00CF4276" w:rsidRDefault="00CF4276" w:rsidP="00BC7C94">
      <w:pPr>
        <w:suppressLineNumbers/>
        <w:spacing w:line="480" w:lineRule="auto"/>
        <w:rPr>
          <w:lang w:val="en-US"/>
        </w:rPr>
      </w:pPr>
    </w:p>
    <w:p w14:paraId="05BE4DE8" w14:textId="70BF6990" w:rsidR="00CF4276" w:rsidRDefault="00CF4276" w:rsidP="00BC7C94">
      <w:pPr>
        <w:suppressLineNumbers/>
        <w:spacing w:line="480" w:lineRule="auto"/>
        <w:rPr>
          <w:lang w:val="en-US"/>
        </w:rPr>
      </w:pPr>
    </w:p>
    <w:p w14:paraId="7A41A08F" w14:textId="42B999D7" w:rsidR="00CF4276" w:rsidRDefault="00CF4276" w:rsidP="00BC7C94">
      <w:pPr>
        <w:suppressLineNumbers/>
        <w:spacing w:line="480" w:lineRule="auto"/>
        <w:rPr>
          <w:lang w:val="en-US"/>
        </w:rPr>
      </w:pPr>
    </w:p>
    <w:p w14:paraId="654FABBD" w14:textId="3C7C5B4F" w:rsidR="00CF4276" w:rsidRDefault="00CF4276" w:rsidP="00BC7C94">
      <w:pPr>
        <w:suppressLineNumbers/>
        <w:spacing w:line="480" w:lineRule="auto"/>
        <w:rPr>
          <w:lang w:val="en-US"/>
        </w:rPr>
      </w:pPr>
    </w:p>
    <w:p w14:paraId="09C7C3E3" w14:textId="4FB29B4E" w:rsidR="00CF4276" w:rsidRDefault="00CF4276" w:rsidP="00BC7C94">
      <w:pPr>
        <w:suppressLineNumbers/>
        <w:spacing w:line="480" w:lineRule="auto"/>
        <w:rPr>
          <w:lang w:val="en-US"/>
        </w:rPr>
      </w:pPr>
    </w:p>
    <w:p w14:paraId="11FCCFE3" w14:textId="2ABFF50F" w:rsidR="00CF4276" w:rsidRDefault="00CF4276" w:rsidP="00BC7C94">
      <w:pPr>
        <w:suppressLineNumbers/>
        <w:spacing w:line="480" w:lineRule="auto"/>
        <w:rPr>
          <w:lang w:val="en-US"/>
        </w:rPr>
      </w:pPr>
    </w:p>
    <w:p w14:paraId="2128FFC4" w14:textId="77777777" w:rsidR="00CF4276" w:rsidRDefault="00CF4276" w:rsidP="00BC7C94">
      <w:pPr>
        <w:suppressLineNumbers/>
        <w:spacing w:line="480" w:lineRule="auto"/>
        <w:rPr>
          <w:lang w:val="en-US"/>
        </w:rPr>
      </w:pPr>
    </w:p>
    <w:tbl>
      <w:tblPr>
        <w:tblStyle w:val="Tablanormal51"/>
        <w:tblW w:w="0" w:type="auto"/>
        <w:tblLook w:val="04A0" w:firstRow="1" w:lastRow="0" w:firstColumn="1" w:lastColumn="0" w:noHBand="0" w:noVBand="1"/>
      </w:tblPr>
      <w:tblGrid>
        <w:gridCol w:w="4732"/>
        <w:gridCol w:w="1248"/>
        <w:gridCol w:w="1274"/>
        <w:gridCol w:w="1290"/>
      </w:tblGrid>
      <w:tr w:rsidR="00CD6187" w14:paraId="617B690B" w14:textId="77777777" w:rsidTr="00A4573A">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828" w:type="dxa"/>
            <w:gridSpan w:val="4"/>
            <w:tcBorders>
              <w:top w:val="single" w:sz="4" w:space="0" w:color="auto"/>
              <w:left w:val="single" w:sz="4" w:space="0" w:color="auto"/>
              <w:bottom w:val="single" w:sz="4" w:space="0" w:color="auto"/>
              <w:right w:val="single" w:sz="4" w:space="0" w:color="auto"/>
            </w:tcBorders>
          </w:tcPr>
          <w:p w14:paraId="2B2C6715" w14:textId="1CDB9B0B" w:rsidR="00CD6187" w:rsidRPr="00CF4276" w:rsidRDefault="00CD6187" w:rsidP="00A4573A">
            <w:pPr>
              <w:jc w:val="left"/>
              <w:rPr>
                <w:rFonts w:ascii="Arial" w:hAnsi="Arial" w:cs="Arial"/>
                <w:b/>
                <w:i w:val="0"/>
                <w:sz w:val="20"/>
                <w:szCs w:val="20"/>
                <w:lang w:val="es-ES"/>
              </w:rPr>
            </w:pPr>
            <w:r w:rsidRPr="00CF4276">
              <w:rPr>
                <w:rFonts w:ascii="Arial" w:hAnsi="Arial" w:cs="Arial"/>
                <w:b/>
                <w:i w:val="0"/>
                <w:sz w:val="20"/>
                <w:szCs w:val="20"/>
                <w:lang w:val="es-ES"/>
              </w:rPr>
              <w:lastRenderedPageBreak/>
              <w:t xml:space="preserve">Tabla </w:t>
            </w:r>
            <w:r w:rsidR="00CF4276" w:rsidRPr="00CF4276">
              <w:rPr>
                <w:rFonts w:ascii="Arial" w:hAnsi="Arial" w:cs="Arial"/>
                <w:b/>
                <w:i w:val="0"/>
                <w:sz w:val="20"/>
                <w:szCs w:val="20"/>
                <w:lang w:val="es-ES"/>
              </w:rPr>
              <w:t>6</w:t>
            </w:r>
            <w:r w:rsidRPr="00CF4276">
              <w:rPr>
                <w:rFonts w:ascii="Arial" w:hAnsi="Arial" w:cs="Arial"/>
                <w:b/>
                <w:i w:val="0"/>
                <w:sz w:val="20"/>
                <w:szCs w:val="20"/>
                <w:lang w:val="es-ES"/>
              </w:rPr>
              <w:t xml:space="preserve">. Cumplimiento del ABCDEF </w:t>
            </w:r>
            <w:r w:rsidR="00AD58D7" w:rsidRPr="00CF4276">
              <w:rPr>
                <w:rFonts w:ascii="Arial" w:hAnsi="Arial" w:cs="Arial"/>
                <w:b/>
                <w:i w:val="0"/>
                <w:sz w:val="20"/>
                <w:szCs w:val="20"/>
                <w:lang w:val="es-ES"/>
              </w:rPr>
              <w:t>“</w:t>
            </w:r>
            <w:proofErr w:type="spellStart"/>
            <w:r w:rsidR="00AD58D7" w:rsidRPr="00CF4276">
              <w:rPr>
                <w:rFonts w:ascii="Arial" w:hAnsi="Arial" w:cs="Arial"/>
                <w:b/>
                <w:i w:val="0"/>
                <w:sz w:val="20"/>
                <w:szCs w:val="20"/>
                <w:lang w:val="es-ES"/>
              </w:rPr>
              <w:t>bundle</w:t>
            </w:r>
            <w:proofErr w:type="spellEnd"/>
            <w:r w:rsidR="00AD58D7" w:rsidRPr="00CF4276">
              <w:rPr>
                <w:rFonts w:ascii="Arial" w:hAnsi="Arial" w:cs="Arial"/>
                <w:b/>
                <w:i w:val="0"/>
                <w:sz w:val="20"/>
                <w:szCs w:val="20"/>
                <w:lang w:val="es-ES"/>
              </w:rPr>
              <w:t>”</w:t>
            </w:r>
            <w:r w:rsidRPr="00CF4276">
              <w:rPr>
                <w:rFonts w:ascii="Arial" w:hAnsi="Arial" w:cs="Arial"/>
                <w:b/>
                <w:i w:val="0"/>
                <w:sz w:val="20"/>
                <w:szCs w:val="20"/>
                <w:lang w:val="es-ES"/>
              </w:rPr>
              <w:t xml:space="preserve"> entre marzo y agosto de 2019 (n =1134 día-paciente)</w:t>
            </w:r>
          </w:p>
        </w:tc>
      </w:tr>
      <w:tr w:rsidR="00CD6187" w:rsidRPr="007D41EC" w14:paraId="50C11BB6"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7" w:type="dxa"/>
            <w:tcBorders>
              <w:top w:val="single" w:sz="4" w:space="0" w:color="auto"/>
              <w:left w:val="single" w:sz="4" w:space="0" w:color="auto"/>
              <w:bottom w:val="single" w:sz="4" w:space="0" w:color="auto"/>
            </w:tcBorders>
            <w:vAlign w:val="center"/>
          </w:tcPr>
          <w:p w14:paraId="5679B1B9" w14:textId="77777777" w:rsidR="00CD6187" w:rsidRPr="00CF4276" w:rsidRDefault="00CD6187" w:rsidP="00A4573A">
            <w:pPr>
              <w:jc w:val="center"/>
              <w:rPr>
                <w:rFonts w:ascii="Arial" w:hAnsi="Arial" w:cs="Arial"/>
                <w:i w:val="0"/>
                <w:sz w:val="20"/>
                <w:szCs w:val="20"/>
                <w:lang w:val="es-ES"/>
              </w:rPr>
            </w:pPr>
            <w:r w:rsidRPr="00CF4276">
              <w:rPr>
                <w:rFonts w:ascii="Arial" w:hAnsi="Arial" w:cs="Arial"/>
                <w:i w:val="0"/>
                <w:sz w:val="20"/>
                <w:szCs w:val="20"/>
                <w:lang w:val="es-ES"/>
              </w:rPr>
              <w:t>Elemento “E”; Movilización Temprana</w:t>
            </w:r>
          </w:p>
        </w:tc>
        <w:tc>
          <w:tcPr>
            <w:tcW w:w="1275" w:type="dxa"/>
            <w:tcBorders>
              <w:top w:val="single" w:sz="4" w:space="0" w:color="auto"/>
              <w:bottom w:val="single" w:sz="4" w:space="0" w:color="auto"/>
            </w:tcBorders>
            <w:vAlign w:val="center"/>
          </w:tcPr>
          <w:p w14:paraId="15A3E12C"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TOTAL</w:t>
            </w:r>
          </w:p>
        </w:tc>
        <w:tc>
          <w:tcPr>
            <w:tcW w:w="1276" w:type="dxa"/>
            <w:tcBorders>
              <w:top w:val="single" w:sz="4" w:space="0" w:color="auto"/>
              <w:bottom w:val="single" w:sz="4" w:space="0" w:color="auto"/>
            </w:tcBorders>
            <w:vAlign w:val="center"/>
          </w:tcPr>
          <w:p w14:paraId="4B021C17"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con VMI</w:t>
            </w:r>
          </w:p>
          <w:p w14:paraId="2AFC86A8"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(n= 391)</w:t>
            </w:r>
          </w:p>
        </w:tc>
        <w:tc>
          <w:tcPr>
            <w:tcW w:w="1320" w:type="dxa"/>
            <w:tcBorders>
              <w:top w:val="single" w:sz="4" w:space="0" w:color="auto"/>
              <w:bottom w:val="single" w:sz="4" w:space="0" w:color="auto"/>
              <w:right w:val="single" w:sz="4" w:space="0" w:color="auto"/>
            </w:tcBorders>
            <w:vAlign w:val="center"/>
          </w:tcPr>
          <w:p w14:paraId="34C6AEE1"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sin VMI</w:t>
            </w:r>
          </w:p>
          <w:p w14:paraId="452FAB08"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(n= 743)</w:t>
            </w:r>
          </w:p>
        </w:tc>
      </w:tr>
      <w:tr w:rsidR="00CD6187" w14:paraId="31A7CADA" w14:textId="77777777" w:rsidTr="00A4573A">
        <w:tc>
          <w:tcPr>
            <w:cnfStyle w:val="001000000000" w:firstRow="0" w:lastRow="0" w:firstColumn="1" w:lastColumn="0" w:oddVBand="0" w:evenVBand="0" w:oddHBand="0" w:evenHBand="0" w:firstRowFirstColumn="0" w:firstRowLastColumn="0" w:lastRowFirstColumn="0" w:lastRowLastColumn="0"/>
            <w:tcW w:w="4957" w:type="dxa"/>
            <w:tcBorders>
              <w:top w:val="single" w:sz="4" w:space="0" w:color="auto"/>
              <w:left w:val="single" w:sz="4" w:space="0" w:color="auto"/>
            </w:tcBorders>
          </w:tcPr>
          <w:p w14:paraId="1B50EBBD" w14:textId="77777777" w:rsidR="00CD6187" w:rsidRPr="00CF4276" w:rsidRDefault="00CD6187" w:rsidP="00A4573A">
            <w:pPr>
              <w:jc w:val="left"/>
              <w:rPr>
                <w:rFonts w:ascii="Arial" w:hAnsi="Arial" w:cs="Arial"/>
                <w:i w:val="0"/>
                <w:sz w:val="20"/>
                <w:szCs w:val="20"/>
                <w:lang w:val="es-ES"/>
              </w:rPr>
            </w:pPr>
            <w:r w:rsidRPr="00CF4276">
              <w:rPr>
                <w:rFonts w:ascii="Arial" w:hAnsi="Arial" w:cs="Arial"/>
                <w:i w:val="0"/>
                <w:sz w:val="20"/>
                <w:szCs w:val="20"/>
                <w:lang w:val="es-ES"/>
              </w:rPr>
              <w:t>Elegible</w:t>
            </w:r>
          </w:p>
        </w:tc>
        <w:tc>
          <w:tcPr>
            <w:tcW w:w="1275" w:type="dxa"/>
            <w:tcBorders>
              <w:top w:val="single" w:sz="4" w:space="0" w:color="auto"/>
            </w:tcBorders>
          </w:tcPr>
          <w:p w14:paraId="0A70643E"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897 (79,1%)</w:t>
            </w:r>
          </w:p>
        </w:tc>
        <w:tc>
          <w:tcPr>
            <w:tcW w:w="1276" w:type="dxa"/>
            <w:tcBorders>
              <w:top w:val="single" w:sz="4" w:space="0" w:color="auto"/>
            </w:tcBorders>
          </w:tcPr>
          <w:p w14:paraId="14C242F1"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306 (78,2%)</w:t>
            </w:r>
          </w:p>
        </w:tc>
        <w:tc>
          <w:tcPr>
            <w:tcW w:w="1320" w:type="dxa"/>
            <w:tcBorders>
              <w:top w:val="single" w:sz="4" w:space="0" w:color="auto"/>
              <w:right w:val="single" w:sz="4" w:space="0" w:color="auto"/>
            </w:tcBorders>
          </w:tcPr>
          <w:p w14:paraId="7B8ED5AA"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591 (79,5%)</w:t>
            </w:r>
          </w:p>
        </w:tc>
      </w:tr>
      <w:tr w:rsidR="00CD6187" w14:paraId="15E021DD"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7" w:type="dxa"/>
            <w:tcBorders>
              <w:left w:val="single" w:sz="4" w:space="0" w:color="auto"/>
            </w:tcBorders>
          </w:tcPr>
          <w:p w14:paraId="0D1DDCD9" w14:textId="77777777" w:rsidR="00CD6187" w:rsidRPr="00CF4276" w:rsidRDefault="00CD6187" w:rsidP="00A4573A">
            <w:pPr>
              <w:jc w:val="left"/>
              <w:rPr>
                <w:rFonts w:ascii="Arial" w:hAnsi="Arial" w:cs="Arial"/>
                <w:i w:val="0"/>
                <w:sz w:val="20"/>
                <w:szCs w:val="20"/>
                <w:lang w:val="es-ES"/>
              </w:rPr>
            </w:pPr>
            <w:r w:rsidRPr="00CF4276">
              <w:rPr>
                <w:rFonts w:ascii="Arial" w:hAnsi="Arial" w:cs="Arial"/>
                <w:i w:val="0"/>
                <w:sz w:val="20"/>
                <w:szCs w:val="20"/>
                <w:lang w:val="es-ES"/>
              </w:rPr>
              <w:t>Cumplimiento elemento “E”</w:t>
            </w:r>
          </w:p>
        </w:tc>
        <w:tc>
          <w:tcPr>
            <w:tcW w:w="1275" w:type="dxa"/>
          </w:tcPr>
          <w:p w14:paraId="4DAE2787"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600 (66,9%)</w:t>
            </w:r>
          </w:p>
        </w:tc>
        <w:tc>
          <w:tcPr>
            <w:tcW w:w="1276" w:type="dxa"/>
          </w:tcPr>
          <w:p w14:paraId="2D2F56D0"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149 (48,7%)</w:t>
            </w:r>
          </w:p>
        </w:tc>
        <w:tc>
          <w:tcPr>
            <w:tcW w:w="1320" w:type="dxa"/>
            <w:tcBorders>
              <w:right w:val="single" w:sz="4" w:space="0" w:color="auto"/>
            </w:tcBorders>
          </w:tcPr>
          <w:p w14:paraId="0C222B34"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451 (76,3%)</w:t>
            </w:r>
          </w:p>
        </w:tc>
      </w:tr>
      <w:tr w:rsidR="00CD6187" w14:paraId="7F43DB69" w14:textId="77777777" w:rsidTr="00A4573A">
        <w:tc>
          <w:tcPr>
            <w:cnfStyle w:val="001000000000" w:firstRow="0" w:lastRow="0" w:firstColumn="1" w:lastColumn="0" w:oddVBand="0" w:evenVBand="0" w:oddHBand="0" w:evenHBand="0" w:firstRowFirstColumn="0" w:firstRowLastColumn="0" w:lastRowFirstColumn="0" w:lastRowLastColumn="0"/>
            <w:tcW w:w="4957" w:type="dxa"/>
            <w:tcBorders>
              <w:left w:val="single" w:sz="4" w:space="0" w:color="auto"/>
            </w:tcBorders>
          </w:tcPr>
          <w:p w14:paraId="527FE90F" w14:textId="77777777" w:rsidR="00CD6187" w:rsidRPr="00CF4276" w:rsidRDefault="00CD6187" w:rsidP="00A4573A">
            <w:pPr>
              <w:jc w:val="left"/>
              <w:rPr>
                <w:rFonts w:ascii="Arial" w:hAnsi="Arial" w:cs="Arial"/>
                <w:i w:val="0"/>
                <w:sz w:val="20"/>
                <w:szCs w:val="20"/>
                <w:lang w:val="es-ES"/>
              </w:rPr>
            </w:pPr>
            <w:r w:rsidRPr="00CF4276">
              <w:rPr>
                <w:rFonts w:ascii="Arial" w:hAnsi="Arial" w:cs="Arial"/>
                <w:i w:val="0"/>
                <w:sz w:val="20"/>
                <w:szCs w:val="20"/>
                <w:lang w:val="es-ES"/>
              </w:rPr>
              <w:t>Número de sesiones de movilización temprana*</w:t>
            </w:r>
          </w:p>
        </w:tc>
        <w:tc>
          <w:tcPr>
            <w:tcW w:w="1275" w:type="dxa"/>
          </w:tcPr>
          <w:p w14:paraId="101CD31F"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749 (100%)</w:t>
            </w:r>
          </w:p>
        </w:tc>
        <w:tc>
          <w:tcPr>
            <w:tcW w:w="1276" w:type="dxa"/>
          </w:tcPr>
          <w:p w14:paraId="3CDC0A9A"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178 (23,8%)</w:t>
            </w:r>
          </w:p>
        </w:tc>
        <w:tc>
          <w:tcPr>
            <w:tcW w:w="1320" w:type="dxa"/>
            <w:tcBorders>
              <w:right w:val="single" w:sz="4" w:space="0" w:color="auto"/>
            </w:tcBorders>
          </w:tcPr>
          <w:p w14:paraId="608F9494"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571 (76,2%)</w:t>
            </w:r>
          </w:p>
        </w:tc>
      </w:tr>
      <w:tr w:rsidR="00CD6187" w14:paraId="6694BCF6"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7" w:type="dxa"/>
            <w:tcBorders>
              <w:left w:val="single" w:sz="4" w:space="0" w:color="auto"/>
              <w:bottom w:val="single" w:sz="4" w:space="0" w:color="auto"/>
            </w:tcBorders>
          </w:tcPr>
          <w:p w14:paraId="69454FB1" w14:textId="77777777" w:rsidR="00CD6187" w:rsidRPr="00CF4276" w:rsidRDefault="00CD6187" w:rsidP="00A4573A">
            <w:pPr>
              <w:jc w:val="left"/>
              <w:rPr>
                <w:rFonts w:ascii="Arial" w:hAnsi="Arial" w:cs="Arial"/>
                <w:i w:val="0"/>
                <w:sz w:val="20"/>
                <w:szCs w:val="20"/>
                <w:lang w:val="es-ES"/>
              </w:rPr>
            </w:pPr>
            <w:r w:rsidRPr="00CF4276">
              <w:rPr>
                <w:rFonts w:ascii="Arial" w:hAnsi="Arial" w:cs="Arial"/>
                <w:i w:val="0"/>
                <w:sz w:val="20"/>
                <w:szCs w:val="20"/>
                <w:lang w:val="es-ES"/>
              </w:rPr>
              <w:t>Número de sesiones de movilización temprana por día</w:t>
            </w:r>
          </w:p>
        </w:tc>
        <w:tc>
          <w:tcPr>
            <w:tcW w:w="1275" w:type="dxa"/>
            <w:tcBorders>
              <w:bottom w:val="single" w:sz="4" w:space="0" w:color="auto"/>
            </w:tcBorders>
          </w:tcPr>
          <w:p w14:paraId="230F1F94"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 (1-1)</w:t>
            </w:r>
          </w:p>
        </w:tc>
        <w:tc>
          <w:tcPr>
            <w:tcW w:w="1276" w:type="dxa"/>
            <w:tcBorders>
              <w:bottom w:val="single" w:sz="4" w:space="0" w:color="auto"/>
            </w:tcBorders>
          </w:tcPr>
          <w:p w14:paraId="163B4849"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 (1-1)</w:t>
            </w:r>
          </w:p>
        </w:tc>
        <w:tc>
          <w:tcPr>
            <w:tcW w:w="1320" w:type="dxa"/>
            <w:tcBorders>
              <w:bottom w:val="single" w:sz="4" w:space="0" w:color="auto"/>
              <w:right w:val="single" w:sz="4" w:space="0" w:color="auto"/>
            </w:tcBorders>
          </w:tcPr>
          <w:p w14:paraId="7B50D1FC"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 (1-1)</w:t>
            </w:r>
          </w:p>
        </w:tc>
      </w:tr>
      <w:tr w:rsidR="00CD6187" w14:paraId="6C3E92E4" w14:textId="77777777" w:rsidTr="00A4573A">
        <w:tc>
          <w:tcPr>
            <w:cnfStyle w:val="001000000000" w:firstRow="0" w:lastRow="0" w:firstColumn="1" w:lastColumn="0" w:oddVBand="0" w:evenVBand="0" w:oddHBand="0" w:evenHBand="0" w:firstRowFirstColumn="0" w:firstRowLastColumn="0" w:lastRowFirstColumn="0" w:lastRowLastColumn="0"/>
            <w:tcW w:w="4957" w:type="dxa"/>
            <w:tcBorders>
              <w:top w:val="single" w:sz="4" w:space="0" w:color="auto"/>
              <w:left w:val="single" w:sz="4" w:space="0" w:color="auto"/>
            </w:tcBorders>
          </w:tcPr>
          <w:p w14:paraId="7322127D" w14:textId="77777777" w:rsidR="00CD6187" w:rsidRPr="00CF4276" w:rsidRDefault="00CD6187" w:rsidP="00A4573A">
            <w:pPr>
              <w:jc w:val="left"/>
              <w:rPr>
                <w:rFonts w:ascii="Arial" w:hAnsi="Arial" w:cs="Arial"/>
                <w:i w:val="0"/>
                <w:sz w:val="20"/>
                <w:szCs w:val="20"/>
                <w:lang w:val="es-ES"/>
              </w:rPr>
            </w:pPr>
            <w:r w:rsidRPr="00CF4276">
              <w:rPr>
                <w:rFonts w:ascii="Arial" w:hAnsi="Arial" w:cs="Arial"/>
                <w:i w:val="0"/>
                <w:sz w:val="20"/>
                <w:szCs w:val="20"/>
                <w:lang w:val="es-ES"/>
              </w:rPr>
              <w:t xml:space="preserve">Terapia Física** </w:t>
            </w:r>
          </w:p>
        </w:tc>
        <w:tc>
          <w:tcPr>
            <w:tcW w:w="1275" w:type="dxa"/>
            <w:tcBorders>
              <w:top w:val="single" w:sz="4" w:space="0" w:color="auto"/>
            </w:tcBorders>
          </w:tcPr>
          <w:p w14:paraId="7D2C3F8A"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1451 (100%)</w:t>
            </w:r>
          </w:p>
        </w:tc>
        <w:tc>
          <w:tcPr>
            <w:tcW w:w="1276" w:type="dxa"/>
            <w:tcBorders>
              <w:top w:val="single" w:sz="4" w:space="0" w:color="auto"/>
            </w:tcBorders>
          </w:tcPr>
          <w:p w14:paraId="258E9456"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203 (13,9%)</w:t>
            </w:r>
          </w:p>
        </w:tc>
        <w:tc>
          <w:tcPr>
            <w:tcW w:w="1320" w:type="dxa"/>
            <w:tcBorders>
              <w:top w:val="single" w:sz="4" w:space="0" w:color="auto"/>
              <w:right w:val="single" w:sz="4" w:space="0" w:color="auto"/>
            </w:tcBorders>
          </w:tcPr>
          <w:p w14:paraId="69DD5CD0"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1248 (86%)</w:t>
            </w:r>
          </w:p>
        </w:tc>
      </w:tr>
      <w:tr w:rsidR="00CD6187" w14:paraId="174FB8BF"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7" w:type="dxa"/>
            <w:tcBorders>
              <w:left w:val="single" w:sz="4" w:space="0" w:color="auto"/>
            </w:tcBorders>
          </w:tcPr>
          <w:p w14:paraId="37963448" w14:textId="69A43D67" w:rsidR="00CD6187" w:rsidRPr="00CF4276" w:rsidRDefault="00A54467" w:rsidP="00A4573A">
            <w:pPr>
              <w:jc w:val="left"/>
              <w:rPr>
                <w:rFonts w:ascii="Arial" w:hAnsi="Arial" w:cs="Arial"/>
                <w:i w:val="0"/>
                <w:sz w:val="20"/>
                <w:szCs w:val="20"/>
                <w:lang w:val="es-ES"/>
              </w:rPr>
            </w:pPr>
            <w:r w:rsidRPr="00CF4276">
              <w:rPr>
                <w:rFonts w:ascii="Arial" w:hAnsi="Arial" w:cs="Arial"/>
                <w:i w:val="0"/>
                <w:sz w:val="20"/>
                <w:szCs w:val="20"/>
                <w:lang w:val="es-ES"/>
              </w:rPr>
              <w:t xml:space="preserve">     </w:t>
            </w:r>
            <w:r w:rsidR="00CD6187" w:rsidRPr="00CF4276">
              <w:rPr>
                <w:rFonts w:ascii="Arial" w:hAnsi="Arial" w:cs="Arial"/>
                <w:i w:val="0"/>
                <w:sz w:val="20"/>
                <w:szCs w:val="20"/>
                <w:lang w:val="es-ES"/>
              </w:rPr>
              <w:t>Movilidad pasiva en cama</w:t>
            </w:r>
          </w:p>
        </w:tc>
        <w:tc>
          <w:tcPr>
            <w:tcW w:w="1275" w:type="dxa"/>
          </w:tcPr>
          <w:p w14:paraId="186086F3"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228 (15,7%)</w:t>
            </w:r>
          </w:p>
        </w:tc>
        <w:tc>
          <w:tcPr>
            <w:tcW w:w="1276" w:type="dxa"/>
          </w:tcPr>
          <w:p w14:paraId="4A25D51E"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114 (56,2%)</w:t>
            </w:r>
          </w:p>
        </w:tc>
        <w:tc>
          <w:tcPr>
            <w:tcW w:w="1320" w:type="dxa"/>
            <w:tcBorders>
              <w:right w:val="single" w:sz="4" w:space="0" w:color="auto"/>
            </w:tcBorders>
          </w:tcPr>
          <w:p w14:paraId="286DCC9F"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114 (9,1%)</w:t>
            </w:r>
          </w:p>
        </w:tc>
      </w:tr>
      <w:tr w:rsidR="00CD6187" w14:paraId="0911E2A1" w14:textId="77777777" w:rsidTr="00A4573A">
        <w:tc>
          <w:tcPr>
            <w:cnfStyle w:val="001000000000" w:firstRow="0" w:lastRow="0" w:firstColumn="1" w:lastColumn="0" w:oddVBand="0" w:evenVBand="0" w:oddHBand="0" w:evenHBand="0" w:firstRowFirstColumn="0" w:firstRowLastColumn="0" w:lastRowFirstColumn="0" w:lastRowLastColumn="0"/>
            <w:tcW w:w="4957" w:type="dxa"/>
            <w:tcBorders>
              <w:left w:val="single" w:sz="4" w:space="0" w:color="auto"/>
            </w:tcBorders>
          </w:tcPr>
          <w:p w14:paraId="686F27B7" w14:textId="2CD4C7A4" w:rsidR="00CD6187" w:rsidRPr="00CF4276" w:rsidRDefault="00A54467" w:rsidP="00A4573A">
            <w:pPr>
              <w:jc w:val="left"/>
              <w:rPr>
                <w:rFonts w:ascii="Arial" w:hAnsi="Arial" w:cs="Arial"/>
                <w:i w:val="0"/>
                <w:sz w:val="20"/>
                <w:szCs w:val="20"/>
                <w:lang w:val="es-ES"/>
              </w:rPr>
            </w:pPr>
            <w:r w:rsidRPr="00CF4276">
              <w:rPr>
                <w:rFonts w:ascii="Arial" w:hAnsi="Arial" w:cs="Arial"/>
                <w:i w:val="0"/>
                <w:sz w:val="20"/>
                <w:szCs w:val="20"/>
                <w:lang w:val="es-ES"/>
              </w:rPr>
              <w:t xml:space="preserve">     </w:t>
            </w:r>
            <w:r w:rsidR="00CD6187" w:rsidRPr="00CF4276">
              <w:rPr>
                <w:rFonts w:ascii="Arial" w:hAnsi="Arial" w:cs="Arial"/>
                <w:i w:val="0"/>
                <w:sz w:val="20"/>
                <w:szCs w:val="20"/>
                <w:lang w:val="es-ES"/>
              </w:rPr>
              <w:t>Movilidad activa en cama</w:t>
            </w:r>
          </w:p>
        </w:tc>
        <w:tc>
          <w:tcPr>
            <w:tcW w:w="1275" w:type="dxa"/>
          </w:tcPr>
          <w:p w14:paraId="0B537764"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326 (22,5%)</w:t>
            </w:r>
          </w:p>
        </w:tc>
        <w:tc>
          <w:tcPr>
            <w:tcW w:w="1276" w:type="dxa"/>
          </w:tcPr>
          <w:p w14:paraId="1C17FDFD"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54 (26,6%)</w:t>
            </w:r>
          </w:p>
        </w:tc>
        <w:tc>
          <w:tcPr>
            <w:tcW w:w="1320" w:type="dxa"/>
            <w:tcBorders>
              <w:right w:val="single" w:sz="4" w:space="0" w:color="auto"/>
            </w:tcBorders>
          </w:tcPr>
          <w:p w14:paraId="5F779166"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272 (21,8%)</w:t>
            </w:r>
          </w:p>
        </w:tc>
      </w:tr>
      <w:tr w:rsidR="00CD6187" w14:paraId="7E08EE9E"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7" w:type="dxa"/>
            <w:tcBorders>
              <w:left w:val="single" w:sz="4" w:space="0" w:color="auto"/>
            </w:tcBorders>
          </w:tcPr>
          <w:p w14:paraId="0E2FF589" w14:textId="76155870" w:rsidR="00CD6187" w:rsidRPr="00CF4276" w:rsidRDefault="00A54467" w:rsidP="00A4573A">
            <w:pPr>
              <w:jc w:val="left"/>
              <w:rPr>
                <w:rFonts w:ascii="Arial" w:hAnsi="Arial" w:cs="Arial"/>
                <w:i w:val="0"/>
                <w:sz w:val="20"/>
                <w:szCs w:val="20"/>
                <w:lang w:val="es-ES"/>
              </w:rPr>
            </w:pPr>
            <w:r w:rsidRPr="00CF4276">
              <w:rPr>
                <w:rFonts w:ascii="Arial" w:hAnsi="Arial" w:cs="Arial"/>
                <w:i w:val="0"/>
                <w:sz w:val="20"/>
                <w:szCs w:val="20"/>
                <w:lang w:val="es-ES"/>
              </w:rPr>
              <w:t xml:space="preserve">     </w:t>
            </w:r>
            <w:r w:rsidR="00CD6187" w:rsidRPr="00CF4276">
              <w:rPr>
                <w:rFonts w:ascii="Arial" w:hAnsi="Arial" w:cs="Arial"/>
                <w:i w:val="0"/>
                <w:sz w:val="20"/>
                <w:szCs w:val="20"/>
                <w:lang w:val="es-ES"/>
              </w:rPr>
              <w:t>Sedente al borde de la cama</w:t>
            </w:r>
          </w:p>
        </w:tc>
        <w:tc>
          <w:tcPr>
            <w:tcW w:w="1275" w:type="dxa"/>
          </w:tcPr>
          <w:p w14:paraId="60EB4157"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277 (19,1%)</w:t>
            </w:r>
          </w:p>
        </w:tc>
        <w:tc>
          <w:tcPr>
            <w:tcW w:w="1276" w:type="dxa"/>
          </w:tcPr>
          <w:p w14:paraId="3C3685C4"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15 (7,4%)</w:t>
            </w:r>
          </w:p>
        </w:tc>
        <w:tc>
          <w:tcPr>
            <w:tcW w:w="1320" w:type="dxa"/>
            <w:tcBorders>
              <w:right w:val="single" w:sz="4" w:space="0" w:color="auto"/>
            </w:tcBorders>
          </w:tcPr>
          <w:p w14:paraId="12B67DE8"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262 (21%)</w:t>
            </w:r>
          </w:p>
        </w:tc>
      </w:tr>
      <w:tr w:rsidR="00CD6187" w14:paraId="6BB12A93" w14:textId="77777777" w:rsidTr="00A4573A">
        <w:tc>
          <w:tcPr>
            <w:cnfStyle w:val="001000000000" w:firstRow="0" w:lastRow="0" w:firstColumn="1" w:lastColumn="0" w:oddVBand="0" w:evenVBand="0" w:oddHBand="0" w:evenHBand="0" w:firstRowFirstColumn="0" w:firstRowLastColumn="0" w:lastRowFirstColumn="0" w:lastRowLastColumn="0"/>
            <w:tcW w:w="4957" w:type="dxa"/>
            <w:tcBorders>
              <w:left w:val="single" w:sz="4" w:space="0" w:color="auto"/>
            </w:tcBorders>
          </w:tcPr>
          <w:p w14:paraId="37B70C39" w14:textId="458F250F" w:rsidR="00CD6187" w:rsidRPr="00CF4276" w:rsidRDefault="00A54467" w:rsidP="00A4573A">
            <w:pPr>
              <w:jc w:val="left"/>
              <w:rPr>
                <w:rFonts w:ascii="Arial" w:hAnsi="Arial" w:cs="Arial"/>
                <w:i w:val="0"/>
                <w:sz w:val="20"/>
                <w:szCs w:val="20"/>
                <w:lang w:val="es-ES"/>
              </w:rPr>
            </w:pPr>
            <w:r w:rsidRPr="00CF4276">
              <w:rPr>
                <w:rFonts w:ascii="Arial" w:hAnsi="Arial" w:cs="Arial"/>
                <w:i w:val="0"/>
                <w:sz w:val="20"/>
                <w:szCs w:val="20"/>
                <w:lang w:val="es-ES"/>
              </w:rPr>
              <w:t xml:space="preserve">     </w:t>
            </w:r>
            <w:r w:rsidR="00CD6187" w:rsidRPr="00CF4276">
              <w:rPr>
                <w:rFonts w:ascii="Arial" w:hAnsi="Arial" w:cs="Arial"/>
                <w:i w:val="0"/>
                <w:sz w:val="20"/>
                <w:szCs w:val="20"/>
                <w:lang w:val="es-ES"/>
              </w:rPr>
              <w:t>Bípedo al borde de la cama</w:t>
            </w:r>
          </w:p>
        </w:tc>
        <w:tc>
          <w:tcPr>
            <w:tcW w:w="1275" w:type="dxa"/>
          </w:tcPr>
          <w:p w14:paraId="045CC50C"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277 (19,1%)</w:t>
            </w:r>
          </w:p>
        </w:tc>
        <w:tc>
          <w:tcPr>
            <w:tcW w:w="1276" w:type="dxa"/>
          </w:tcPr>
          <w:p w14:paraId="760004C5"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11(5,4%)</w:t>
            </w:r>
          </w:p>
        </w:tc>
        <w:tc>
          <w:tcPr>
            <w:tcW w:w="1320" w:type="dxa"/>
            <w:tcBorders>
              <w:right w:val="single" w:sz="4" w:space="0" w:color="auto"/>
            </w:tcBorders>
          </w:tcPr>
          <w:p w14:paraId="79C3E83B"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266 (21,3%)</w:t>
            </w:r>
          </w:p>
        </w:tc>
      </w:tr>
      <w:tr w:rsidR="00CD6187" w14:paraId="5B9B42D1"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7" w:type="dxa"/>
            <w:tcBorders>
              <w:left w:val="single" w:sz="4" w:space="0" w:color="auto"/>
            </w:tcBorders>
          </w:tcPr>
          <w:p w14:paraId="06BB2F15" w14:textId="01FDB17D" w:rsidR="00CD6187" w:rsidRPr="00CF4276" w:rsidRDefault="00A54467" w:rsidP="00A4573A">
            <w:pPr>
              <w:jc w:val="left"/>
              <w:rPr>
                <w:rFonts w:ascii="Arial" w:hAnsi="Arial" w:cs="Arial"/>
                <w:i w:val="0"/>
                <w:sz w:val="20"/>
                <w:szCs w:val="20"/>
                <w:lang w:val="es-ES"/>
              </w:rPr>
            </w:pPr>
            <w:r w:rsidRPr="00CF4276">
              <w:rPr>
                <w:rFonts w:ascii="Arial" w:hAnsi="Arial" w:cs="Arial"/>
                <w:i w:val="0"/>
                <w:sz w:val="20"/>
                <w:szCs w:val="20"/>
                <w:lang w:val="es-ES"/>
              </w:rPr>
              <w:t xml:space="preserve">     </w:t>
            </w:r>
            <w:r w:rsidR="00CD6187" w:rsidRPr="00CF4276">
              <w:rPr>
                <w:rFonts w:ascii="Arial" w:hAnsi="Arial" w:cs="Arial"/>
                <w:i w:val="0"/>
                <w:sz w:val="20"/>
                <w:szCs w:val="20"/>
                <w:lang w:val="es-ES"/>
              </w:rPr>
              <w:t>Marcha</w:t>
            </w:r>
          </w:p>
        </w:tc>
        <w:tc>
          <w:tcPr>
            <w:tcW w:w="1275" w:type="dxa"/>
          </w:tcPr>
          <w:p w14:paraId="5609FED6"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140 (9,6%)</w:t>
            </w:r>
          </w:p>
        </w:tc>
        <w:tc>
          <w:tcPr>
            <w:tcW w:w="1276" w:type="dxa"/>
          </w:tcPr>
          <w:p w14:paraId="58823926"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 (0,5%)</w:t>
            </w:r>
          </w:p>
        </w:tc>
        <w:tc>
          <w:tcPr>
            <w:tcW w:w="1320" w:type="dxa"/>
            <w:tcBorders>
              <w:right w:val="single" w:sz="4" w:space="0" w:color="auto"/>
            </w:tcBorders>
          </w:tcPr>
          <w:p w14:paraId="16D745BE"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139 (11,1%)</w:t>
            </w:r>
          </w:p>
        </w:tc>
      </w:tr>
      <w:tr w:rsidR="00CD6187" w14:paraId="0E9A72DE" w14:textId="77777777" w:rsidTr="00A4573A">
        <w:tc>
          <w:tcPr>
            <w:cnfStyle w:val="001000000000" w:firstRow="0" w:lastRow="0" w:firstColumn="1" w:lastColumn="0" w:oddVBand="0" w:evenVBand="0" w:oddHBand="0" w:evenHBand="0" w:firstRowFirstColumn="0" w:firstRowLastColumn="0" w:lastRowFirstColumn="0" w:lastRowLastColumn="0"/>
            <w:tcW w:w="4957" w:type="dxa"/>
            <w:tcBorders>
              <w:left w:val="single" w:sz="4" w:space="0" w:color="auto"/>
            </w:tcBorders>
          </w:tcPr>
          <w:p w14:paraId="6E5F3FFD" w14:textId="612AE809" w:rsidR="00CD6187" w:rsidRPr="00CF4276" w:rsidRDefault="00A54467" w:rsidP="00A4573A">
            <w:pPr>
              <w:jc w:val="left"/>
              <w:rPr>
                <w:rFonts w:ascii="Arial" w:hAnsi="Arial" w:cs="Arial"/>
                <w:i w:val="0"/>
                <w:sz w:val="20"/>
                <w:szCs w:val="20"/>
                <w:lang w:val="es-ES"/>
              </w:rPr>
            </w:pPr>
            <w:r w:rsidRPr="00CF4276">
              <w:rPr>
                <w:rFonts w:ascii="Arial" w:hAnsi="Arial" w:cs="Arial"/>
                <w:i w:val="0"/>
                <w:sz w:val="20"/>
                <w:szCs w:val="20"/>
                <w:lang w:val="es-ES"/>
              </w:rPr>
              <w:t xml:space="preserve">     </w:t>
            </w:r>
            <w:r w:rsidR="00CD6187" w:rsidRPr="00CF4276">
              <w:rPr>
                <w:rFonts w:ascii="Arial" w:hAnsi="Arial" w:cs="Arial"/>
                <w:i w:val="0"/>
                <w:sz w:val="20"/>
                <w:szCs w:val="20"/>
                <w:lang w:val="es-ES"/>
              </w:rPr>
              <w:t>Transferencia a un sillón</w:t>
            </w:r>
          </w:p>
        </w:tc>
        <w:tc>
          <w:tcPr>
            <w:tcW w:w="1275" w:type="dxa"/>
          </w:tcPr>
          <w:p w14:paraId="5726B49C"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197 (13,6%)</w:t>
            </w:r>
          </w:p>
        </w:tc>
        <w:tc>
          <w:tcPr>
            <w:tcW w:w="1276" w:type="dxa"/>
          </w:tcPr>
          <w:p w14:paraId="02EBAD80"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8 (3,9%)</w:t>
            </w:r>
          </w:p>
        </w:tc>
        <w:tc>
          <w:tcPr>
            <w:tcW w:w="1320" w:type="dxa"/>
            <w:tcBorders>
              <w:right w:val="single" w:sz="4" w:space="0" w:color="auto"/>
            </w:tcBorders>
          </w:tcPr>
          <w:p w14:paraId="266BBF66"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189 (15,1%)</w:t>
            </w:r>
          </w:p>
        </w:tc>
      </w:tr>
      <w:tr w:rsidR="00CD6187" w14:paraId="20CFFA0E"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7" w:type="dxa"/>
            <w:tcBorders>
              <w:left w:val="single" w:sz="4" w:space="0" w:color="auto"/>
            </w:tcBorders>
          </w:tcPr>
          <w:p w14:paraId="56356BB7" w14:textId="462ED13C" w:rsidR="00CD6187" w:rsidRPr="00CF4276" w:rsidRDefault="00A54467" w:rsidP="00A4573A">
            <w:pPr>
              <w:jc w:val="left"/>
              <w:rPr>
                <w:rFonts w:ascii="Arial" w:hAnsi="Arial" w:cs="Arial"/>
                <w:i w:val="0"/>
                <w:sz w:val="20"/>
                <w:szCs w:val="20"/>
                <w:lang w:val="es-ES"/>
              </w:rPr>
            </w:pPr>
            <w:r w:rsidRPr="00CF4276">
              <w:rPr>
                <w:rFonts w:ascii="Arial" w:hAnsi="Arial" w:cs="Arial"/>
                <w:i w:val="0"/>
                <w:sz w:val="20"/>
                <w:szCs w:val="20"/>
                <w:lang w:val="es-ES"/>
              </w:rPr>
              <w:t xml:space="preserve">     </w:t>
            </w:r>
            <w:r w:rsidR="00CD6187" w:rsidRPr="00CF4276">
              <w:rPr>
                <w:rFonts w:ascii="Arial" w:hAnsi="Arial" w:cs="Arial"/>
                <w:i w:val="0"/>
                <w:sz w:val="20"/>
                <w:szCs w:val="20"/>
                <w:lang w:val="es-ES"/>
              </w:rPr>
              <w:t>Electroestimulación</w:t>
            </w:r>
          </w:p>
        </w:tc>
        <w:tc>
          <w:tcPr>
            <w:tcW w:w="1275" w:type="dxa"/>
          </w:tcPr>
          <w:p w14:paraId="5A7226BE"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 (0,13%)</w:t>
            </w:r>
          </w:p>
        </w:tc>
        <w:tc>
          <w:tcPr>
            <w:tcW w:w="1276" w:type="dxa"/>
          </w:tcPr>
          <w:p w14:paraId="68452A00"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c>
          <w:tcPr>
            <w:tcW w:w="1320" w:type="dxa"/>
            <w:tcBorders>
              <w:right w:val="single" w:sz="4" w:space="0" w:color="auto"/>
            </w:tcBorders>
          </w:tcPr>
          <w:p w14:paraId="4069402E"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 (0,16%)</w:t>
            </w:r>
          </w:p>
        </w:tc>
      </w:tr>
      <w:tr w:rsidR="00CD6187" w14:paraId="55B87B27" w14:textId="77777777" w:rsidTr="00A4573A">
        <w:tc>
          <w:tcPr>
            <w:cnfStyle w:val="001000000000" w:firstRow="0" w:lastRow="0" w:firstColumn="1" w:lastColumn="0" w:oddVBand="0" w:evenVBand="0" w:oddHBand="0" w:evenHBand="0" w:firstRowFirstColumn="0" w:firstRowLastColumn="0" w:lastRowFirstColumn="0" w:lastRowLastColumn="0"/>
            <w:tcW w:w="4957" w:type="dxa"/>
            <w:tcBorders>
              <w:left w:val="single" w:sz="4" w:space="0" w:color="auto"/>
              <w:bottom w:val="single" w:sz="4" w:space="0" w:color="auto"/>
            </w:tcBorders>
          </w:tcPr>
          <w:p w14:paraId="65B8C0A7" w14:textId="4EECB2CE" w:rsidR="00CD6187" w:rsidRPr="00CF4276" w:rsidRDefault="00A54467" w:rsidP="00A4573A">
            <w:pPr>
              <w:jc w:val="left"/>
              <w:rPr>
                <w:rFonts w:ascii="Arial" w:hAnsi="Arial" w:cs="Arial"/>
                <w:i w:val="0"/>
                <w:sz w:val="20"/>
                <w:szCs w:val="20"/>
                <w:lang w:val="es-ES"/>
              </w:rPr>
            </w:pPr>
            <w:r w:rsidRPr="00CF4276">
              <w:rPr>
                <w:rFonts w:ascii="Arial" w:hAnsi="Arial" w:cs="Arial"/>
                <w:i w:val="0"/>
                <w:sz w:val="20"/>
                <w:szCs w:val="20"/>
                <w:lang w:val="es-ES"/>
              </w:rPr>
              <w:t xml:space="preserve">     </w:t>
            </w:r>
            <w:r w:rsidR="00CD6187" w:rsidRPr="00CF4276">
              <w:rPr>
                <w:rFonts w:ascii="Arial" w:hAnsi="Arial" w:cs="Arial"/>
                <w:i w:val="0"/>
                <w:sz w:val="20"/>
                <w:szCs w:val="20"/>
                <w:lang w:val="es-ES"/>
              </w:rPr>
              <w:t>Tilt Table</w:t>
            </w:r>
          </w:p>
        </w:tc>
        <w:tc>
          <w:tcPr>
            <w:tcW w:w="1275" w:type="dxa"/>
            <w:tcBorders>
              <w:bottom w:val="single" w:sz="4" w:space="0" w:color="auto"/>
            </w:tcBorders>
          </w:tcPr>
          <w:p w14:paraId="7BC3B123"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4 (0,27%)</w:t>
            </w:r>
          </w:p>
        </w:tc>
        <w:tc>
          <w:tcPr>
            <w:tcW w:w="1276" w:type="dxa"/>
            <w:tcBorders>
              <w:bottom w:val="single" w:sz="4" w:space="0" w:color="auto"/>
            </w:tcBorders>
          </w:tcPr>
          <w:p w14:paraId="1D6F9031"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c>
          <w:tcPr>
            <w:tcW w:w="1320" w:type="dxa"/>
            <w:tcBorders>
              <w:bottom w:val="single" w:sz="4" w:space="0" w:color="auto"/>
              <w:right w:val="single" w:sz="4" w:space="0" w:color="auto"/>
            </w:tcBorders>
          </w:tcPr>
          <w:p w14:paraId="5BFB60AC"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4 (0,32%)</w:t>
            </w:r>
          </w:p>
        </w:tc>
      </w:tr>
      <w:tr w:rsidR="00CD6187" w14:paraId="7F448D3E"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7" w:type="dxa"/>
            <w:tcBorders>
              <w:top w:val="single" w:sz="4" w:space="0" w:color="auto"/>
              <w:left w:val="single" w:sz="4" w:space="0" w:color="auto"/>
            </w:tcBorders>
          </w:tcPr>
          <w:p w14:paraId="21596AC0" w14:textId="77777777" w:rsidR="00CD6187" w:rsidRPr="00CF4276" w:rsidRDefault="00CD6187" w:rsidP="00A4573A">
            <w:pPr>
              <w:jc w:val="left"/>
              <w:rPr>
                <w:rFonts w:ascii="Arial" w:hAnsi="Arial" w:cs="Arial"/>
                <w:i w:val="0"/>
                <w:sz w:val="20"/>
                <w:szCs w:val="20"/>
                <w:lang w:val="es-ES"/>
              </w:rPr>
            </w:pPr>
            <w:r w:rsidRPr="00CF4276">
              <w:rPr>
                <w:rFonts w:ascii="Arial" w:hAnsi="Arial" w:cs="Arial"/>
                <w:i w:val="0"/>
                <w:sz w:val="20"/>
                <w:szCs w:val="20"/>
                <w:lang w:val="es-ES"/>
              </w:rPr>
              <w:t xml:space="preserve">Profesional </w:t>
            </w:r>
          </w:p>
        </w:tc>
        <w:tc>
          <w:tcPr>
            <w:tcW w:w="1275" w:type="dxa"/>
            <w:tcBorders>
              <w:top w:val="single" w:sz="4" w:space="0" w:color="auto"/>
            </w:tcBorders>
          </w:tcPr>
          <w:p w14:paraId="7E610A95"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c>
          <w:tcPr>
            <w:tcW w:w="1276" w:type="dxa"/>
            <w:tcBorders>
              <w:top w:val="single" w:sz="4" w:space="0" w:color="auto"/>
            </w:tcBorders>
          </w:tcPr>
          <w:p w14:paraId="6BDFF73A"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c>
          <w:tcPr>
            <w:tcW w:w="1320" w:type="dxa"/>
            <w:tcBorders>
              <w:top w:val="single" w:sz="4" w:space="0" w:color="auto"/>
              <w:right w:val="single" w:sz="4" w:space="0" w:color="auto"/>
            </w:tcBorders>
          </w:tcPr>
          <w:p w14:paraId="0A1C6B14"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r>
      <w:tr w:rsidR="00CD6187" w14:paraId="66A91BA9" w14:textId="77777777" w:rsidTr="00A4573A">
        <w:tc>
          <w:tcPr>
            <w:cnfStyle w:val="001000000000" w:firstRow="0" w:lastRow="0" w:firstColumn="1" w:lastColumn="0" w:oddVBand="0" w:evenVBand="0" w:oddHBand="0" w:evenHBand="0" w:firstRowFirstColumn="0" w:firstRowLastColumn="0" w:lastRowFirstColumn="0" w:lastRowLastColumn="0"/>
            <w:tcW w:w="4957" w:type="dxa"/>
            <w:tcBorders>
              <w:left w:val="single" w:sz="4" w:space="0" w:color="auto"/>
            </w:tcBorders>
          </w:tcPr>
          <w:p w14:paraId="03EB7F75" w14:textId="28280445" w:rsidR="00CD6187" w:rsidRPr="00CF4276" w:rsidRDefault="00A54467" w:rsidP="00A4573A">
            <w:pPr>
              <w:jc w:val="left"/>
              <w:rPr>
                <w:rFonts w:ascii="Arial" w:hAnsi="Arial" w:cs="Arial"/>
                <w:i w:val="0"/>
                <w:sz w:val="20"/>
                <w:szCs w:val="20"/>
                <w:lang w:val="es-ES"/>
              </w:rPr>
            </w:pPr>
            <w:r w:rsidRPr="00CF4276">
              <w:rPr>
                <w:rFonts w:ascii="Arial" w:hAnsi="Arial" w:cs="Arial"/>
                <w:i w:val="0"/>
                <w:sz w:val="20"/>
                <w:szCs w:val="20"/>
                <w:lang w:val="es-ES"/>
              </w:rPr>
              <w:t xml:space="preserve">     </w:t>
            </w:r>
            <w:r w:rsidR="00CD6187" w:rsidRPr="00CF4276">
              <w:rPr>
                <w:rFonts w:ascii="Arial" w:hAnsi="Arial" w:cs="Arial"/>
                <w:i w:val="0"/>
                <w:sz w:val="20"/>
                <w:szCs w:val="20"/>
                <w:lang w:val="es-ES"/>
              </w:rPr>
              <w:t>Kinesiólogo de UCI</w:t>
            </w:r>
          </w:p>
        </w:tc>
        <w:tc>
          <w:tcPr>
            <w:tcW w:w="1275" w:type="dxa"/>
          </w:tcPr>
          <w:p w14:paraId="7C856FC3"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692 (92,4%)</w:t>
            </w:r>
          </w:p>
        </w:tc>
        <w:tc>
          <w:tcPr>
            <w:tcW w:w="1276" w:type="dxa"/>
          </w:tcPr>
          <w:p w14:paraId="261D77E3"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172(96,6%)</w:t>
            </w:r>
          </w:p>
        </w:tc>
        <w:tc>
          <w:tcPr>
            <w:tcW w:w="1320" w:type="dxa"/>
            <w:tcBorders>
              <w:right w:val="single" w:sz="4" w:space="0" w:color="auto"/>
            </w:tcBorders>
          </w:tcPr>
          <w:p w14:paraId="538D169B"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520 (91%)</w:t>
            </w:r>
          </w:p>
        </w:tc>
      </w:tr>
      <w:tr w:rsidR="00CD6187" w14:paraId="797CA783"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7" w:type="dxa"/>
            <w:tcBorders>
              <w:left w:val="single" w:sz="4" w:space="0" w:color="auto"/>
            </w:tcBorders>
          </w:tcPr>
          <w:p w14:paraId="00971D0E" w14:textId="7C12ED2A" w:rsidR="00CD6187" w:rsidRPr="00CF4276" w:rsidRDefault="00A54467" w:rsidP="00A4573A">
            <w:pPr>
              <w:jc w:val="left"/>
              <w:rPr>
                <w:rFonts w:ascii="Arial" w:hAnsi="Arial" w:cs="Arial"/>
                <w:i w:val="0"/>
                <w:sz w:val="20"/>
                <w:szCs w:val="20"/>
                <w:lang w:val="es-ES"/>
              </w:rPr>
            </w:pPr>
            <w:r w:rsidRPr="00CF4276">
              <w:rPr>
                <w:rFonts w:ascii="Arial" w:hAnsi="Arial" w:cs="Arial"/>
                <w:i w:val="0"/>
                <w:sz w:val="20"/>
                <w:szCs w:val="20"/>
                <w:lang w:val="es-ES"/>
              </w:rPr>
              <w:t xml:space="preserve">     </w:t>
            </w:r>
            <w:r w:rsidR="00CD6187" w:rsidRPr="00CF4276">
              <w:rPr>
                <w:rFonts w:ascii="Arial" w:hAnsi="Arial" w:cs="Arial"/>
                <w:i w:val="0"/>
                <w:sz w:val="20"/>
                <w:szCs w:val="20"/>
                <w:lang w:val="es-ES"/>
              </w:rPr>
              <w:t>Terapeuta Ocupacional</w:t>
            </w:r>
          </w:p>
        </w:tc>
        <w:tc>
          <w:tcPr>
            <w:tcW w:w="1275" w:type="dxa"/>
          </w:tcPr>
          <w:p w14:paraId="404262D3"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57 (7,6%)</w:t>
            </w:r>
          </w:p>
        </w:tc>
        <w:tc>
          <w:tcPr>
            <w:tcW w:w="1276" w:type="dxa"/>
          </w:tcPr>
          <w:p w14:paraId="4DD61018"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6 (3,37%)</w:t>
            </w:r>
          </w:p>
        </w:tc>
        <w:tc>
          <w:tcPr>
            <w:tcW w:w="1320" w:type="dxa"/>
            <w:tcBorders>
              <w:right w:val="single" w:sz="4" w:space="0" w:color="auto"/>
            </w:tcBorders>
          </w:tcPr>
          <w:p w14:paraId="28344D0D"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51 (8,9%)</w:t>
            </w:r>
          </w:p>
        </w:tc>
      </w:tr>
      <w:tr w:rsidR="00CD6187" w14:paraId="69F21E09" w14:textId="77777777" w:rsidTr="00A4573A">
        <w:tc>
          <w:tcPr>
            <w:cnfStyle w:val="001000000000" w:firstRow="0" w:lastRow="0" w:firstColumn="1" w:lastColumn="0" w:oddVBand="0" w:evenVBand="0" w:oddHBand="0" w:evenHBand="0" w:firstRowFirstColumn="0" w:firstRowLastColumn="0" w:lastRowFirstColumn="0" w:lastRowLastColumn="0"/>
            <w:tcW w:w="4957" w:type="dxa"/>
            <w:tcBorders>
              <w:left w:val="single" w:sz="4" w:space="0" w:color="auto"/>
            </w:tcBorders>
          </w:tcPr>
          <w:p w14:paraId="3E334AD8" w14:textId="3B9AB341" w:rsidR="00CD6187" w:rsidRPr="00CF4276" w:rsidRDefault="00A54467" w:rsidP="00A4573A">
            <w:pPr>
              <w:jc w:val="left"/>
              <w:rPr>
                <w:rFonts w:ascii="Arial" w:hAnsi="Arial" w:cs="Arial"/>
                <w:i w:val="0"/>
                <w:sz w:val="20"/>
                <w:szCs w:val="20"/>
                <w:lang w:val="es-ES"/>
              </w:rPr>
            </w:pPr>
            <w:r w:rsidRPr="00CF4276">
              <w:rPr>
                <w:rFonts w:ascii="Arial" w:hAnsi="Arial" w:cs="Arial"/>
                <w:i w:val="0"/>
                <w:sz w:val="20"/>
                <w:szCs w:val="20"/>
                <w:lang w:val="es-ES"/>
              </w:rPr>
              <w:t xml:space="preserve">     </w:t>
            </w:r>
            <w:r w:rsidR="00CD6187" w:rsidRPr="00CF4276">
              <w:rPr>
                <w:rFonts w:ascii="Arial" w:hAnsi="Arial" w:cs="Arial"/>
                <w:i w:val="0"/>
                <w:sz w:val="20"/>
                <w:szCs w:val="20"/>
                <w:lang w:val="es-ES"/>
              </w:rPr>
              <w:t>Médico Residente</w:t>
            </w:r>
          </w:p>
        </w:tc>
        <w:tc>
          <w:tcPr>
            <w:tcW w:w="1275" w:type="dxa"/>
          </w:tcPr>
          <w:p w14:paraId="50CB1CDB"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c>
          <w:tcPr>
            <w:tcW w:w="1276" w:type="dxa"/>
          </w:tcPr>
          <w:p w14:paraId="1B1ED5FA"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c>
          <w:tcPr>
            <w:tcW w:w="1320" w:type="dxa"/>
            <w:tcBorders>
              <w:right w:val="single" w:sz="4" w:space="0" w:color="auto"/>
            </w:tcBorders>
          </w:tcPr>
          <w:p w14:paraId="09039830" w14:textId="77777777" w:rsidR="00CD6187" w:rsidRPr="00CF4276" w:rsidRDefault="00CD6187" w:rsidP="00A4573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r>
      <w:tr w:rsidR="00CD6187" w14:paraId="0EC67D3D" w14:textId="77777777" w:rsidTr="00A457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7" w:type="dxa"/>
            <w:tcBorders>
              <w:left w:val="single" w:sz="4" w:space="0" w:color="auto"/>
              <w:bottom w:val="single" w:sz="4" w:space="0" w:color="auto"/>
            </w:tcBorders>
          </w:tcPr>
          <w:p w14:paraId="08772CBE" w14:textId="7AB6679A" w:rsidR="00CD6187" w:rsidRPr="00CF4276" w:rsidRDefault="00A54467" w:rsidP="00A4573A">
            <w:pPr>
              <w:jc w:val="left"/>
              <w:rPr>
                <w:rFonts w:ascii="Arial" w:hAnsi="Arial" w:cs="Arial"/>
                <w:i w:val="0"/>
                <w:sz w:val="20"/>
                <w:szCs w:val="20"/>
                <w:lang w:val="es-ES"/>
              </w:rPr>
            </w:pPr>
            <w:r w:rsidRPr="00CF4276">
              <w:rPr>
                <w:rFonts w:ascii="Arial" w:hAnsi="Arial" w:cs="Arial"/>
                <w:i w:val="0"/>
                <w:sz w:val="20"/>
                <w:szCs w:val="20"/>
                <w:lang w:val="es-ES"/>
              </w:rPr>
              <w:t xml:space="preserve">     </w:t>
            </w:r>
            <w:r w:rsidR="00CD6187" w:rsidRPr="00CF4276">
              <w:rPr>
                <w:rFonts w:ascii="Arial" w:hAnsi="Arial" w:cs="Arial"/>
                <w:i w:val="0"/>
                <w:sz w:val="20"/>
                <w:szCs w:val="20"/>
                <w:lang w:val="es-ES"/>
              </w:rPr>
              <w:t>Enfermero de UCI</w:t>
            </w:r>
          </w:p>
        </w:tc>
        <w:tc>
          <w:tcPr>
            <w:tcW w:w="1275" w:type="dxa"/>
            <w:tcBorders>
              <w:bottom w:val="single" w:sz="4" w:space="0" w:color="auto"/>
            </w:tcBorders>
          </w:tcPr>
          <w:p w14:paraId="5EFC36F5"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c>
          <w:tcPr>
            <w:tcW w:w="1276" w:type="dxa"/>
            <w:tcBorders>
              <w:bottom w:val="single" w:sz="4" w:space="0" w:color="auto"/>
            </w:tcBorders>
          </w:tcPr>
          <w:p w14:paraId="0CD54F37"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c>
          <w:tcPr>
            <w:tcW w:w="1320" w:type="dxa"/>
            <w:tcBorders>
              <w:bottom w:val="single" w:sz="4" w:space="0" w:color="auto"/>
              <w:right w:val="single" w:sz="4" w:space="0" w:color="auto"/>
            </w:tcBorders>
          </w:tcPr>
          <w:p w14:paraId="6E4CAE45" w14:textId="77777777" w:rsidR="00CD6187" w:rsidRPr="00CF4276" w:rsidRDefault="00CD6187" w:rsidP="00A4573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r>
      <w:tr w:rsidR="00CD6187" w14:paraId="65F65346" w14:textId="77777777" w:rsidTr="00A4573A">
        <w:trPr>
          <w:trHeight w:val="132"/>
        </w:trPr>
        <w:tc>
          <w:tcPr>
            <w:cnfStyle w:val="001000000000" w:firstRow="0" w:lastRow="0" w:firstColumn="1" w:lastColumn="0" w:oddVBand="0" w:evenVBand="0" w:oddHBand="0" w:evenHBand="0" w:firstRowFirstColumn="0" w:firstRowLastColumn="0" w:lastRowFirstColumn="0" w:lastRowLastColumn="0"/>
            <w:tcW w:w="8828" w:type="dxa"/>
            <w:gridSpan w:val="4"/>
            <w:tcBorders>
              <w:top w:val="single" w:sz="4" w:space="0" w:color="auto"/>
              <w:left w:val="single" w:sz="4" w:space="0" w:color="auto"/>
              <w:bottom w:val="single" w:sz="4" w:space="0" w:color="auto"/>
              <w:right w:val="single" w:sz="4" w:space="0" w:color="auto"/>
            </w:tcBorders>
          </w:tcPr>
          <w:p w14:paraId="6FBF3D7C" w14:textId="77777777" w:rsidR="00CD6187" w:rsidRPr="00CF4276" w:rsidRDefault="00CD6187" w:rsidP="00A4573A">
            <w:pPr>
              <w:pBdr>
                <w:top w:val="single" w:sz="4" w:space="1" w:color="auto"/>
                <w:left w:val="single" w:sz="4" w:space="4" w:color="auto"/>
                <w:bottom w:val="single" w:sz="4" w:space="1" w:color="auto"/>
                <w:right w:val="single" w:sz="4" w:space="4" w:color="auto"/>
              </w:pBdr>
              <w:jc w:val="left"/>
              <w:rPr>
                <w:rFonts w:ascii="Arial" w:hAnsi="Arial" w:cs="Arial"/>
                <w:i w:val="0"/>
                <w:iCs w:val="0"/>
                <w:sz w:val="20"/>
                <w:szCs w:val="20"/>
                <w:lang w:val="es-ES"/>
              </w:rPr>
            </w:pPr>
            <w:r w:rsidRPr="00CF4276">
              <w:rPr>
                <w:rFonts w:ascii="Arial" w:hAnsi="Arial" w:cs="Arial"/>
                <w:i w:val="0"/>
                <w:sz w:val="20"/>
                <w:szCs w:val="20"/>
                <w:lang w:val="es-ES"/>
              </w:rPr>
              <w:t>Datos presentados en frecuencia absoluta (%) o mediana y (rango intercuartílico)</w:t>
            </w:r>
          </w:p>
          <w:p w14:paraId="16A6C452" w14:textId="77777777" w:rsidR="00CD6187" w:rsidRPr="00CF4276" w:rsidRDefault="00CD6187" w:rsidP="00A4573A">
            <w:pPr>
              <w:pBdr>
                <w:top w:val="single" w:sz="4" w:space="1" w:color="auto"/>
                <w:left w:val="single" w:sz="4" w:space="4" w:color="auto"/>
                <w:bottom w:val="single" w:sz="4" w:space="1" w:color="auto"/>
                <w:right w:val="single" w:sz="4" w:space="4" w:color="auto"/>
              </w:pBdr>
              <w:jc w:val="left"/>
              <w:rPr>
                <w:rFonts w:ascii="Arial" w:hAnsi="Arial" w:cs="Arial"/>
                <w:i w:val="0"/>
                <w:sz w:val="20"/>
                <w:szCs w:val="20"/>
                <w:lang w:val="es-ES"/>
              </w:rPr>
            </w:pPr>
            <w:r w:rsidRPr="00CF4276">
              <w:rPr>
                <w:rFonts w:ascii="Arial" w:hAnsi="Arial" w:cs="Arial"/>
                <w:i w:val="0"/>
                <w:sz w:val="20"/>
                <w:szCs w:val="20"/>
                <w:lang w:val="es-ES"/>
              </w:rPr>
              <w:t>*1 día-paciente podía recibir &gt; 1 sesión de movilización temprana; el total de sesiones registradas en los 600 días-pacientes fue de n=749.</w:t>
            </w:r>
          </w:p>
          <w:p w14:paraId="16C64473" w14:textId="42B17C13" w:rsidR="00CD6187" w:rsidRPr="00CF4276" w:rsidRDefault="00CD6187" w:rsidP="00A4573A">
            <w:pPr>
              <w:pBdr>
                <w:top w:val="single" w:sz="4" w:space="1" w:color="auto"/>
                <w:left w:val="single" w:sz="4" w:space="4" w:color="auto"/>
                <w:bottom w:val="single" w:sz="4" w:space="1" w:color="auto"/>
                <w:right w:val="single" w:sz="4" w:space="4" w:color="auto"/>
              </w:pBdr>
              <w:jc w:val="left"/>
              <w:rPr>
                <w:rFonts w:ascii="Arial" w:hAnsi="Arial" w:cs="Arial"/>
                <w:i w:val="0"/>
                <w:sz w:val="20"/>
                <w:szCs w:val="20"/>
                <w:lang w:val="es-ES"/>
              </w:rPr>
            </w:pPr>
            <w:r w:rsidRPr="00CF4276">
              <w:rPr>
                <w:rFonts w:ascii="Arial" w:hAnsi="Arial" w:cs="Arial"/>
                <w:i w:val="0"/>
                <w:iCs w:val="0"/>
                <w:sz w:val="20"/>
                <w:szCs w:val="20"/>
                <w:lang w:val="es-ES"/>
              </w:rPr>
              <w:t>**Un profesional podía registrar &gt;</w:t>
            </w:r>
            <w:r w:rsidR="00A54467" w:rsidRPr="00CF4276">
              <w:rPr>
                <w:rFonts w:ascii="Arial" w:hAnsi="Arial" w:cs="Arial"/>
                <w:i w:val="0"/>
                <w:iCs w:val="0"/>
                <w:sz w:val="20"/>
                <w:szCs w:val="20"/>
                <w:lang w:val="es-ES"/>
              </w:rPr>
              <w:t xml:space="preserve"> </w:t>
            </w:r>
            <w:r w:rsidRPr="00CF4276">
              <w:rPr>
                <w:rFonts w:ascii="Arial" w:hAnsi="Arial" w:cs="Arial"/>
                <w:i w:val="0"/>
                <w:iCs w:val="0"/>
                <w:sz w:val="20"/>
                <w:szCs w:val="20"/>
                <w:lang w:val="es-ES"/>
              </w:rPr>
              <w:t xml:space="preserve">1 modalidad de terapia física por sesión; el total de modalidades de terapia física implementada en los 600 días-paciente fue de n= 1451 </w:t>
            </w:r>
          </w:p>
          <w:p w14:paraId="4F3CAE44" w14:textId="77777777" w:rsidR="00CD6187" w:rsidRPr="00CF4276" w:rsidRDefault="00CD6187" w:rsidP="00A4573A">
            <w:pPr>
              <w:pBdr>
                <w:top w:val="single" w:sz="4" w:space="1" w:color="auto"/>
                <w:left w:val="single" w:sz="4" w:space="4" w:color="auto"/>
                <w:bottom w:val="single" w:sz="4" w:space="1" w:color="auto"/>
                <w:right w:val="single" w:sz="4" w:space="4" w:color="auto"/>
              </w:pBdr>
              <w:jc w:val="left"/>
              <w:rPr>
                <w:rFonts w:ascii="Arial" w:hAnsi="Arial" w:cs="Arial"/>
                <w:i w:val="0"/>
                <w:sz w:val="20"/>
                <w:szCs w:val="20"/>
                <w:lang w:val="es-ES"/>
              </w:rPr>
            </w:pPr>
            <w:r w:rsidRPr="00CF4276">
              <w:rPr>
                <w:rFonts w:ascii="Arial" w:hAnsi="Arial" w:cs="Arial"/>
                <w:i w:val="0"/>
                <w:iCs w:val="0"/>
                <w:sz w:val="20"/>
                <w:szCs w:val="20"/>
                <w:lang w:val="es-ES"/>
              </w:rPr>
              <w:t>VMI: ventilación mecánica invasiva</w:t>
            </w:r>
          </w:p>
        </w:tc>
      </w:tr>
    </w:tbl>
    <w:p w14:paraId="7A524138" w14:textId="77777777" w:rsidR="00CF4276" w:rsidRDefault="00CF4276" w:rsidP="00CD6187">
      <w:pPr>
        <w:suppressLineNumbers/>
        <w:rPr>
          <w:b/>
          <w:sz w:val="20"/>
          <w:szCs w:val="20"/>
          <w:lang w:val="es-ES"/>
        </w:rPr>
      </w:pPr>
    </w:p>
    <w:p w14:paraId="6228EB6A" w14:textId="77777777" w:rsidR="00CF4276" w:rsidRDefault="00CF4276" w:rsidP="00CD6187">
      <w:pPr>
        <w:suppressLineNumbers/>
        <w:rPr>
          <w:b/>
          <w:sz w:val="20"/>
          <w:szCs w:val="20"/>
          <w:lang w:val="es-ES"/>
        </w:rPr>
      </w:pPr>
    </w:p>
    <w:p w14:paraId="58F1AA63" w14:textId="77777777" w:rsidR="00CF4276" w:rsidRDefault="00CF4276" w:rsidP="00CD6187">
      <w:pPr>
        <w:suppressLineNumbers/>
        <w:rPr>
          <w:b/>
          <w:sz w:val="20"/>
          <w:szCs w:val="20"/>
          <w:lang w:val="es-ES"/>
        </w:rPr>
      </w:pPr>
    </w:p>
    <w:p w14:paraId="260A624B" w14:textId="3CE8C856" w:rsidR="00CF4276" w:rsidRDefault="00CF4276" w:rsidP="00CD6187">
      <w:pPr>
        <w:suppressLineNumbers/>
        <w:rPr>
          <w:b/>
          <w:sz w:val="20"/>
          <w:szCs w:val="20"/>
          <w:lang w:val="es-ES"/>
        </w:rPr>
      </w:pPr>
    </w:p>
    <w:p w14:paraId="495A65AE" w14:textId="2BFBA745" w:rsidR="00CF4276" w:rsidRDefault="00CF4276" w:rsidP="00CD6187">
      <w:pPr>
        <w:suppressLineNumbers/>
        <w:rPr>
          <w:b/>
          <w:sz w:val="20"/>
          <w:szCs w:val="20"/>
          <w:lang w:val="es-ES"/>
        </w:rPr>
      </w:pPr>
    </w:p>
    <w:p w14:paraId="704CBA7C" w14:textId="4A9B1EA2" w:rsidR="00CF4276" w:rsidRDefault="00CF4276" w:rsidP="00CD6187">
      <w:pPr>
        <w:suppressLineNumbers/>
        <w:rPr>
          <w:b/>
          <w:sz w:val="20"/>
          <w:szCs w:val="20"/>
          <w:lang w:val="es-ES"/>
        </w:rPr>
      </w:pPr>
    </w:p>
    <w:p w14:paraId="3BF302CB" w14:textId="74BF0CB2" w:rsidR="00CF4276" w:rsidRDefault="00CF4276" w:rsidP="00CD6187">
      <w:pPr>
        <w:suppressLineNumbers/>
        <w:rPr>
          <w:b/>
          <w:sz w:val="20"/>
          <w:szCs w:val="20"/>
          <w:lang w:val="es-ES"/>
        </w:rPr>
      </w:pPr>
    </w:p>
    <w:p w14:paraId="6056F888" w14:textId="03895A98" w:rsidR="00CF4276" w:rsidRDefault="00CF4276" w:rsidP="00CD6187">
      <w:pPr>
        <w:suppressLineNumbers/>
        <w:rPr>
          <w:b/>
          <w:sz w:val="20"/>
          <w:szCs w:val="20"/>
          <w:lang w:val="es-ES"/>
        </w:rPr>
      </w:pPr>
    </w:p>
    <w:p w14:paraId="47651CE2" w14:textId="0D11F5A1" w:rsidR="00CF4276" w:rsidRDefault="00CF4276" w:rsidP="00CD6187">
      <w:pPr>
        <w:suppressLineNumbers/>
        <w:rPr>
          <w:b/>
          <w:sz w:val="20"/>
          <w:szCs w:val="20"/>
          <w:lang w:val="es-ES"/>
        </w:rPr>
      </w:pPr>
    </w:p>
    <w:p w14:paraId="0508C7B5" w14:textId="3CE2104B" w:rsidR="00CF4276" w:rsidRDefault="00CF4276" w:rsidP="00CD6187">
      <w:pPr>
        <w:suppressLineNumbers/>
        <w:rPr>
          <w:b/>
          <w:sz w:val="20"/>
          <w:szCs w:val="20"/>
          <w:lang w:val="es-ES"/>
        </w:rPr>
      </w:pPr>
    </w:p>
    <w:p w14:paraId="4797E729" w14:textId="77777777" w:rsidR="00CF4276" w:rsidRDefault="00CF4276" w:rsidP="00CD6187">
      <w:pPr>
        <w:suppressLineNumbers/>
        <w:rPr>
          <w:b/>
          <w:sz w:val="20"/>
          <w:szCs w:val="20"/>
          <w:lang w:val="es-ES"/>
        </w:rPr>
      </w:pPr>
    </w:p>
    <w:p w14:paraId="2C84CD1F" w14:textId="77777777" w:rsidR="00CF4276" w:rsidRDefault="00CF4276" w:rsidP="00CD6187">
      <w:pPr>
        <w:suppressLineNumbers/>
        <w:rPr>
          <w:b/>
          <w:sz w:val="20"/>
          <w:szCs w:val="20"/>
          <w:lang w:val="es-ES"/>
        </w:rPr>
      </w:pPr>
    </w:p>
    <w:tbl>
      <w:tblPr>
        <w:tblStyle w:val="Tablanormal51"/>
        <w:tblW w:w="0" w:type="auto"/>
        <w:tblLook w:val="04A0" w:firstRow="1" w:lastRow="0" w:firstColumn="1" w:lastColumn="0" w:noHBand="0" w:noVBand="1"/>
      </w:tblPr>
      <w:tblGrid>
        <w:gridCol w:w="4283"/>
        <w:gridCol w:w="4261"/>
      </w:tblGrid>
      <w:tr w:rsidR="00CF4276" w14:paraId="3A565B84" w14:textId="77777777" w:rsidTr="00CF427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828" w:type="dxa"/>
            <w:gridSpan w:val="2"/>
            <w:tcBorders>
              <w:top w:val="single" w:sz="4" w:space="0" w:color="auto"/>
              <w:left w:val="single" w:sz="4" w:space="0" w:color="auto"/>
              <w:bottom w:val="single" w:sz="4" w:space="0" w:color="auto"/>
              <w:right w:val="single" w:sz="4" w:space="0" w:color="auto"/>
            </w:tcBorders>
          </w:tcPr>
          <w:p w14:paraId="6F1CAE44" w14:textId="6F003813" w:rsidR="00CF4276" w:rsidRPr="00CF4276" w:rsidRDefault="00CF4276" w:rsidP="00CF4276">
            <w:pPr>
              <w:jc w:val="left"/>
              <w:rPr>
                <w:rFonts w:ascii="Arial" w:hAnsi="Arial" w:cs="Arial"/>
                <w:i w:val="0"/>
                <w:sz w:val="20"/>
                <w:szCs w:val="20"/>
                <w:lang w:val="es-ES"/>
              </w:rPr>
            </w:pPr>
            <w:r w:rsidRPr="00CF4276">
              <w:rPr>
                <w:rFonts w:ascii="Arial" w:hAnsi="Arial" w:cs="Arial"/>
                <w:b/>
                <w:i w:val="0"/>
                <w:sz w:val="20"/>
                <w:szCs w:val="20"/>
                <w:lang w:val="es-ES"/>
              </w:rPr>
              <w:lastRenderedPageBreak/>
              <w:t xml:space="preserve">Tabla 7. Cumplimiento del ABCDEF </w:t>
            </w:r>
            <w:proofErr w:type="spellStart"/>
            <w:r w:rsidRPr="00CF4276">
              <w:rPr>
                <w:rFonts w:ascii="Arial" w:hAnsi="Arial" w:cs="Arial"/>
                <w:b/>
                <w:i w:val="0"/>
                <w:sz w:val="20"/>
                <w:szCs w:val="20"/>
                <w:lang w:val="es-ES"/>
              </w:rPr>
              <w:t>bundle</w:t>
            </w:r>
            <w:proofErr w:type="spellEnd"/>
            <w:r w:rsidRPr="00CF4276">
              <w:rPr>
                <w:rFonts w:ascii="Arial" w:hAnsi="Arial" w:cs="Arial"/>
                <w:b/>
                <w:i w:val="0"/>
                <w:sz w:val="20"/>
                <w:szCs w:val="20"/>
                <w:lang w:val="es-ES"/>
              </w:rPr>
              <w:t xml:space="preserve"> entre marzo y agosto de 2019 (n =1134 día-paciente)</w:t>
            </w:r>
          </w:p>
        </w:tc>
      </w:tr>
      <w:tr w:rsidR="00CF4276" w14:paraId="24714934"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single" w:sz="4" w:space="0" w:color="auto"/>
              <w:bottom w:val="single" w:sz="4" w:space="0" w:color="auto"/>
            </w:tcBorders>
          </w:tcPr>
          <w:p w14:paraId="1E01B7B0"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Elemento “F”; Enganche Familiar</w:t>
            </w:r>
          </w:p>
        </w:tc>
        <w:tc>
          <w:tcPr>
            <w:tcW w:w="4414" w:type="dxa"/>
            <w:tcBorders>
              <w:top w:val="single" w:sz="4" w:space="0" w:color="auto"/>
              <w:bottom w:val="single" w:sz="4" w:space="0" w:color="auto"/>
              <w:right w:val="single" w:sz="4" w:space="0" w:color="auto"/>
            </w:tcBorders>
          </w:tcPr>
          <w:p w14:paraId="42F0A185"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TOTAL</w:t>
            </w:r>
          </w:p>
        </w:tc>
      </w:tr>
      <w:tr w:rsidR="00CF4276" w14:paraId="1C7BC055" w14:textId="77777777" w:rsidTr="00CF4276">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single" w:sz="4" w:space="0" w:color="auto"/>
            </w:tcBorders>
          </w:tcPr>
          <w:p w14:paraId="29121A39"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Elegible</w:t>
            </w:r>
          </w:p>
        </w:tc>
        <w:tc>
          <w:tcPr>
            <w:tcW w:w="4414" w:type="dxa"/>
            <w:tcBorders>
              <w:top w:val="single" w:sz="4" w:space="0" w:color="auto"/>
              <w:right w:val="single" w:sz="4" w:space="0" w:color="auto"/>
            </w:tcBorders>
          </w:tcPr>
          <w:p w14:paraId="3684B760"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1134 (100%)</w:t>
            </w:r>
          </w:p>
        </w:tc>
      </w:tr>
      <w:tr w:rsidR="00CF4276" w14:paraId="073BD17F"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left w:val="single" w:sz="4" w:space="0" w:color="auto"/>
              <w:bottom w:val="single" w:sz="4" w:space="0" w:color="auto"/>
            </w:tcBorders>
          </w:tcPr>
          <w:p w14:paraId="528E4A47"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Cumplimiento elemento “F”</w:t>
            </w:r>
          </w:p>
        </w:tc>
        <w:tc>
          <w:tcPr>
            <w:tcW w:w="4414" w:type="dxa"/>
            <w:tcBorders>
              <w:bottom w:val="single" w:sz="4" w:space="0" w:color="auto"/>
              <w:right w:val="single" w:sz="4" w:space="0" w:color="auto"/>
            </w:tcBorders>
          </w:tcPr>
          <w:p w14:paraId="37C477FC"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 (0,17%)</w:t>
            </w:r>
          </w:p>
        </w:tc>
      </w:tr>
      <w:tr w:rsidR="00CF4276" w14:paraId="0991FAE2" w14:textId="77777777" w:rsidTr="00CF4276">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single" w:sz="4" w:space="0" w:color="auto"/>
            </w:tcBorders>
          </w:tcPr>
          <w:p w14:paraId="1CE0AB8A"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Actividad</w:t>
            </w:r>
          </w:p>
        </w:tc>
        <w:tc>
          <w:tcPr>
            <w:tcW w:w="4414" w:type="dxa"/>
            <w:tcBorders>
              <w:top w:val="single" w:sz="4" w:space="0" w:color="auto"/>
              <w:right w:val="single" w:sz="4" w:space="0" w:color="auto"/>
            </w:tcBorders>
          </w:tcPr>
          <w:p w14:paraId="72217BA9"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p>
        </w:tc>
      </w:tr>
      <w:tr w:rsidR="00CF4276" w14:paraId="14758BB5"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single" w:sz="4" w:space="0" w:color="auto"/>
            </w:tcBorders>
          </w:tcPr>
          <w:p w14:paraId="40526693"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     Atención relacionada con el </w:t>
            </w:r>
            <w:proofErr w:type="spellStart"/>
            <w:r w:rsidRPr="00CF4276">
              <w:rPr>
                <w:rFonts w:ascii="Arial" w:hAnsi="Arial" w:cs="Arial"/>
                <w:i w:val="0"/>
                <w:sz w:val="20"/>
                <w:szCs w:val="20"/>
                <w:lang w:val="es-ES"/>
              </w:rPr>
              <w:t>bundle</w:t>
            </w:r>
            <w:proofErr w:type="spellEnd"/>
          </w:p>
        </w:tc>
        <w:tc>
          <w:tcPr>
            <w:tcW w:w="4414" w:type="dxa"/>
            <w:tcBorders>
              <w:top w:val="single" w:sz="4" w:space="0" w:color="auto"/>
              <w:right w:val="single" w:sz="4" w:space="0" w:color="auto"/>
            </w:tcBorders>
          </w:tcPr>
          <w:p w14:paraId="3435F144"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 (100%)</w:t>
            </w:r>
          </w:p>
        </w:tc>
      </w:tr>
      <w:tr w:rsidR="00CF4276" w14:paraId="7D554959" w14:textId="77777777" w:rsidTr="00CF4276">
        <w:tc>
          <w:tcPr>
            <w:cnfStyle w:val="001000000000" w:firstRow="0" w:lastRow="0" w:firstColumn="1" w:lastColumn="0" w:oddVBand="0" w:evenVBand="0" w:oddHBand="0" w:evenHBand="0" w:firstRowFirstColumn="0" w:firstRowLastColumn="0" w:lastRowFirstColumn="0" w:lastRowLastColumn="0"/>
            <w:tcW w:w="4414" w:type="dxa"/>
            <w:tcBorders>
              <w:left w:val="single" w:sz="4" w:space="0" w:color="auto"/>
            </w:tcBorders>
          </w:tcPr>
          <w:p w14:paraId="7C7D5599"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     Rondas</w:t>
            </w:r>
          </w:p>
        </w:tc>
        <w:tc>
          <w:tcPr>
            <w:tcW w:w="4414" w:type="dxa"/>
            <w:tcBorders>
              <w:right w:val="single" w:sz="4" w:space="0" w:color="auto"/>
            </w:tcBorders>
          </w:tcPr>
          <w:p w14:paraId="6F49CD49"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r>
      <w:tr w:rsidR="00CF4276" w14:paraId="306DC662"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left w:val="single" w:sz="4" w:space="0" w:color="auto"/>
            </w:tcBorders>
          </w:tcPr>
          <w:p w14:paraId="4BEBE7D2"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     Conferencias</w:t>
            </w:r>
          </w:p>
        </w:tc>
        <w:tc>
          <w:tcPr>
            <w:tcW w:w="4414" w:type="dxa"/>
            <w:tcBorders>
              <w:right w:val="single" w:sz="4" w:space="0" w:color="auto"/>
            </w:tcBorders>
          </w:tcPr>
          <w:p w14:paraId="3429534F"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r>
      <w:tr w:rsidR="00CF4276" w14:paraId="443082DD" w14:textId="77777777" w:rsidTr="00CF4276">
        <w:tc>
          <w:tcPr>
            <w:cnfStyle w:val="001000000000" w:firstRow="0" w:lastRow="0" w:firstColumn="1" w:lastColumn="0" w:oddVBand="0" w:evenVBand="0" w:oddHBand="0" w:evenHBand="0" w:firstRowFirstColumn="0" w:firstRowLastColumn="0" w:lastRowFirstColumn="0" w:lastRowLastColumn="0"/>
            <w:tcW w:w="4414" w:type="dxa"/>
            <w:tcBorders>
              <w:left w:val="single" w:sz="4" w:space="0" w:color="auto"/>
            </w:tcBorders>
          </w:tcPr>
          <w:p w14:paraId="7E60586B"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     Plan de cuidados</w:t>
            </w:r>
          </w:p>
        </w:tc>
        <w:tc>
          <w:tcPr>
            <w:tcW w:w="4414" w:type="dxa"/>
            <w:tcBorders>
              <w:right w:val="single" w:sz="4" w:space="0" w:color="auto"/>
            </w:tcBorders>
          </w:tcPr>
          <w:p w14:paraId="512CF143"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r>
      <w:tr w:rsidR="00CF4276" w14:paraId="7ECF5159"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single" w:sz="4" w:space="0" w:color="auto"/>
            </w:tcBorders>
          </w:tcPr>
          <w:p w14:paraId="141924DD"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 Profesional</w:t>
            </w:r>
          </w:p>
        </w:tc>
        <w:tc>
          <w:tcPr>
            <w:tcW w:w="4414" w:type="dxa"/>
            <w:tcBorders>
              <w:top w:val="single" w:sz="4" w:space="0" w:color="auto"/>
              <w:right w:val="single" w:sz="4" w:space="0" w:color="auto"/>
            </w:tcBorders>
          </w:tcPr>
          <w:p w14:paraId="23A7FE31"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p>
        </w:tc>
      </w:tr>
      <w:tr w:rsidR="00CF4276" w14:paraId="1C8D7A23" w14:textId="77777777" w:rsidTr="00CF4276">
        <w:tc>
          <w:tcPr>
            <w:cnfStyle w:val="001000000000" w:firstRow="0" w:lastRow="0" w:firstColumn="1" w:lastColumn="0" w:oddVBand="0" w:evenVBand="0" w:oddHBand="0" w:evenHBand="0" w:firstRowFirstColumn="0" w:firstRowLastColumn="0" w:lastRowFirstColumn="0" w:lastRowLastColumn="0"/>
            <w:tcW w:w="4414" w:type="dxa"/>
            <w:tcBorders>
              <w:left w:val="single" w:sz="4" w:space="0" w:color="auto"/>
            </w:tcBorders>
          </w:tcPr>
          <w:p w14:paraId="7270C255"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     Kinesiólogo de UCI</w:t>
            </w:r>
          </w:p>
        </w:tc>
        <w:tc>
          <w:tcPr>
            <w:tcW w:w="4414" w:type="dxa"/>
            <w:tcBorders>
              <w:right w:val="single" w:sz="4" w:space="0" w:color="auto"/>
            </w:tcBorders>
          </w:tcPr>
          <w:p w14:paraId="6ADC3295"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2 (100%)</w:t>
            </w:r>
          </w:p>
        </w:tc>
      </w:tr>
      <w:tr w:rsidR="00CF4276" w14:paraId="4146F9F2"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left w:val="single" w:sz="4" w:space="0" w:color="auto"/>
            </w:tcBorders>
          </w:tcPr>
          <w:p w14:paraId="7A935BDD"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     Enfermero de UCI</w:t>
            </w:r>
          </w:p>
        </w:tc>
        <w:tc>
          <w:tcPr>
            <w:tcW w:w="4414" w:type="dxa"/>
            <w:tcBorders>
              <w:right w:val="single" w:sz="4" w:space="0" w:color="auto"/>
            </w:tcBorders>
          </w:tcPr>
          <w:p w14:paraId="0238349C"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r>
      <w:tr w:rsidR="00CF4276" w14:paraId="3059C182" w14:textId="77777777" w:rsidTr="00CF4276">
        <w:tc>
          <w:tcPr>
            <w:cnfStyle w:val="001000000000" w:firstRow="0" w:lastRow="0" w:firstColumn="1" w:lastColumn="0" w:oddVBand="0" w:evenVBand="0" w:oddHBand="0" w:evenHBand="0" w:firstRowFirstColumn="0" w:firstRowLastColumn="0" w:lastRowFirstColumn="0" w:lastRowLastColumn="0"/>
            <w:tcW w:w="4414" w:type="dxa"/>
            <w:tcBorders>
              <w:left w:val="single" w:sz="4" w:space="0" w:color="auto"/>
            </w:tcBorders>
          </w:tcPr>
          <w:p w14:paraId="5AEF9860"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     Médico Residente</w:t>
            </w:r>
          </w:p>
        </w:tc>
        <w:tc>
          <w:tcPr>
            <w:tcW w:w="4414" w:type="dxa"/>
            <w:tcBorders>
              <w:right w:val="single" w:sz="4" w:space="0" w:color="auto"/>
            </w:tcBorders>
          </w:tcPr>
          <w:p w14:paraId="34B57517" w14:textId="77777777" w:rsidR="00CF4276" w:rsidRPr="00CF4276" w:rsidRDefault="00CF4276" w:rsidP="00CF4276">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r>
      <w:tr w:rsidR="00CF4276" w14:paraId="65F26E05" w14:textId="77777777" w:rsidTr="00CF42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left w:val="single" w:sz="4" w:space="0" w:color="auto"/>
              <w:bottom w:val="single" w:sz="4" w:space="0" w:color="auto"/>
            </w:tcBorders>
          </w:tcPr>
          <w:p w14:paraId="7E615D02"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 xml:space="preserve">     Terapeuta Ocupacional</w:t>
            </w:r>
          </w:p>
        </w:tc>
        <w:tc>
          <w:tcPr>
            <w:tcW w:w="4414" w:type="dxa"/>
            <w:tcBorders>
              <w:bottom w:val="single" w:sz="4" w:space="0" w:color="auto"/>
              <w:right w:val="single" w:sz="4" w:space="0" w:color="auto"/>
            </w:tcBorders>
          </w:tcPr>
          <w:p w14:paraId="783A0C2F" w14:textId="77777777" w:rsidR="00CF4276" w:rsidRPr="00CF4276" w:rsidRDefault="00CF4276" w:rsidP="00CF4276">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s-ES"/>
              </w:rPr>
            </w:pPr>
            <w:r w:rsidRPr="00CF4276">
              <w:rPr>
                <w:rFonts w:ascii="Arial" w:hAnsi="Arial" w:cs="Arial"/>
                <w:sz w:val="20"/>
                <w:szCs w:val="20"/>
                <w:lang w:val="es-ES"/>
              </w:rPr>
              <w:t>0 (0%)</w:t>
            </w:r>
          </w:p>
        </w:tc>
      </w:tr>
      <w:tr w:rsidR="00CF4276" w14:paraId="0D2428A7" w14:textId="77777777" w:rsidTr="00CF4276">
        <w:tc>
          <w:tcPr>
            <w:cnfStyle w:val="001000000000" w:firstRow="0" w:lastRow="0" w:firstColumn="1" w:lastColumn="0" w:oddVBand="0" w:evenVBand="0" w:oddHBand="0" w:evenHBand="0" w:firstRowFirstColumn="0" w:firstRowLastColumn="0" w:lastRowFirstColumn="0" w:lastRowLastColumn="0"/>
            <w:tcW w:w="8828" w:type="dxa"/>
            <w:gridSpan w:val="2"/>
            <w:tcBorders>
              <w:top w:val="single" w:sz="4" w:space="0" w:color="auto"/>
              <w:left w:val="single" w:sz="4" w:space="0" w:color="auto"/>
              <w:bottom w:val="single" w:sz="4" w:space="0" w:color="auto"/>
              <w:right w:val="single" w:sz="4" w:space="0" w:color="auto"/>
            </w:tcBorders>
          </w:tcPr>
          <w:p w14:paraId="207394E7" w14:textId="77777777" w:rsidR="00CF4276" w:rsidRPr="00CF4276" w:rsidRDefault="00CF4276" w:rsidP="00CF4276">
            <w:pPr>
              <w:jc w:val="left"/>
              <w:rPr>
                <w:rFonts w:ascii="Arial" w:hAnsi="Arial" w:cs="Arial"/>
                <w:i w:val="0"/>
                <w:sz w:val="20"/>
                <w:szCs w:val="20"/>
                <w:lang w:val="es-ES"/>
              </w:rPr>
            </w:pPr>
            <w:r w:rsidRPr="00CF4276">
              <w:rPr>
                <w:rFonts w:ascii="Arial" w:hAnsi="Arial" w:cs="Arial"/>
                <w:i w:val="0"/>
                <w:sz w:val="20"/>
                <w:szCs w:val="20"/>
                <w:lang w:val="es-ES"/>
              </w:rPr>
              <w:t>Datos presentados en frecuencia absoluta (%)</w:t>
            </w:r>
          </w:p>
        </w:tc>
      </w:tr>
    </w:tbl>
    <w:p w14:paraId="4FE2AA71" w14:textId="77777777" w:rsidR="00574E08" w:rsidRDefault="00574E08" w:rsidP="00BC7C94">
      <w:pPr>
        <w:suppressLineNumbers/>
        <w:spacing w:line="480" w:lineRule="auto"/>
        <w:rPr>
          <w:rFonts w:ascii="Arial" w:hAnsi="Arial" w:cs="Arial"/>
          <w:b/>
        </w:rPr>
      </w:pPr>
    </w:p>
    <w:p w14:paraId="49E1BF34" w14:textId="77777777" w:rsidR="00574E08" w:rsidRDefault="00574E08">
      <w:pPr>
        <w:rPr>
          <w:rFonts w:ascii="Arial" w:hAnsi="Arial" w:cs="Arial"/>
          <w:b/>
        </w:rPr>
      </w:pPr>
      <w:r>
        <w:rPr>
          <w:rFonts w:ascii="Arial" w:hAnsi="Arial" w:cs="Arial"/>
          <w:b/>
        </w:rPr>
        <w:br w:type="page"/>
      </w:r>
    </w:p>
    <w:p w14:paraId="215BD474" w14:textId="0862B872" w:rsidR="00CF4276" w:rsidRDefault="005B6A90" w:rsidP="00BC7C94">
      <w:pPr>
        <w:suppressLineNumbers/>
        <w:spacing w:line="480" w:lineRule="auto"/>
        <w:rPr>
          <w:rFonts w:ascii="Arial" w:hAnsi="Arial" w:cs="Arial"/>
          <w:b/>
        </w:rPr>
      </w:pPr>
      <w:r w:rsidRPr="006F33AE">
        <w:rPr>
          <w:rFonts w:ascii="Arial" w:hAnsi="Arial" w:cs="Arial"/>
          <w:b/>
        </w:rPr>
        <w:lastRenderedPageBreak/>
        <w:t>AXEXO</w:t>
      </w:r>
      <w:r w:rsidR="00D15F86">
        <w:rPr>
          <w:rFonts w:ascii="Arial" w:hAnsi="Arial" w:cs="Arial"/>
          <w:b/>
        </w:rPr>
        <w:t>S</w:t>
      </w:r>
    </w:p>
    <w:p w14:paraId="669F0193" w14:textId="707A2D18" w:rsidR="00950D7F" w:rsidRPr="00D15F86" w:rsidRDefault="00D15F86" w:rsidP="00BC7C94">
      <w:pPr>
        <w:suppressLineNumbers/>
        <w:spacing w:line="480" w:lineRule="auto"/>
        <w:rPr>
          <w:rFonts w:ascii="Arial" w:hAnsi="Arial" w:cs="Arial"/>
        </w:rPr>
      </w:pPr>
      <w:r w:rsidRPr="00D15F86">
        <w:rPr>
          <w:rFonts w:ascii="Arial" w:hAnsi="Arial" w:cs="Arial"/>
        </w:rPr>
        <w:t xml:space="preserve">ANEXO </w:t>
      </w:r>
      <w:r w:rsidR="005B6A90" w:rsidRPr="00D15F86">
        <w:rPr>
          <w:rFonts w:ascii="Arial" w:hAnsi="Arial" w:cs="Arial"/>
        </w:rPr>
        <w:t>Método</w:t>
      </w:r>
    </w:p>
    <w:p w14:paraId="016DCCEF" w14:textId="516C1A9B" w:rsidR="005B6A90" w:rsidRPr="006F33AE" w:rsidRDefault="005B6A90" w:rsidP="005B6A90">
      <w:pPr>
        <w:numPr>
          <w:ilvl w:val="0"/>
          <w:numId w:val="1"/>
        </w:numPr>
        <w:spacing w:line="360" w:lineRule="auto"/>
        <w:rPr>
          <w:rFonts w:ascii="Arial" w:hAnsi="Arial" w:cs="Arial"/>
          <w:lang w:val="es-ES_tradnl"/>
        </w:rPr>
      </w:pPr>
      <w:r w:rsidRPr="006F33AE">
        <w:rPr>
          <w:rFonts w:ascii="Arial" w:hAnsi="Arial" w:cs="Arial"/>
          <w:u w:val="single"/>
          <w:lang w:val="es-ES_tradnl"/>
        </w:rPr>
        <w:t>Método de selección:</w:t>
      </w:r>
      <w:r w:rsidRPr="006F33AE">
        <w:rPr>
          <w:rFonts w:ascii="Arial" w:hAnsi="Arial" w:cs="Arial"/>
          <w:lang w:val="es-ES_tradnl"/>
        </w:rPr>
        <w:t xml:space="preserve"> Se ingresó al Registro Clínico Electrónico (RCE) de todos los pacientes que estuvieron internados en la UCI quirúrgica adulto entre marzo y agosto del año 2019. Se utilizó la ficha clínica de los pacientes, asumiendo el marco legal del decreto Nº 41 de la ley chilena 20.584 sobre el reglamento de fichas clínicas, el cual establece en su Artículo 2º que: “la ficha clínica es el instrumento obligatorio en que se registra el conjunto de antecedentes relativos a las diferentes áreas relacionadas con la salud de una persona, que cumple la finalidad de mantener integrada la información necesaria para el otorgamiento de atenciones de salud al paciente” </w:t>
      </w:r>
      <w:r w:rsidRPr="006F33AE">
        <w:rPr>
          <w:rFonts w:ascii="Arial" w:hAnsi="Arial" w:cs="Arial"/>
          <w:lang w:val="es-ES_tradnl"/>
        </w:rPr>
        <w:fldChar w:fldCharType="begin" w:fldLock="1"/>
      </w:r>
      <w:r w:rsidR="007E240A" w:rsidRPr="006F33AE">
        <w:rPr>
          <w:rFonts w:ascii="Arial" w:hAnsi="Arial" w:cs="Arial"/>
          <w:lang w:val="es-ES_tradnl"/>
        </w:rPr>
        <w:instrText>ADDIN CSL_CITATION {"citationItems":[{"id":"ITEM-1","itemData":{"abstract":"Por el cual se crea la Unidad de Servicios Penitenciarios y Carcelarios -SPC, se determina su objeto y estructura.","author":[{"dropping-particle":"","family":"Ministerio de Salud","given":"","non-dropping-particle":"","parse-names":false,"suffix":""}],"container-title":"Biblioteca del Congreso Nacional de Chile","id":"ITEM-1","issued":{"date-parts":[["2012"]]},"page":"17-20","title":"Aprueba Reglamento sobre fichas clínicas","type":"article-journal"},"uris":["http://www.mendeley.com/documents/?uuid=9f76cc5b-bc75-49f5-be0b-748cc47e865f"]}],"mendeley":{"formattedCitation":"(29)","plainTextFormattedCitation":"(29)","previouslyFormattedCitation":"(1)"},"properties":{"noteIndex":0},"schema":"https://github.com/citation-style-language/schema/raw/master/csl-citation.json"}</w:instrText>
      </w:r>
      <w:r w:rsidRPr="006F33AE">
        <w:rPr>
          <w:rFonts w:ascii="Arial" w:hAnsi="Arial" w:cs="Arial"/>
          <w:lang w:val="es-ES_tradnl"/>
        </w:rPr>
        <w:fldChar w:fldCharType="separate"/>
      </w:r>
      <w:r w:rsidR="007E240A" w:rsidRPr="006F33AE">
        <w:rPr>
          <w:rFonts w:ascii="Arial" w:hAnsi="Arial" w:cs="Arial"/>
          <w:noProof/>
          <w:lang w:val="es-ES_tradnl"/>
        </w:rPr>
        <w:t>(29)</w:t>
      </w:r>
      <w:r w:rsidRPr="006F33AE">
        <w:rPr>
          <w:rFonts w:ascii="Arial" w:hAnsi="Arial" w:cs="Arial"/>
        </w:rPr>
        <w:fldChar w:fldCharType="end"/>
      </w:r>
      <w:r w:rsidRPr="006F33AE">
        <w:rPr>
          <w:rFonts w:ascii="Arial" w:hAnsi="Arial" w:cs="Arial"/>
          <w:lang w:val="es-ES_tradnl"/>
        </w:rPr>
        <w:t xml:space="preserve">, la cual no sólo tiene un valor judicial, sino que también un valor para la investigación y en el control de calidad de la atención de los establecimientos de salud </w:t>
      </w:r>
      <w:r w:rsidRPr="006F33AE">
        <w:rPr>
          <w:rFonts w:ascii="Arial" w:hAnsi="Arial" w:cs="Arial"/>
          <w:lang w:val="es-ES_tradnl"/>
        </w:rPr>
        <w:fldChar w:fldCharType="begin" w:fldLock="1"/>
      </w:r>
      <w:r w:rsidR="007E240A" w:rsidRPr="006F33AE">
        <w:rPr>
          <w:rFonts w:ascii="Arial" w:hAnsi="Arial" w:cs="Arial"/>
          <w:lang w:val="es-ES_tradnl"/>
        </w:rPr>
        <w:instrText>ADDIN CSL_CITATION {"citationItems":[{"id":"ITEM-1","itemData":{"DOI":"10.4067/s1726-569x2018000200181","abstract":"La historia o ficha clínica ha servido de instrumento de registro de las actividades sanitarias desde el inicio de las profesiones de salud, otorgándosele diversas utilidades y valoraciones, según su objetivo, un valor docente, en investigación, judicial, entre otros. Ante las diferentes interpretaciones de las normas vigentes en Chile se ha debido legislar en su uso, pertenencia, contenido y otros aspectos, aclarando algunas situaciones pero restringiendo su acceso en otros aspectos. Dado las distintas leyes y normativas a las que se asocia su uso, se hizo necesario elaborar un documento que incluya sus aspectos más importantes. Aún quedan elementos asociados a las costumbres, creencias, especialidades en salud, entre otras, que no han sido abordados por las leyes, además de la labor docente de este instrumento.","author":[{"dropping-particle":"","family":"Godoy Olave","given":"Jorge","non-dropping-particle":"","parse-names":false,"suffix":""},{"dropping-particle":"","family":"Barraza Mesquida","given":"Jaime","non-dropping-particle":"","parse-names":false,"suffix":""}],"container-title":"Acta bioethica","id":"ITEM-1","issue":"2","issued":{"date-parts":[["2018"]]},"page":"181-188","title":"La ficha clínica mirada desde la legislación chilena actual","type":"article-journal","volume":"24"},"uris":["http://www.mendeley.com/documents/?uuid=9967567a-5c93-4ec8-9b71-5fddb8ff713e"]}],"mendeley":{"formattedCitation":"(30)","plainTextFormattedCitation":"(30)","previouslyFormattedCitation":"(2)"},"properties":{"noteIndex":0},"schema":"https://github.com/citation-style-language/schema/raw/master/csl-citation.json"}</w:instrText>
      </w:r>
      <w:r w:rsidRPr="006F33AE">
        <w:rPr>
          <w:rFonts w:ascii="Arial" w:hAnsi="Arial" w:cs="Arial"/>
          <w:lang w:val="es-ES_tradnl"/>
        </w:rPr>
        <w:fldChar w:fldCharType="separate"/>
      </w:r>
      <w:r w:rsidR="007E240A" w:rsidRPr="006F33AE">
        <w:rPr>
          <w:rFonts w:ascii="Arial" w:hAnsi="Arial" w:cs="Arial"/>
          <w:noProof/>
          <w:lang w:val="es-ES_tradnl"/>
        </w:rPr>
        <w:t>(30)</w:t>
      </w:r>
      <w:r w:rsidRPr="006F33AE">
        <w:rPr>
          <w:rFonts w:ascii="Arial" w:hAnsi="Arial" w:cs="Arial"/>
        </w:rPr>
        <w:fldChar w:fldCharType="end"/>
      </w:r>
      <w:r w:rsidRPr="006F33AE">
        <w:rPr>
          <w:rFonts w:ascii="Arial" w:hAnsi="Arial" w:cs="Arial"/>
          <w:lang w:val="es-ES_tradnl"/>
        </w:rPr>
        <w:t>. Se determinó un período de 6 meses, asumiendo que el período a evaluar no contempla el verano y la rotación de personal debido al período de vacaciones.</w:t>
      </w:r>
    </w:p>
    <w:p w14:paraId="6C5BA0E6" w14:textId="77777777" w:rsidR="005B6A90" w:rsidRPr="006F33AE" w:rsidRDefault="005B6A90" w:rsidP="005B6A90">
      <w:pPr>
        <w:numPr>
          <w:ilvl w:val="0"/>
          <w:numId w:val="1"/>
        </w:numPr>
        <w:spacing w:line="360" w:lineRule="auto"/>
        <w:rPr>
          <w:rFonts w:ascii="Arial" w:hAnsi="Arial" w:cs="Arial"/>
          <w:lang w:val="es-ES_tradnl"/>
        </w:rPr>
      </w:pPr>
      <w:r w:rsidRPr="006F33AE">
        <w:rPr>
          <w:rFonts w:ascii="Arial" w:hAnsi="Arial" w:cs="Arial"/>
          <w:u w:val="single"/>
          <w:lang w:val="es-ES_tradnl"/>
        </w:rPr>
        <w:t>Criterios de Inclusión:</w:t>
      </w:r>
      <w:r w:rsidRPr="006F33AE">
        <w:rPr>
          <w:rFonts w:ascii="Arial" w:hAnsi="Arial" w:cs="Arial"/>
          <w:lang w:val="es-ES_tradnl"/>
        </w:rPr>
        <w:t xml:space="preserve"> pacientes mayores de 18 años, que recibieron cuidados en la UCI quirúrgica adulto durante al menos 24 horas, los cuales pudieron o no haber recibido ventilación mecánica o que se encontraron en la UCI por más de 24 horas a falta de cama en un servicio de menor complejidad.</w:t>
      </w:r>
    </w:p>
    <w:p w14:paraId="12387A9D" w14:textId="77777777" w:rsidR="005B6A90" w:rsidRPr="006F33AE" w:rsidRDefault="005B6A90" w:rsidP="005B6A90">
      <w:pPr>
        <w:numPr>
          <w:ilvl w:val="0"/>
          <w:numId w:val="1"/>
        </w:numPr>
        <w:spacing w:line="360" w:lineRule="auto"/>
        <w:rPr>
          <w:rFonts w:ascii="Arial" w:hAnsi="Arial" w:cs="Arial"/>
          <w:lang w:val="es-ES_tradnl"/>
        </w:rPr>
      </w:pPr>
      <w:r w:rsidRPr="006F33AE">
        <w:rPr>
          <w:rFonts w:ascii="Arial" w:hAnsi="Arial" w:cs="Arial"/>
          <w:u w:val="single"/>
          <w:lang w:val="es-ES_tradnl"/>
        </w:rPr>
        <w:t>Criterios de Exclusión:</w:t>
      </w:r>
      <w:r w:rsidRPr="006F33AE">
        <w:rPr>
          <w:rFonts w:ascii="Arial" w:hAnsi="Arial" w:cs="Arial"/>
          <w:lang w:val="es-ES_tradnl"/>
        </w:rPr>
        <w:t xml:space="preserve"> Pacientes que fallecieron o fueron trasladados durante las primeras 24 horas de ser admitidos en la UCI y a los pacientes que fueron sometidos a retiro activo de soporte vital y / o atención de confort documentada únicamente, dentro de las 24 horas posteriores a la admisión en la UCI.</w:t>
      </w:r>
    </w:p>
    <w:p w14:paraId="1BC49CFF" w14:textId="7DAEF975" w:rsidR="005B6A90" w:rsidRPr="006F33AE" w:rsidRDefault="005B6A90" w:rsidP="005B6A90">
      <w:pPr>
        <w:numPr>
          <w:ilvl w:val="0"/>
          <w:numId w:val="1"/>
        </w:numPr>
        <w:spacing w:line="360" w:lineRule="auto"/>
        <w:rPr>
          <w:rFonts w:ascii="Arial" w:hAnsi="Arial" w:cs="Arial"/>
          <w:lang w:val="es-ES_tradnl"/>
        </w:rPr>
      </w:pPr>
      <w:r w:rsidRPr="006F33AE">
        <w:rPr>
          <w:rFonts w:ascii="Arial" w:hAnsi="Arial" w:cs="Arial"/>
          <w:u w:val="single"/>
          <w:lang w:val="es-ES_tradnl"/>
        </w:rPr>
        <w:t xml:space="preserve">Cálculo de tamaño </w:t>
      </w:r>
      <w:proofErr w:type="spellStart"/>
      <w:r w:rsidRPr="006F33AE">
        <w:rPr>
          <w:rFonts w:ascii="Arial" w:hAnsi="Arial" w:cs="Arial"/>
          <w:u w:val="single"/>
          <w:lang w:val="es-ES_tradnl"/>
        </w:rPr>
        <w:t>muestral</w:t>
      </w:r>
      <w:proofErr w:type="spellEnd"/>
      <w:r w:rsidRPr="006F33AE">
        <w:rPr>
          <w:rFonts w:ascii="Arial" w:hAnsi="Arial" w:cs="Arial"/>
          <w:u w:val="single"/>
          <w:lang w:val="es-ES_tradnl"/>
        </w:rPr>
        <w:t xml:space="preserve"> y muestreo:</w:t>
      </w:r>
      <w:r w:rsidRPr="006F33AE">
        <w:rPr>
          <w:rFonts w:ascii="Arial" w:hAnsi="Arial" w:cs="Arial"/>
          <w:lang w:val="es-ES_tradnl"/>
        </w:rPr>
        <w:t xml:space="preserve"> Se realizó un muestreo de tipo censal para los pacientes. Se estimó en total un máximo de 240 evaluaciones del </w:t>
      </w:r>
      <w:r w:rsidR="006F33AE" w:rsidRPr="006F33AE">
        <w:rPr>
          <w:rFonts w:ascii="Arial" w:hAnsi="Arial" w:cs="Arial"/>
          <w:i/>
          <w:iCs/>
          <w:lang w:val="es-ES_tradnl"/>
        </w:rPr>
        <w:t>“bundle”</w:t>
      </w:r>
      <w:r w:rsidRPr="006F33AE">
        <w:rPr>
          <w:rFonts w:ascii="Arial" w:hAnsi="Arial" w:cs="Arial"/>
          <w:lang w:val="es-ES_tradnl"/>
        </w:rPr>
        <w:t xml:space="preserve"> ABCDEF por mes. Debido al diseño y el tipo de </w:t>
      </w:r>
      <w:r w:rsidRPr="006F33AE">
        <w:rPr>
          <w:rFonts w:ascii="Arial" w:hAnsi="Arial" w:cs="Arial"/>
          <w:lang w:val="es-ES_tradnl"/>
        </w:rPr>
        <w:lastRenderedPageBreak/>
        <w:t xml:space="preserve">estudio no existen hipótesis ni supuestos, por lo tanto, no requiere cálculo de tamaño </w:t>
      </w:r>
      <w:proofErr w:type="spellStart"/>
      <w:r w:rsidRPr="006F33AE">
        <w:rPr>
          <w:rFonts w:ascii="Arial" w:hAnsi="Arial" w:cs="Arial"/>
          <w:lang w:val="es-ES_tradnl"/>
        </w:rPr>
        <w:t>muestral</w:t>
      </w:r>
      <w:proofErr w:type="spellEnd"/>
      <w:r w:rsidRPr="006F33AE">
        <w:rPr>
          <w:rFonts w:ascii="Arial" w:hAnsi="Arial" w:cs="Arial"/>
          <w:lang w:val="es-ES_tradnl"/>
        </w:rPr>
        <w:t>.</w:t>
      </w:r>
    </w:p>
    <w:p w14:paraId="60C7B2CF" w14:textId="1FB4655E" w:rsidR="005B6A90" w:rsidRPr="006F33AE" w:rsidRDefault="005B6A90" w:rsidP="005B6A90">
      <w:pPr>
        <w:numPr>
          <w:ilvl w:val="0"/>
          <w:numId w:val="1"/>
        </w:numPr>
        <w:spacing w:line="360" w:lineRule="auto"/>
        <w:rPr>
          <w:rFonts w:ascii="Arial" w:hAnsi="Arial" w:cs="Arial"/>
        </w:rPr>
      </w:pPr>
      <w:r w:rsidRPr="006F33AE">
        <w:rPr>
          <w:rFonts w:ascii="Arial" w:hAnsi="Arial" w:cs="Arial"/>
          <w:u w:val="single"/>
          <w:lang w:val="es-ES_tradnl"/>
        </w:rPr>
        <w:t>Protocolo de reclutamiento y recolección de los datos:</w:t>
      </w:r>
      <w:r w:rsidRPr="006F33AE">
        <w:rPr>
          <w:rFonts w:ascii="Arial" w:hAnsi="Arial" w:cs="Arial"/>
          <w:lang w:val="es-ES_tradnl"/>
        </w:rPr>
        <w:t xml:space="preserve"> Se construyó una matriz de extracción de datos en Microsoft Excel en el computador personal del investigador principal (FM), en base a la metodología utilizada por Pun y colaboradores (2019) </w:t>
      </w:r>
      <w:r w:rsidRPr="006F33AE">
        <w:rPr>
          <w:rFonts w:ascii="Arial" w:hAnsi="Arial" w:cs="Arial"/>
          <w:lang w:val="es-ES_tradnl"/>
        </w:rPr>
        <w:fldChar w:fldCharType="begin" w:fldLock="1"/>
      </w:r>
      <w:r w:rsidR="007E240A" w:rsidRPr="006F33AE">
        <w:rPr>
          <w:rFonts w:ascii="Arial" w:hAnsi="Arial" w:cs="Arial"/>
          <w:lang w:val="es-ES_tradnl"/>
        </w:rPr>
        <w:instrText>ADDIN CSL_CITATION {"citationItems":[{"id":"ITEM-1","itemData":{"DOI":"10.1111/wvn.12290","ISSN":"17416787","abstract":"Background: Patients admitted to intensive care units (ICUs) often experience pain, oversedation, prolonged mechanical ventilation, delirium, and weakness. These conditions are important in that they often lead to protracted physical, neurocognitive, and mental health sequelae now termed postintensive care syndrome. Changing current ICU practice will not only require the adoption of evidence-based interventions but the development of effective and reliable teams to support these new practices. Objectives: To build on the success of bundled care and bridge an ongoing evidence-practice gap, the Society of Critical Care Medicine (SCCM) recently launched the ICU Liberation ABCDEF Bundle Improvement Collaborative. The Collaborative aimed to foster the bedside application of the SCCM's Pain, Agitation, and Delirium Guidelines via the ABCDEF bundle. The purpose of this paper is to describe the history of the Collaborative, the evidence-based implementation strategies used to foster change and teamwork, and the performance and outcome metrics used to monitor progress. Methods: Collaborative participants were required to attend four in-person meetings, monthly colearning calls, database training sessions, an e-Community listserv, and select in-person site visits. Teams submitted patient-level data and completed pre- and postimplementation questionnaires focused on the assessment of teamwork and collaboration, work environment, and overall ICU care. Faculty shared the evidence used to derive each bundle element as well as team-based implementation strategies for improvement and sustainment. Results: Retention in the Collaborative was high, with 67 of 69 adult and eight of nine pediatric ICUs fully completing the program. Baseline and prospective data were collected on over 17,000 critically ill patients. A variety of evidence-based professional behavioral change interventions and novel implementation techniques were utilized and shared among Collaborative members. Linking Evidence to Action: Hospitals and health systems can use the Collaborative structure, strategies, and tools described in this paper to help successfully implement the ABCDEF bundle in their ICUs.","author":[{"dropping-particle":"","family":"Barnes-Daly","given":"Mary Ann","non-dropping-particle":"","parse-names":false,"suffix":""},{"dropping-particle":"","family":"Pun","given":"Brenda T.","non-dropping-particle":"","parse-names":false,"suffix":""},{"dropping-particle":"","family":"Harmon","given":"Lori A.","non-dropping-particle":"","parse-names":false,"suffix":""},{"dropping-particle":"","family":"Byrum","given":"Diane G.","non-dropping-particle":"","parse-names":false,"suffix":""},{"dropping-particle":"","family":"Kumar","given":"Vishakha K.","non-dropping-particle":"","parse-names":false,"suffix":""},{"dropping-particle":"","family":"Devlin","given":"John W.","non-dropping-particle":"","parse-names":false,"suffix":""},{"dropping-particle":"","family":"Stollings","given":"Joanna L.","non-dropping-particle":"","parse-names":false,"suffix":""},{"dropping-particle":"","family":"Puntillo","given":"Kathleen A.","non-dropping-particle":"","parse-names":false,"suffix":""},{"dropping-particle":"","family":"Engel","given":"Heidi J.","non-dropping-particle":"","parse-names":false,"suffix":""},{"dropping-particle":"","family":"Posa","given":"Patricia J.","non-dropping-particle":"","parse-names":false,"suffix":""},{"dropping-particle":"","family":"Barr","given":"Juliana","non-dropping-particle":"","parse-names":false,"suffix":""},{"dropping-particle":"","family":"Schweickert","given":"William D.","non-dropping-particle":"","parse-names":false,"suffix":""},{"dropping-particle":"","family":"Esbrook","given":"Cheryl L.","non-dropping-particle":"","parse-names":false,"suffix":""},{"dropping-particle":"","family":"Hargett","given":"Ken D.","non-dropping-particle":"","parse-names":false,"suffix":""},{"dropping-particle":"","family":"Carson","given":"Shannon S.","non-dropping-particle":"","parse-names":false,"suffix":""},{"dropping-particle":"","family":"Aldrich","given":"J. Matthew","non-dropping-particle":"","parse-names":false,"suffix":""},{"dropping-particle":"","family":"Ely","given":"E. Wesley","non-dropping-particle":"","parse-names":false,"suffix":""},{"dropping-particle":"","family":"Balas","given":"Michele C.","non-dropping-particle":"","parse-names":false,"suffix":""}],"container-title":"Worldviews on Evidence-Based Nursing","id":"ITEM-1","issue":"3","issued":{"date-parts":[["2018"]]},"page":"206-216","title":"Improving Health Care for Critically Ill Patients Using an Evidence-Based Collaborative Approach to ABCDEF Bundle Dissemination and Implementation","type":"article-journal","volume":"15"},"uris":["http://www.mendeley.com/documents/?uuid=7b71dfed-70a7-4f79-b94c-bf5ffdcbe1c6"]}],"mendeley":{"formattedCitation":"(10)","plainTextFormattedCitation":"(10)","previouslyFormattedCitation":"(3)"},"properties":{"noteIndex":0},"schema":"https://github.com/citation-style-language/schema/raw/master/csl-citation.json"}</w:instrText>
      </w:r>
      <w:r w:rsidRPr="006F33AE">
        <w:rPr>
          <w:rFonts w:ascii="Arial" w:hAnsi="Arial" w:cs="Arial"/>
          <w:lang w:val="es-ES_tradnl"/>
        </w:rPr>
        <w:fldChar w:fldCharType="separate"/>
      </w:r>
      <w:r w:rsidR="007E240A" w:rsidRPr="006F33AE">
        <w:rPr>
          <w:rFonts w:ascii="Arial" w:hAnsi="Arial" w:cs="Arial"/>
          <w:noProof/>
          <w:lang w:val="es-ES_tradnl"/>
        </w:rPr>
        <w:t>(10)</w:t>
      </w:r>
      <w:r w:rsidRPr="006F33AE">
        <w:rPr>
          <w:rFonts w:ascii="Arial" w:hAnsi="Arial" w:cs="Arial"/>
        </w:rPr>
        <w:fldChar w:fldCharType="end"/>
      </w:r>
      <w:r w:rsidRPr="006F33AE">
        <w:rPr>
          <w:rFonts w:ascii="Arial" w:hAnsi="Arial" w:cs="Arial"/>
          <w:lang w:val="es-ES_tradnl"/>
        </w:rPr>
        <w:t xml:space="preserve">. Se definió como fecha inicial del período de extracción de datos el día 1 de marzo del año 2019. Posteriormente se ingresó al RCE mediante un computador portátil facilitado por la institución de salud, en el cual se accedió a la ficha clínica del paciente, para extraer las variables clínicas y sociodemográficas además de las relacionadas al </w:t>
      </w:r>
      <w:r w:rsidR="006F33AE" w:rsidRPr="006F33AE">
        <w:rPr>
          <w:rFonts w:ascii="Arial" w:hAnsi="Arial" w:cs="Arial"/>
          <w:i/>
          <w:iCs/>
          <w:lang w:val="es-ES_tradnl"/>
        </w:rPr>
        <w:t>“bundle”</w:t>
      </w:r>
      <w:r w:rsidRPr="006F33AE">
        <w:rPr>
          <w:rFonts w:ascii="Arial" w:hAnsi="Arial" w:cs="Arial"/>
          <w:lang w:val="es-ES_tradnl"/>
        </w:rPr>
        <w:t xml:space="preserve">. Se consideró “un día” desde las 00:00 </w:t>
      </w:r>
      <w:proofErr w:type="spellStart"/>
      <w:r w:rsidRPr="006F33AE">
        <w:rPr>
          <w:rFonts w:ascii="Arial" w:hAnsi="Arial" w:cs="Arial"/>
          <w:lang w:val="es-ES_tradnl"/>
        </w:rPr>
        <w:t>hrs</w:t>
      </w:r>
      <w:proofErr w:type="spellEnd"/>
      <w:r w:rsidRPr="006F33AE">
        <w:rPr>
          <w:rFonts w:ascii="Arial" w:hAnsi="Arial" w:cs="Arial"/>
          <w:lang w:val="es-ES_tradnl"/>
        </w:rPr>
        <w:t xml:space="preserve"> del día 1 de marzo, hasta las 23:59 </w:t>
      </w:r>
      <w:proofErr w:type="spellStart"/>
      <w:r w:rsidRPr="006F33AE">
        <w:rPr>
          <w:rFonts w:ascii="Arial" w:hAnsi="Arial" w:cs="Arial"/>
          <w:lang w:val="es-ES_tradnl"/>
        </w:rPr>
        <w:t>hrs</w:t>
      </w:r>
      <w:proofErr w:type="spellEnd"/>
      <w:r w:rsidRPr="006F33AE">
        <w:rPr>
          <w:rFonts w:ascii="Arial" w:hAnsi="Arial" w:cs="Arial"/>
          <w:lang w:val="es-ES_tradnl"/>
        </w:rPr>
        <w:t xml:space="preserve"> del mismo día, por lo tanto, el segundo día inicia a las 00:00 </w:t>
      </w:r>
      <w:proofErr w:type="spellStart"/>
      <w:r w:rsidRPr="006F33AE">
        <w:rPr>
          <w:rFonts w:ascii="Arial" w:hAnsi="Arial" w:cs="Arial"/>
          <w:lang w:val="es-ES_tradnl"/>
        </w:rPr>
        <w:t>hrs</w:t>
      </w:r>
      <w:proofErr w:type="spellEnd"/>
      <w:r w:rsidRPr="006F33AE">
        <w:rPr>
          <w:rFonts w:ascii="Arial" w:hAnsi="Arial" w:cs="Arial"/>
          <w:lang w:val="es-ES_tradnl"/>
        </w:rPr>
        <w:t xml:space="preserve"> hasta las 23:59 </w:t>
      </w:r>
      <w:proofErr w:type="spellStart"/>
      <w:r w:rsidRPr="006F33AE">
        <w:rPr>
          <w:rFonts w:ascii="Arial" w:hAnsi="Arial" w:cs="Arial"/>
          <w:lang w:val="es-ES_tradnl"/>
        </w:rPr>
        <w:t>hrs</w:t>
      </w:r>
      <w:proofErr w:type="spellEnd"/>
      <w:r w:rsidRPr="006F33AE">
        <w:rPr>
          <w:rFonts w:ascii="Arial" w:hAnsi="Arial" w:cs="Arial"/>
          <w:lang w:val="es-ES_tradnl"/>
        </w:rPr>
        <w:t xml:space="preserve"> y así sucesivamente hasta completar los 6 meses el día 31 de agosto de 2019. Al completar el período de 6 meses, los pacientes que siguieron internados en la unidad, se les continuó el seguimiento hasta que fueron trasladados, fallecieron o se cumplieron 30 días desde el último día de reclutamiento.</w:t>
      </w:r>
      <w:r w:rsidRPr="006F33AE">
        <w:rPr>
          <w:rFonts w:ascii="Arial" w:hAnsi="Arial" w:cs="Arial"/>
          <w:lang w:val="es-ES_tradnl"/>
        </w:rPr>
        <w:br/>
      </w:r>
      <w:r w:rsidRPr="006F33AE">
        <w:rPr>
          <w:rFonts w:ascii="Arial" w:hAnsi="Arial" w:cs="Arial"/>
        </w:rPr>
        <w:t xml:space="preserve">La extracción de la información relevante de la ficha clínica la realizó el investigador principal (FM) de lunes a viernes en horario hábil, ingresando la información en su computador personal. </w:t>
      </w:r>
    </w:p>
    <w:p w14:paraId="3FDFB7DC" w14:textId="30FDB754" w:rsidR="005B6A90" w:rsidRDefault="005B6A90" w:rsidP="00BC7C94">
      <w:pPr>
        <w:suppressLineNumbers/>
        <w:spacing w:line="480" w:lineRule="auto"/>
      </w:pPr>
    </w:p>
    <w:p w14:paraId="106EDB53" w14:textId="07E0AF69" w:rsidR="005B6A90" w:rsidRDefault="005B6A90" w:rsidP="00BC7C94">
      <w:pPr>
        <w:suppressLineNumbers/>
        <w:spacing w:line="480" w:lineRule="auto"/>
      </w:pPr>
    </w:p>
    <w:p w14:paraId="51B601B8" w14:textId="4E6CE0FC" w:rsidR="005B6A90" w:rsidRDefault="005B6A90" w:rsidP="00BC7C94">
      <w:pPr>
        <w:suppressLineNumbers/>
        <w:spacing w:line="480" w:lineRule="auto"/>
      </w:pPr>
    </w:p>
    <w:p w14:paraId="42000807" w14:textId="1640BE46" w:rsidR="005B6A90" w:rsidRDefault="005B6A90" w:rsidP="00BC7C94">
      <w:pPr>
        <w:suppressLineNumbers/>
        <w:spacing w:line="480" w:lineRule="auto"/>
      </w:pPr>
    </w:p>
    <w:p w14:paraId="4CD05314" w14:textId="6F100353" w:rsidR="005B6A90" w:rsidRDefault="005B6A90" w:rsidP="00BC7C94">
      <w:pPr>
        <w:suppressLineNumbers/>
        <w:spacing w:line="480" w:lineRule="auto"/>
      </w:pPr>
    </w:p>
    <w:p w14:paraId="55A8E72F" w14:textId="5484D368" w:rsidR="005B6A90" w:rsidRDefault="005B6A90" w:rsidP="00BC7C94">
      <w:pPr>
        <w:suppressLineNumbers/>
        <w:spacing w:line="480" w:lineRule="auto"/>
      </w:pPr>
    </w:p>
    <w:p w14:paraId="06AF198C" w14:textId="77777777" w:rsidR="00CF4276" w:rsidRDefault="00CF4276" w:rsidP="00BC7C94">
      <w:pPr>
        <w:suppressLineNumbers/>
        <w:spacing w:line="480" w:lineRule="auto"/>
      </w:pPr>
    </w:p>
    <w:p w14:paraId="1A66C948" w14:textId="65CFA64F" w:rsidR="005B6A90" w:rsidRPr="00FB4ECD" w:rsidRDefault="00CF4276" w:rsidP="00FB4ECD">
      <w:pPr>
        <w:suppressLineNumbers/>
        <w:spacing w:line="480" w:lineRule="auto"/>
        <w:rPr>
          <w:rFonts w:ascii="Arial" w:hAnsi="Arial" w:cs="Arial"/>
        </w:rPr>
      </w:pPr>
      <w:r>
        <w:rPr>
          <w:rFonts w:ascii="Arial" w:hAnsi="Arial" w:cs="Arial"/>
        </w:rPr>
        <w:lastRenderedPageBreak/>
        <w:t>ANEXO.</w:t>
      </w:r>
      <w:r w:rsidR="005B6A90" w:rsidRPr="006F33AE">
        <w:rPr>
          <w:rFonts w:ascii="Arial" w:hAnsi="Arial" w:cs="Arial"/>
          <w:b/>
        </w:rPr>
        <w:t xml:space="preserve">Definiciones operacionales del cumplimiento del </w:t>
      </w:r>
      <w:r w:rsidR="006F33AE" w:rsidRPr="006F33AE">
        <w:rPr>
          <w:rFonts w:ascii="Arial" w:hAnsi="Arial" w:cs="Arial"/>
          <w:b/>
        </w:rPr>
        <w:t>“bundle”</w:t>
      </w:r>
      <w:r w:rsidR="005B6A90" w:rsidRPr="006F33AE">
        <w:rPr>
          <w:rFonts w:ascii="Arial" w:hAnsi="Arial" w:cs="Arial"/>
          <w:b/>
        </w:rPr>
        <w:t>ABCDEF  *</w:t>
      </w:r>
    </w:p>
    <w:p w14:paraId="7444913D" w14:textId="77777777" w:rsidR="005B6A90" w:rsidRPr="006F33AE" w:rsidRDefault="005B6A90" w:rsidP="005B6A90">
      <w:pPr>
        <w:suppressLineNumbers/>
        <w:rPr>
          <w:rFonts w:ascii="Arial" w:hAnsi="Arial" w:cs="Arial"/>
          <w:b/>
        </w:rPr>
      </w:pPr>
    </w:p>
    <w:tbl>
      <w:tblPr>
        <w:tblStyle w:val="Tablanormal21"/>
        <w:tblW w:w="9072" w:type="dxa"/>
        <w:tblLook w:val="04A0" w:firstRow="1" w:lastRow="0" w:firstColumn="1" w:lastColumn="0" w:noHBand="0" w:noVBand="1"/>
      </w:tblPr>
      <w:tblGrid>
        <w:gridCol w:w="1207"/>
        <w:gridCol w:w="3395"/>
        <w:gridCol w:w="4470"/>
      </w:tblGrid>
      <w:tr w:rsidR="005B6A90" w:rsidRPr="006F33AE" w14:paraId="6CDC99CC" w14:textId="77777777" w:rsidTr="007E240A">
        <w:trPr>
          <w:cnfStyle w:val="100000000000" w:firstRow="1" w:lastRow="0" w:firstColumn="0" w:lastColumn="0" w:oddVBand="0" w:evenVBand="0" w:oddHBand="0" w:evenHBand="0" w:firstRowFirstColumn="0" w:firstRowLastColumn="0" w:lastRowFirstColumn="0" w:lastRowLastColumn="0"/>
          <w:trHeight w:val="619"/>
        </w:trPr>
        <w:tc>
          <w:tcPr>
            <w:cnfStyle w:val="001000000000" w:firstRow="0" w:lastRow="0" w:firstColumn="1" w:lastColumn="0" w:oddVBand="0" w:evenVBand="0" w:oddHBand="0" w:evenHBand="0" w:firstRowFirstColumn="0" w:firstRowLastColumn="0" w:lastRowFirstColumn="0" w:lastRowLastColumn="0"/>
            <w:tcW w:w="1170" w:type="dxa"/>
            <w:vAlign w:val="center"/>
          </w:tcPr>
          <w:p w14:paraId="0584D94F" w14:textId="75075609" w:rsidR="005B6A90" w:rsidRPr="006F33AE" w:rsidRDefault="005B6A90" w:rsidP="007E240A">
            <w:pPr>
              <w:suppressLineNumbers/>
              <w:jc w:val="center"/>
              <w:rPr>
                <w:rFonts w:ascii="Arial" w:hAnsi="Arial" w:cs="Arial"/>
                <w:sz w:val="22"/>
              </w:rPr>
            </w:pPr>
            <w:r w:rsidRPr="006F33AE">
              <w:rPr>
                <w:rFonts w:ascii="Arial" w:hAnsi="Arial" w:cs="Arial"/>
                <w:sz w:val="22"/>
              </w:rPr>
              <w:t xml:space="preserve">Elemento del </w:t>
            </w:r>
            <w:r w:rsidR="00AD58D7" w:rsidRPr="006F33AE">
              <w:rPr>
                <w:rFonts w:ascii="Arial" w:hAnsi="Arial" w:cs="Arial"/>
                <w:sz w:val="22"/>
              </w:rPr>
              <w:t>“bundle”</w:t>
            </w:r>
          </w:p>
        </w:tc>
        <w:tc>
          <w:tcPr>
            <w:tcW w:w="3412" w:type="dxa"/>
            <w:vAlign w:val="center"/>
          </w:tcPr>
          <w:p w14:paraId="549160D3" w14:textId="77777777" w:rsidR="005B6A90" w:rsidRPr="006F33AE" w:rsidRDefault="005B6A90" w:rsidP="007E240A">
            <w:pPr>
              <w:suppressLineNumbers/>
              <w:jc w:val="center"/>
              <w:cnfStyle w:val="100000000000" w:firstRow="1" w:lastRow="0" w:firstColumn="0" w:lastColumn="0" w:oddVBand="0" w:evenVBand="0" w:oddHBand="0" w:evenHBand="0" w:firstRowFirstColumn="0" w:firstRowLastColumn="0" w:lastRowFirstColumn="0" w:lastRowLastColumn="0"/>
              <w:rPr>
                <w:rFonts w:ascii="Arial" w:hAnsi="Arial" w:cs="Arial"/>
                <w:sz w:val="22"/>
              </w:rPr>
            </w:pPr>
            <w:r w:rsidRPr="006F33AE">
              <w:rPr>
                <w:rFonts w:ascii="Arial" w:hAnsi="Arial" w:cs="Arial"/>
                <w:sz w:val="22"/>
              </w:rPr>
              <w:t>Días Elegible</w:t>
            </w:r>
          </w:p>
        </w:tc>
        <w:tc>
          <w:tcPr>
            <w:tcW w:w="4490" w:type="dxa"/>
            <w:vAlign w:val="center"/>
          </w:tcPr>
          <w:p w14:paraId="683C502C" w14:textId="77777777" w:rsidR="005B6A90" w:rsidRPr="006F33AE" w:rsidRDefault="005B6A90" w:rsidP="007E240A">
            <w:pPr>
              <w:suppressLineNumbers/>
              <w:jc w:val="center"/>
              <w:cnfStyle w:val="100000000000" w:firstRow="1" w:lastRow="0" w:firstColumn="0" w:lastColumn="0" w:oddVBand="0" w:evenVBand="0" w:oddHBand="0" w:evenHBand="0" w:firstRowFirstColumn="0" w:firstRowLastColumn="0" w:lastRowFirstColumn="0" w:lastRowLastColumn="0"/>
              <w:rPr>
                <w:rFonts w:ascii="Arial" w:hAnsi="Arial" w:cs="Arial"/>
                <w:sz w:val="22"/>
              </w:rPr>
            </w:pPr>
            <w:r w:rsidRPr="006F33AE">
              <w:rPr>
                <w:rFonts w:ascii="Arial" w:hAnsi="Arial" w:cs="Arial"/>
                <w:sz w:val="22"/>
              </w:rPr>
              <w:t>Cumplimiento cada 24 hrs, donde se documentó que el paciente recibió:</w:t>
            </w:r>
          </w:p>
        </w:tc>
      </w:tr>
      <w:tr w:rsidR="005B6A90" w:rsidRPr="006F33AE" w14:paraId="4A103AF8" w14:textId="77777777" w:rsidTr="007E24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70" w:type="dxa"/>
            <w:vAlign w:val="center"/>
          </w:tcPr>
          <w:p w14:paraId="660523F0" w14:textId="77777777" w:rsidR="005B6A90" w:rsidRPr="006F33AE" w:rsidRDefault="005B6A90" w:rsidP="007E240A">
            <w:pPr>
              <w:suppressLineNumbers/>
              <w:jc w:val="center"/>
              <w:rPr>
                <w:rFonts w:ascii="Arial" w:hAnsi="Arial" w:cs="Arial"/>
                <w:sz w:val="22"/>
              </w:rPr>
            </w:pPr>
            <w:r w:rsidRPr="006F33AE">
              <w:rPr>
                <w:rFonts w:ascii="Arial" w:hAnsi="Arial" w:cs="Arial"/>
                <w:sz w:val="22"/>
              </w:rPr>
              <w:t>A</w:t>
            </w:r>
          </w:p>
        </w:tc>
        <w:tc>
          <w:tcPr>
            <w:tcW w:w="3412" w:type="dxa"/>
            <w:vAlign w:val="center"/>
          </w:tcPr>
          <w:p w14:paraId="6E409FB4" w14:textId="77777777" w:rsidR="005B6A90" w:rsidRPr="006F33AE" w:rsidRDefault="005B6A90" w:rsidP="007E240A">
            <w:pPr>
              <w:suppressLineNumbers/>
              <w:jc w:val="center"/>
              <w:cnfStyle w:val="000000100000" w:firstRow="0" w:lastRow="0" w:firstColumn="0" w:lastColumn="0" w:oddVBand="0" w:evenVBand="0" w:oddHBand="1" w:evenHBand="0" w:firstRowFirstColumn="0" w:firstRowLastColumn="0" w:lastRowFirstColumn="0" w:lastRowLastColumn="0"/>
              <w:rPr>
                <w:rFonts w:ascii="Arial" w:hAnsi="Arial" w:cs="Arial"/>
                <w:sz w:val="22"/>
              </w:rPr>
            </w:pPr>
            <w:r w:rsidRPr="006F33AE">
              <w:rPr>
                <w:rFonts w:ascii="Arial" w:hAnsi="Arial" w:cs="Arial"/>
                <w:sz w:val="22"/>
              </w:rPr>
              <w:t>Todos los días</w:t>
            </w:r>
          </w:p>
        </w:tc>
        <w:tc>
          <w:tcPr>
            <w:tcW w:w="4490" w:type="dxa"/>
          </w:tcPr>
          <w:p w14:paraId="403B9D59" w14:textId="77777777" w:rsidR="005B6A90" w:rsidRPr="006F33AE" w:rsidRDefault="005B6A90" w:rsidP="007E240A">
            <w:pPr>
              <w:suppressLineNumbers/>
              <w:cnfStyle w:val="000000100000" w:firstRow="0" w:lastRow="0" w:firstColumn="0" w:lastColumn="0" w:oddVBand="0" w:evenVBand="0" w:oddHBand="1" w:evenHBand="0" w:firstRowFirstColumn="0" w:firstRowLastColumn="0" w:lastRowFirstColumn="0" w:lastRowLastColumn="0"/>
              <w:rPr>
                <w:rFonts w:ascii="Arial" w:hAnsi="Arial" w:cs="Arial"/>
                <w:sz w:val="22"/>
              </w:rPr>
            </w:pPr>
            <w:r w:rsidRPr="006F33AE">
              <w:rPr>
                <w:rFonts w:ascii="Arial" w:hAnsi="Arial" w:cs="Arial"/>
                <w:sz w:val="22"/>
              </w:rPr>
              <w:t xml:space="preserve">&gt; 6 evaluaciones del dolor utilizando un instrumento válido y confiable (es decir, escala visual análoga, escala numérica análoga, </w:t>
            </w:r>
            <w:r w:rsidRPr="006F33AE">
              <w:rPr>
                <w:rFonts w:ascii="Arial" w:hAnsi="Arial" w:cs="Arial"/>
                <w:i/>
                <w:iCs/>
                <w:sz w:val="22"/>
              </w:rPr>
              <w:t>“Behavioral Pain Scale”</w:t>
            </w:r>
            <w:r w:rsidRPr="006F33AE">
              <w:rPr>
                <w:rFonts w:ascii="Arial" w:hAnsi="Arial" w:cs="Arial"/>
                <w:sz w:val="22"/>
              </w:rPr>
              <w:t xml:space="preserve"> y </w:t>
            </w:r>
            <w:r w:rsidRPr="006F33AE">
              <w:rPr>
                <w:rFonts w:ascii="Arial" w:hAnsi="Arial" w:cs="Arial"/>
                <w:i/>
                <w:iCs/>
                <w:sz w:val="22"/>
              </w:rPr>
              <w:t>“Critical Care Observation Tool”</w:t>
            </w:r>
            <w:r w:rsidRPr="006F33AE">
              <w:rPr>
                <w:rFonts w:ascii="Arial" w:hAnsi="Arial" w:cs="Arial"/>
                <w:sz w:val="22"/>
              </w:rPr>
              <w:t xml:space="preserve"> u otra)</w:t>
            </w:r>
          </w:p>
        </w:tc>
      </w:tr>
      <w:tr w:rsidR="005B6A90" w:rsidRPr="006F33AE" w14:paraId="192AC059" w14:textId="77777777" w:rsidTr="007E240A">
        <w:tc>
          <w:tcPr>
            <w:cnfStyle w:val="001000000000" w:firstRow="0" w:lastRow="0" w:firstColumn="1" w:lastColumn="0" w:oddVBand="0" w:evenVBand="0" w:oddHBand="0" w:evenHBand="0" w:firstRowFirstColumn="0" w:firstRowLastColumn="0" w:lastRowFirstColumn="0" w:lastRowLastColumn="0"/>
            <w:tcW w:w="1170" w:type="dxa"/>
            <w:vAlign w:val="center"/>
          </w:tcPr>
          <w:p w14:paraId="6BB31B8D" w14:textId="77777777" w:rsidR="005B6A90" w:rsidRPr="006F33AE" w:rsidRDefault="005B6A90" w:rsidP="007E240A">
            <w:pPr>
              <w:suppressLineNumbers/>
              <w:jc w:val="center"/>
              <w:rPr>
                <w:rFonts w:ascii="Arial" w:hAnsi="Arial" w:cs="Arial"/>
                <w:sz w:val="22"/>
              </w:rPr>
            </w:pPr>
            <w:r w:rsidRPr="006F33AE">
              <w:rPr>
                <w:rFonts w:ascii="Arial" w:hAnsi="Arial" w:cs="Arial"/>
                <w:sz w:val="22"/>
              </w:rPr>
              <w:t>B1</w:t>
            </w:r>
          </w:p>
        </w:tc>
        <w:tc>
          <w:tcPr>
            <w:tcW w:w="3412" w:type="dxa"/>
            <w:vAlign w:val="center"/>
          </w:tcPr>
          <w:p w14:paraId="5134D9CC" w14:textId="77777777" w:rsidR="005B6A90" w:rsidRPr="006F33AE" w:rsidRDefault="005B6A90" w:rsidP="007E240A">
            <w:pPr>
              <w:suppressLineNumbers/>
              <w:cnfStyle w:val="000000000000" w:firstRow="0" w:lastRow="0" w:firstColumn="0" w:lastColumn="0" w:oddVBand="0" w:evenVBand="0" w:oddHBand="0" w:evenHBand="0" w:firstRowFirstColumn="0" w:firstRowLastColumn="0" w:lastRowFirstColumn="0" w:lastRowLastColumn="0"/>
              <w:rPr>
                <w:rFonts w:ascii="Arial" w:hAnsi="Arial" w:cs="Arial"/>
                <w:sz w:val="22"/>
              </w:rPr>
            </w:pPr>
            <w:r w:rsidRPr="006F33AE">
              <w:rPr>
                <w:rFonts w:ascii="Arial" w:hAnsi="Arial" w:cs="Arial"/>
                <w:sz w:val="22"/>
              </w:rPr>
              <w:t>Sólo días cuando el paciente recibió de forma continua o intermitente algún medicamento sedante</w:t>
            </w:r>
          </w:p>
        </w:tc>
        <w:tc>
          <w:tcPr>
            <w:tcW w:w="4490" w:type="dxa"/>
          </w:tcPr>
          <w:p w14:paraId="73943E66" w14:textId="77777777" w:rsidR="005B6A90" w:rsidRPr="006F33AE" w:rsidRDefault="005B6A90" w:rsidP="007E240A">
            <w:pPr>
              <w:suppressLineNumbers/>
              <w:cnfStyle w:val="000000000000" w:firstRow="0" w:lastRow="0" w:firstColumn="0" w:lastColumn="0" w:oddVBand="0" w:evenVBand="0" w:oddHBand="0" w:evenHBand="0" w:firstRowFirstColumn="0" w:firstRowLastColumn="0" w:lastRowFirstColumn="0" w:lastRowLastColumn="0"/>
              <w:rPr>
                <w:rFonts w:ascii="Arial" w:hAnsi="Arial" w:cs="Arial"/>
                <w:sz w:val="22"/>
              </w:rPr>
            </w:pPr>
            <w:r w:rsidRPr="006F33AE">
              <w:rPr>
                <w:rFonts w:ascii="Arial" w:hAnsi="Arial" w:cs="Arial"/>
                <w:sz w:val="22"/>
              </w:rPr>
              <w:t>Una prueba de interrupción de la sedación (PIS), si recibe infusiones sedantes continuas o intermitentes</w:t>
            </w:r>
          </w:p>
        </w:tc>
      </w:tr>
      <w:tr w:rsidR="005B6A90" w:rsidRPr="006F33AE" w14:paraId="77E3A726" w14:textId="77777777" w:rsidTr="007E24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70" w:type="dxa"/>
            <w:vAlign w:val="center"/>
          </w:tcPr>
          <w:p w14:paraId="1821E263" w14:textId="77777777" w:rsidR="005B6A90" w:rsidRPr="006F33AE" w:rsidRDefault="005B6A90" w:rsidP="007E240A">
            <w:pPr>
              <w:suppressLineNumbers/>
              <w:jc w:val="center"/>
              <w:rPr>
                <w:rFonts w:ascii="Arial" w:hAnsi="Arial" w:cs="Arial"/>
                <w:sz w:val="22"/>
              </w:rPr>
            </w:pPr>
            <w:r w:rsidRPr="006F33AE">
              <w:rPr>
                <w:rFonts w:ascii="Arial" w:hAnsi="Arial" w:cs="Arial"/>
                <w:sz w:val="22"/>
              </w:rPr>
              <w:t>B2</w:t>
            </w:r>
          </w:p>
        </w:tc>
        <w:tc>
          <w:tcPr>
            <w:tcW w:w="3412" w:type="dxa"/>
            <w:vAlign w:val="center"/>
          </w:tcPr>
          <w:p w14:paraId="66F6B173" w14:textId="77777777" w:rsidR="005B6A90" w:rsidRPr="006F33AE" w:rsidRDefault="005B6A90" w:rsidP="007E240A">
            <w:pPr>
              <w:suppressLineNumbers/>
              <w:cnfStyle w:val="000000100000" w:firstRow="0" w:lastRow="0" w:firstColumn="0" w:lastColumn="0" w:oddVBand="0" w:evenVBand="0" w:oddHBand="1" w:evenHBand="0" w:firstRowFirstColumn="0" w:firstRowLastColumn="0" w:lastRowFirstColumn="0" w:lastRowLastColumn="0"/>
              <w:rPr>
                <w:rFonts w:ascii="Arial" w:hAnsi="Arial" w:cs="Arial"/>
                <w:sz w:val="22"/>
              </w:rPr>
            </w:pPr>
            <w:r w:rsidRPr="006F33AE">
              <w:rPr>
                <w:rFonts w:ascii="Arial" w:hAnsi="Arial" w:cs="Arial"/>
                <w:sz w:val="22"/>
              </w:rPr>
              <w:t>Sólo días cuando el paciente esté con ventilación mecánica invasiva</w:t>
            </w:r>
          </w:p>
        </w:tc>
        <w:tc>
          <w:tcPr>
            <w:tcW w:w="4490" w:type="dxa"/>
          </w:tcPr>
          <w:p w14:paraId="21027F8A" w14:textId="77777777" w:rsidR="005B6A90" w:rsidRPr="006F33AE" w:rsidRDefault="005B6A90" w:rsidP="007E240A">
            <w:pPr>
              <w:suppressLineNumbers/>
              <w:cnfStyle w:val="000000100000" w:firstRow="0" w:lastRow="0" w:firstColumn="0" w:lastColumn="0" w:oddVBand="0" w:evenVBand="0" w:oddHBand="1" w:evenHBand="0" w:firstRowFirstColumn="0" w:firstRowLastColumn="0" w:lastRowFirstColumn="0" w:lastRowLastColumn="0"/>
              <w:rPr>
                <w:rFonts w:ascii="Arial" w:hAnsi="Arial" w:cs="Arial"/>
                <w:sz w:val="22"/>
              </w:rPr>
            </w:pPr>
            <w:r w:rsidRPr="006F33AE">
              <w:rPr>
                <w:rFonts w:ascii="Arial" w:hAnsi="Arial" w:cs="Arial"/>
                <w:sz w:val="22"/>
              </w:rPr>
              <w:t>Una prueba de ventilación espontánea (PVE) si recibe ventilación mecánica invasiva.</w:t>
            </w:r>
          </w:p>
        </w:tc>
      </w:tr>
      <w:tr w:rsidR="005B6A90" w:rsidRPr="006F33AE" w14:paraId="6ADB74ED" w14:textId="77777777" w:rsidTr="007E240A">
        <w:tc>
          <w:tcPr>
            <w:cnfStyle w:val="001000000000" w:firstRow="0" w:lastRow="0" w:firstColumn="1" w:lastColumn="0" w:oddVBand="0" w:evenVBand="0" w:oddHBand="0" w:evenHBand="0" w:firstRowFirstColumn="0" w:firstRowLastColumn="0" w:lastRowFirstColumn="0" w:lastRowLastColumn="0"/>
            <w:tcW w:w="1170" w:type="dxa"/>
            <w:vAlign w:val="center"/>
          </w:tcPr>
          <w:p w14:paraId="73904AB9" w14:textId="77777777" w:rsidR="005B6A90" w:rsidRPr="006F33AE" w:rsidRDefault="005B6A90" w:rsidP="007E240A">
            <w:pPr>
              <w:suppressLineNumbers/>
              <w:jc w:val="center"/>
              <w:rPr>
                <w:rFonts w:ascii="Arial" w:hAnsi="Arial" w:cs="Arial"/>
                <w:sz w:val="22"/>
              </w:rPr>
            </w:pPr>
            <w:r w:rsidRPr="006F33AE">
              <w:rPr>
                <w:rFonts w:ascii="Arial" w:hAnsi="Arial" w:cs="Arial"/>
                <w:sz w:val="22"/>
              </w:rPr>
              <w:t>C</w:t>
            </w:r>
          </w:p>
        </w:tc>
        <w:tc>
          <w:tcPr>
            <w:tcW w:w="3412" w:type="dxa"/>
            <w:vAlign w:val="center"/>
          </w:tcPr>
          <w:p w14:paraId="018F8708" w14:textId="77777777" w:rsidR="005B6A90" w:rsidRPr="006F33AE" w:rsidRDefault="005B6A90" w:rsidP="007E240A">
            <w:pPr>
              <w:suppressLineNumbers/>
              <w:jc w:val="center"/>
              <w:cnfStyle w:val="000000000000" w:firstRow="0" w:lastRow="0" w:firstColumn="0" w:lastColumn="0" w:oddVBand="0" w:evenVBand="0" w:oddHBand="0" w:evenHBand="0" w:firstRowFirstColumn="0" w:firstRowLastColumn="0" w:lastRowFirstColumn="0" w:lastRowLastColumn="0"/>
              <w:rPr>
                <w:rFonts w:ascii="Arial" w:hAnsi="Arial" w:cs="Arial"/>
                <w:b/>
                <w:sz w:val="22"/>
              </w:rPr>
            </w:pPr>
            <w:r w:rsidRPr="006F33AE">
              <w:rPr>
                <w:rFonts w:ascii="Arial" w:hAnsi="Arial" w:cs="Arial"/>
                <w:sz w:val="22"/>
              </w:rPr>
              <w:t>Todos los días</w:t>
            </w:r>
          </w:p>
        </w:tc>
        <w:tc>
          <w:tcPr>
            <w:tcW w:w="4490" w:type="dxa"/>
          </w:tcPr>
          <w:p w14:paraId="7A3C0011" w14:textId="77777777" w:rsidR="005B6A90" w:rsidRPr="006F33AE" w:rsidRDefault="005B6A90" w:rsidP="007E240A">
            <w:pPr>
              <w:suppressLineNumbers/>
              <w:cnfStyle w:val="000000000000" w:firstRow="0" w:lastRow="0" w:firstColumn="0" w:lastColumn="0" w:oddVBand="0" w:evenVBand="0" w:oddHBand="0" w:evenHBand="0" w:firstRowFirstColumn="0" w:firstRowLastColumn="0" w:lastRowFirstColumn="0" w:lastRowLastColumn="0"/>
              <w:rPr>
                <w:rFonts w:ascii="Arial" w:hAnsi="Arial" w:cs="Arial"/>
                <w:b/>
                <w:sz w:val="22"/>
              </w:rPr>
            </w:pPr>
            <w:r w:rsidRPr="006F33AE">
              <w:rPr>
                <w:rFonts w:ascii="Arial" w:hAnsi="Arial" w:cs="Arial"/>
                <w:sz w:val="22"/>
              </w:rPr>
              <w:t>&gt; 6 evaluaciones de agitación-sedación</w:t>
            </w:r>
            <w:r w:rsidRPr="006F33AE">
              <w:rPr>
                <w:rFonts w:ascii="Arial" w:hAnsi="Arial" w:cs="Arial"/>
                <w:b/>
                <w:sz w:val="22"/>
              </w:rPr>
              <w:t xml:space="preserve"> </w:t>
            </w:r>
            <w:r w:rsidRPr="006F33AE">
              <w:rPr>
                <w:rFonts w:ascii="Arial" w:hAnsi="Arial" w:cs="Arial"/>
                <w:sz w:val="22"/>
              </w:rPr>
              <w:t xml:space="preserve">utilizando un instrumento válido y confiable (es decir, </w:t>
            </w:r>
            <w:r w:rsidRPr="006F33AE">
              <w:rPr>
                <w:rFonts w:ascii="Arial" w:hAnsi="Arial" w:cs="Arial"/>
                <w:i/>
                <w:iCs/>
                <w:sz w:val="22"/>
              </w:rPr>
              <w:t>“Richmond Agitation Sedation Scale”</w:t>
            </w:r>
            <w:r w:rsidRPr="006F33AE">
              <w:rPr>
                <w:rFonts w:ascii="Arial" w:hAnsi="Arial" w:cs="Arial"/>
                <w:sz w:val="22"/>
              </w:rPr>
              <w:t>, “</w:t>
            </w:r>
            <w:r w:rsidRPr="006F33AE">
              <w:rPr>
                <w:rFonts w:ascii="Arial" w:hAnsi="Arial" w:cs="Arial"/>
                <w:i/>
                <w:iCs/>
                <w:sz w:val="22"/>
              </w:rPr>
              <w:t>Sedation Agitation Scale”</w:t>
            </w:r>
            <w:r w:rsidRPr="006F33AE">
              <w:rPr>
                <w:rFonts w:ascii="Arial" w:hAnsi="Arial" w:cs="Arial"/>
                <w:sz w:val="22"/>
              </w:rPr>
              <w:t xml:space="preserve"> u otra)</w:t>
            </w:r>
          </w:p>
        </w:tc>
      </w:tr>
      <w:tr w:rsidR="005B6A90" w:rsidRPr="006F33AE" w14:paraId="573455E5" w14:textId="77777777" w:rsidTr="007E24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70" w:type="dxa"/>
            <w:vAlign w:val="center"/>
          </w:tcPr>
          <w:p w14:paraId="00218AEF" w14:textId="77777777" w:rsidR="005B6A90" w:rsidRPr="006F33AE" w:rsidRDefault="005B6A90" w:rsidP="007E240A">
            <w:pPr>
              <w:suppressLineNumbers/>
              <w:jc w:val="center"/>
              <w:rPr>
                <w:rFonts w:ascii="Arial" w:hAnsi="Arial" w:cs="Arial"/>
                <w:sz w:val="22"/>
              </w:rPr>
            </w:pPr>
            <w:r w:rsidRPr="006F33AE">
              <w:rPr>
                <w:rFonts w:ascii="Arial" w:hAnsi="Arial" w:cs="Arial"/>
                <w:sz w:val="22"/>
              </w:rPr>
              <w:t>D</w:t>
            </w:r>
          </w:p>
        </w:tc>
        <w:tc>
          <w:tcPr>
            <w:tcW w:w="3412" w:type="dxa"/>
            <w:vAlign w:val="center"/>
          </w:tcPr>
          <w:p w14:paraId="21DB966B" w14:textId="77777777" w:rsidR="005B6A90" w:rsidRPr="006F33AE" w:rsidRDefault="005B6A90" w:rsidP="007E240A">
            <w:pPr>
              <w:suppressLineNumbers/>
              <w:jc w:val="center"/>
              <w:cnfStyle w:val="000000100000" w:firstRow="0" w:lastRow="0" w:firstColumn="0" w:lastColumn="0" w:oddVBand="0" w:evenVBand="0" w:oddHBand="1" w:evenHBand="0" w:firstRowFirstColumn="0" w:firstRowLastColumn="0" w:lastRowFirstColumn="0" w:lastRowLastColumn="0"/>
              <w:rPr>
                <w:rFonts w:ascii="Arial" w:hAnsi="Arial" w:cs="Arial"/>
                <w:b/>
                <w:sz w:val="22"/>
              </w:rPr>
            </w:pPr>
            <w:r w:rsidRPr="006F33AE">
              <w:rPr>
                <w:rFonts w:ascii="Arial" w:hAnsi="Arial" w:cs="Arial"/>
                <w:sz w:val="22"/>
              </w:rPr>
              <w:t>Todos los días</w:t>
            </w:r>
          </w:p>
        </w:tc>
        <w:tc>
          <w:tcPr>
            <w:tcW w:w="4490" w:type="dxa"/>
          </w:tcPr>
          <w:p w14:paraId="00264511" w14:textId="77777777" w:rsidR="005B6A90" w:rsidRPr="006F33AE" w:rsidRDefault="005B6A90" w:rsidP="007E240A">
            <w:pPr>
              <w:suppressLineNumbers/>
              <w:cnfStyle w:val="000000100000" w:firstRow="0" w:lastRow="0" w:firstColumn="0" w:lastColumn="0" w:oddVBand="0" w:evenVBand="0" w:oddHBand="1" w:evenHBand="0" w:firstRowFirstColumn="0" w:firstRowLastColumn="0" w:lastRowFirstColumn="0" w:lastRowLastColumn="0"/>
              <w:rPr>
                <w:rFonts w:ascii="Arial" w:hAnsi="Arial" w:cs="Arial"/>
                <w:sz w:val="22"/>
              </w:rPr>
            </w:pPr>
            <w:r w:rsidRPr="006F33AE">
              <w:rPr>
                <w:rFonts w:ascii="Arial" w:hAnsi="Arial" w:cs="Arial"/>
                <w:sz w:val="22"/>
              </w:rPr>
              <w:t xml:space="preserve">&gt; 2 evaluaciones del delirio utilizando un instrumento válido y confiable (es decir, </w:t>
            </w:r>
            <w:r w:rsidRPr="006F33AE">
              <w:rPr>
                <w:rFonts w:ascii="Arial" w:hAnsi="Arial" w:cs="Arial"/>
                <w:i/>
                <w:iCs/>
                <w:sz w:val="22"/>
              </w:rPr>
              <w:t>“Confusion Assessment Method for the ICU”</w:t>
            </w:r>
            <w:r w:rsidRPr="006F33AE">
              <w:rPr>
                <w:rFonts w:ascii="Arial" w:hAnsi="Arial" w:cs="Arial"/>
                <w:sz w:val="22"/>
              </w:rPr>
              <w:t>, “</w:t>
            </w:r>
            <w:r w:rsidRPr="006F33AE">
              <w:rPr>
                <w:rFonts w:ascii="Arial" w:hAnsi="Arial" w:cs="Arial"/>
                <w:i/>
                <w:iCs/>
                <w:sz w:val="22"/>
              </w:rPr>
              <w:t>Intensive Care Delirium Screening Checklist</w:t>
            </w:r>
            <w:r w:rsidRPr="006F33AE">
              <w:rPr>
                <w:rFonts w:ascii="Arial" w:hAnsi="Arial" w:cs="Arial"/>
                <w:sz w:val="22"/>
              </w:rPr>
              <w:t>” u otra)</w:t>
            </w:r>
          </w:p>
        </w:tc>
      </w:tr>
      <w:tr w:rsidR="005B6A90" w:rsidRPr="006F33AE" w14:paraId="73A7A6DF" w14:textId="77777777" w:rsidTr="007E240A">
        <w:tc>
          <w:tcPr>
            <w:cnfStyle w:val="001000000000" w:firstRow="0" w:lastRow="0" w:firstColumn="1" w:lastColumn="0" w:oddVBand="0" w:evenVBand="0" w:oddHBand="0" w:evenHBand="0" w:firstRowFirstColumn="0" w:firstRowLastColumn="0" w:lastRowFirstColumn="0" w:lastRowLastColumn="0"/>
            <w:tcW w:w="1170" w:type="dxa"/>
            <w:vAlign w:val="center"/>
          </w:tcPr>
          <w:p w14:paraId="0DD01F4B" w14:textId="77777777" w:rsidR="005B6A90" w:rsidRPr="006F33AE" w:rsidRDefault="005B6A90" w:rsidP="007E240A">
            <w:pPr>
              <w:suppressLineNumbers/>
              <w:jc w:val="center"/>
              <w:rPr>
                <w:rFonts w:ascii="Arial" w:hAnsi="Arial" w:cs="Arial"/>
                <w:sz w:val="22"/>
              </w:rPr>
            </w:pPr>
            <w:r w:rsidRPr="006F33AE">
              <w:rPr>
                <w:rFonts w:ascii="Arial" w:hAnsi="Arial" w:cs="Arial"/>
                <w:sz w:val="22"/>
              </w:rPr>
              <w:t>E</w:t>
            </w:r>
          </w:p>
        </w:tc>
        <w:tc>
          <w:tcPr>
            <w:tcW w:w="3412" w:type="dxa"/>
            <w:vAlign w:val="center"/>
          </w:tcPr>
          <w:p w14:paraId="044D2DBB" w14:textId="77777777" w:rsidR="005B6A90" w:rsidRPr="006F33AE" w:rsidRDefault="005B6A90" w:rsidP="007E240A">
            <w:pPr>
              <w:suppressLineNumbers/>
              <w:cnfStyle w:val="000000000000" w:firstRow="0" w:lastRow="0" w:firstColumn="0" w:lastColumn="0" w:oddVBand="0" w:evenVBand="0" w:oddHBand="0" w:evenHBand="0" w:firstRowFirstColumn="0" w:firstRowLastColumn="0" w:lastRowFirstColumn="0" w:lastRowLastColumn="0"/>
              <w:rPr>
                <w:rFonts w:ascii="Arial" w:hAnsi="Arial" w:cs="Arial"/>
                <w:sz w:val="22"/>
              </w:rPr>
            </w:pPr>
            <w:r w:rsidRPr="006F33AE">
              <w:rPr>
                <w:rFonts w:ascii="Arial" w:hAnsi="Arial" w:cs="Arial"/>
                <w:sz w:val="22"/>
              </w:rPr>
              <w:t>Sólo los días que presentó la indicación médica de realizar kinesiterapia en la ficha</w:t>
            </w:r>
          </w:p>
        </w:tc>
        <w:tc>
          <w:tcPr>
            <w:tcW w:w="4490" w:type="dxa"/>
          </w:tcPr>
          <w:p w14:paraId="1FE01C3A" w14:textId="77777777" w:rsidR="005B6A90" w:rsidRPr="006F33AE" w:rsidRDefault="005B6A90" w:rsidP="007E240A">
            <w:pPr>
              <w:suppressLineNumbers/>
              <w:cnfStyle w:val="000000000000" w:firstRow="0" w:lastRow="0" w:firstColumn="0" w:lastColumn="0" w:oddVBand="0" w:evenVBand="0" w:oddHBand="0" w:evenHBand="0" w:firstRowFirstColumn="0" w:firstRowLastColumn="0" w:lastRowFirstColumn="0" w:lastRowLastColumn="0"/>
              <w:rPr>
                <w:rFonts w:ascii="Arial" w:hAnsi="Arial" w:cs="Arial"/>
                <w:sz w:val="22"/>
              </w:rPr>
            </w:pPr>
            <w:r w:rsidRPr="006F33AE">
              <w:rPr>
                <w:rFonts w:ascii="Arial" w:hAnsi="Arial" w:cs="Arial"/>
                <w:sz w:val="22"/>
              </w:rPr>
              <w:t xml:space="preserve">Modalidades de terapia física (es decir, movilidad pasiva en cama, movilidad activa en cama, sedente al borde cama, bípedo al borde cama, marcha, transferencia a un sillón, </w:t>
            </w:r>
            <w:r w:rsidRPr="006F33AE">
              <w:rPr>
                <w:rFonts w:ascii="Arial" w:hAnsi="Arial" w:cs="Arial"/>
                <w:i/>
                <w:iCs/>
                <w:sz w:val="22"/>
              </w:rPr>
              <w:t>“tilt table</w:t>
            </w:r>
            <w:r w:rsidRPr="006F33AE">
              <w:rPr>
                <w:rFonts w:ascii="Arial" w:hAnsi="Arial" w:cs="Arial"/>
                <w:sz w:val="22"/>
              </w:rPr>
              <w:t>” o electroestimulación)</w:t>
            </w:r>
          </w:p>
        </w:tc>
      </w:tr>
      <w:tr w:rsidR="005B6A90" w:rsidRPr="006F33AE" w14:paraId="26046FF6" w14:textId="77777777" w:rsidTr="007E24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70" w:type="dxa"/>
            <w:vAlign w:val="center"/>
          </w:tcPr>
          <w:p w14:paraId="01B9B5FF" w14:textId="77777777" w:rsidR="005B6A90" w:rsidRPr="006F33AE" w:rsidRDefault="005B6A90" w:rsidP="007E240A">
            <w:pPr>
              <w:suppressLineNumbers/>
              <w:jc w:val="center"/>
              <w:rPr>
                <w:rFonts w:ascii="Arial" w:hAnsi="Arial" w:cs="Arial"/>
                <w:sz w:val="22"/>
              </w:rPr>
            </w:pPr>
            <w:r w:rsidRPr="006F33AE">
              <w:rPr>
                <w:rFonts w:ascii="Arial" w:hAnsi="Arial" w:cs="Arial"/>
                <w:sz w:val="22"/>
              </w:rPr>
              <w:t>F</w:t>
            </w:r>
          </w:p>
        </w:tc>
        <w:tc>
          <w:tcPr>
            <w:tcW w:w="3412" w:type="dxa"/>
            <w:vAlign w:val="center"/>
          </w:tcPr>
          <w:p w14:paraId="4C87AA36" w14:textId="77777777" w:rsidR="005B6A90" w:rsidRPr="006F33AE" w:rsidRDefault="005B6A90" w:rsidP="007E240A">
            <w:pPr>
              <w:suppressLineNumbers/>
              <w:jc w:val="center"/>
              <w:cnfStyle w:val="000000100000" w:firstRow="0" w:lastRow="0" w:firstColumn="0" w:lastColumn="0" w:oddVBand="0" w:evenVBand="0" w:oddHBand="1" w:evenHBand="0" w:firstRowFirstColumn="0" w:firstRowLastColumn="0" w:lastRowFirstColumn="0" w:lastRowLastColumn="0"/>
              <w:rPr>
                <w:rFonts w:ascii="Arial" w:hAnsi="Arial" w:cs="Arial"/>
                <w:sz w:val="22"/>
              </w:rPr>
            </w:pPr>
            <w:r w:rsidRPr="006F33AE">
              <w:rPr>
                <w:rFonts w:ascii="Arial" w:hAnsi="Arial" w:cs="Arial"/>
                <w:sz w:val="22"/>
              </w:rPr>
              <w:t>Todos los días</w:t>
            </w:r>
          </w:p>
        </w:tc>
        <w:tc>
          <w:tcPr>
            <w:tcW w:w="4490" w:type="dxa"/>
          </w:tcPr>
          <w:p w14:paraId="0B99CAC4" w14:textId="5784A4CC" w:rsidR="005B6A90" w:rsidRPr="006F33AE" w:rsidRDefault="005B6A90" w:rsidP="007E240A">
            <w:pPr>
              <w:suppressLineNumbers/>
              <w:cnfStyle w:val="000000100000" w:firstRow="0" w:lastRow="0" w:firstColumn="0" w:lastColumn="0" w:oddVBand="0" w:evenVBand="0" w:oddHBand="1" w:evenHBand="0" w:firstRowFirstColumn="0" w:firstRowLastColumn="0" w:lastRowFirstColumn="0" w:lastRowLastColumn="0"/>
              <w:rPr>
                <w:rFonts w:ascii="Arial" w:hAnsi="Arial" w:cs="Arial"/>
                <w:sz w:val="22"/>
              </w:rPr>
            </w:pPr>
            <w:r w:rsidRPr="006F33AE">
              <w:rPr>
                <w:rFonts w:ascii="Arial" w:hAnsi="Arial" w:cs="Arial"/>
                <w:sz w:val="22"/>
              </w:rPr>
              <w:t xml:space="preserve">Y un miembro de la familia / cuidador fue educado en el ABCDEF </w:t>
            </w:r>
            <w:r w:rsidR="00AD58D7" w:rsidRPr="006F33AE">
              <w:rPr>
                <w:rFonts w:ascii="Arial" w:hAnsi="Arial" w:cs="Arial"/>
                <w:sz w:val="22"/>
              </w:rPr>
              <w:t>“bundle”</w:t>
            </w:r>
            <w:r w:rsidRPr="006F33AE">
              <w:rPr>
                <w:rFonts w:ascii="Arial" w:hAnsi="Arial" w:cs="Arial"/>
                <w:sz w:val="22"/>
              </w:rPr>
              <w:t xml:space="preserve"> y / o participó en al menos uno de los siguientes: rondas; conferencia; plan de cuidado; o atención relacionada con el </w:t>
            </w:r>
            <w:r w:rsidR="006F33AE" w:rsidRPr="006F33AE">
              <w:rPr>
                <w:rFonts w:ascii="Arial" w:hAnsi="Arial" w:cs="Arial"/>
                <w:sz w:val="22"/>
              </w:rPr>
              <w:t>“bundle”</w:t>
            </w:r>
            <w:r w:rsidRPr="006F33AE">
              <w:rPr>
                <w:rFonts w:ascii="Arial" w:hAnsi="Arial" w:cs="Arial"/>
                <w:sz w:val="22"/>
              </w:rPr>
              <w:t>.</w:t>
            </w:r>
          </w:p>
        </w:tc>
      </w:tr>
    </w:tbl>
    <w:p w14:paraId="1347F109" w14:textId="1B657C4E" w:rsidR="005B6A90" w:rsidRDefault="005B6A90" w:rsidP="005B6A90">
      <w:pPr>
        <w:suppressLineNumbers/>
        <w:rPr>
          <w:rFonts w:ascii="Arial" w:hAnsi="Arial" w:cs="Arial"/>
          <w:lang w:val="es-ES_tradnl"/>
        </w:rPr>
      </w:pPr>
      <w:r w:rsidRPr="006F33AE">
        <w:rPr>
          <w:rFonts w:ascii="Arial" w:hAnsi="Arial" w:cs="Arial"/>
        </w:rPr>
        <w:t>*Tabla adaptada del trabajo de Pun y cols (2019)</w:t>
      </w:r>
      <w:r w:rsidRPr="006F33AE">
        <w:rPr>
          <w:rFonts w:ascii="Arial" w:hAnsi="Arial" w:cs="Arial"/>
          <w:lang w:val="es-ES_tradnl"/>
        </w:rPr>
        <w:t xml:space="preserve"> </w:t>
      </w:r>
      <w:r w:rsidRPr="006F33AE">
        <w:rPr>
          <w:rFonts w:ascii="Arial" w:hAnsi="Arial" w:cs="Arial"/>
          <w:lang w:val="es-ES_tradnl"/>
        </w:rPr>
        <w:fldChar w:fldCharType="begin" w:fldLock="1"/>
      </w:r>
      <w:r w:rsidR="007E240A" w:rsidRPr="006F33AE">
        <w:rPr>
          <w:rFonts w:ascii="Arial" w:hAnsi="Arial" w:cs="Arial"/>
          <w:lang w:val="es-ES_tradnl"/>
        </w:rPr>
        <w:instrText>ADDIN CSL_CITATION {"citationItems":[{"id":"ITEM-1","itemData":{"DOI":"10.1111/wvn.12290","ISSN":"17416787","abstract":"Background: Patients admitted to intensive care units (ICUs) often experience pain, oversedation, prolonged mechanical ventilation, delirium, and weakness. These conditions are important in that they often lead to protracted physical, neurocognitive, and mental health sequelae now termed postintensive care syndrome. Changing current ICU practice will not only require the adoption of evidence-based interventions but the development of effective and reliable teams to support these new practices. Objectives: To build on the success of bundled care and bridge an ongoing evidence-practice gap, the Society of Critical Care Medicine (SCCM) recently launched the ICU Liberation ABCDEF Bundle Improvement Collaborative. The Collaborative aimed to foster the bedside application of the SCCM's Pain, Agitation, and Delirium Guidelines via the ABCDEF bundle. The purpose of this paper is to describe the history of the Collaborative, the evidence-based implementation strategies used to foster change and teamwork, and the performance and outcome metrics used to monitor progress. Methods: Collaborative participants were required to attend four in-person meetings, monthly colearning calls, database training sessions, an e-Community listserv, and select in-person site visits. Teams submitted patient-level data and completed pre- and postimplementation questionnaires focused on the assessment of teamwork and collaboration, work environment, and overall ICU care. Faculty shared the evidence used to derive each bundle element as well as team-based implementation strategies for improvement and sustainment. Results: Retention in the Collaborative was high, with 67 of 69 adult and eight of nine pediatric ICUs fully completing the program. Baseline and prospective data were collected on over 17,000 critically ill patients. A variety of evidence-based professional behavioral change interventions and novel implementation techniques were utilized and shared among Collaborative members. Linking Evidence to Action: Hospitals and health systems can use the Collaborative structure, strategies, and tools described in this paper to help successfully implement the ABCDEF bundle in their ICUs.","author":[{"dropping-particle":"","family":"Barnes-Daly","given":"Mary Ann","non-dropping-particle":"","parse-names":false,"suffix":""},{"dropping-particle":"","family":"Pun","given":"Brenda T.","non-dropping-particle":"","parse-names":false,"suffix":""},{"dropping-particle":"","family":"Harmon","given":"Lori A.","non-dropping-particle":"","parse-names":false,"suffix":""},{"dropping-particle":"","family":"Byrum","given":"Diane G.","non-dropping-particle":"","parse-names":false,"suffix":""},{"dropping-particle":"","family":"Kumar","given":"Vishakha K.","non-dropping-particle":"","parse-names":false,"suffix":""},{"dropping-particle":"","family":"Devlin","given":"John W.","non-dropping-particle":"","parse-names":false,"suffix":""},{"dropping-particle":"","family":"Stollings","given":"Joanna L.","non-dropping-particle":"","parse-names":false,"suffix":""},{"dropping-particle":"","family":"Puntillo","given":"Kathleen A.","non-dropping-particle":"","parse-names":false,"suffix":""},{"dropping-particle":"","family":"Engel","given":"Heidi J.","non-dropping-particle":"","parse-names":false,"suffix":""},{"dropping-particle":"","family":"Posa","given":"Patricia J.","non-dropping-particle":"","parse-names":false,"suffix":""},{"dropping-particle":"","family":"Barr","given":"Juliana","non-dropping-particle":"","parse-names":false,"suffix":""},{"dropping-particle":"","family":"Schweickert","given":"William D.","non-dropping-particle":"","parse-names":false,"suffix":""},{"dropping-particle":"","family":"Esbrook","given":"Cheryl L.","non-dropping-particle":"","parse-names":false,"suffix":""},{"dropping-particle":"","family":"Hargett","given":"Ken D.","non-dropping-particle":"","parse-names":false,"suffix":""},{"dropping-particle":"","family":"Carson","given":"Shannon S.","non-dropping-particle":"","parse-names":false,"suffix":""},{"dropping-particle":"","family":"Aldrich","given":"J. Matthew","non-dropping-particle":"","parse-names":false,"suffix":""},{"dropping-particle":"","family":"Ely","given":"E. Wesley","non-dropping-particle":"","parse-names":false,"suffix":""},{"dropping-particle":"","family":"Balas","given":"Michele C.","non-dropping-particle":"","parse-names":false,"suffix":""}],"container-title":"Worldviews on Evidence-Based Nursing","id":"ITEM-1","issue":"3","issued":{"date-parts":[["2018"]]},"page":"206-216","title":"Improving Health Care for Critically Ill Patients Using an Evidence-Based Collaborative Approach to ABCDEF Bundle Dissemination and Implementation","type":"article-journal","volume":"15"},"uris":["http://www.mendeley.com/documents/?uuid=7b71dfed-70a7-4f79-b94c-bf5ffdcbe1c6"]}],"mendeley":{"formattedCitation":"(10)","plainTextFormattedCitation":"(10)","previouslyFormattedCitation":"(3)"},"properties":{"noteIndex":0},"schema":"https://github.com/citation-style-language/schema/raw/master/csl-citation.json"}</w:instrText>
      </w:r>
      <w:r w:rsidRPr="006F33AE">
        <w:rPr>
          <w:rFonts w:ascii="Arial" w:hAnsi="Arial" w:cs="Arial"/>
          <w:lang w:val="es-ES_tradnl"/>
        </w:rPr>
        <w:fldChar w:fldCharType="separate"/>
      </w:r>
      <w:r w:rsidR="007E240A" w:rsidRPr="006F33AE">
        <w:rPr>
          <w:rFonts w:ascii="Arial" w:hAnsi="Arial" w:cs="Arial"/>
          <w:noProof/>
          <w:lang w:val="es-ES_tradnl"/>
        </w:rPr>
        <w:t>(10)</w:t>
      </w:r>
      <w:r w:rsidRPr="006F33AE">
        <w:rPr>
          <w:rFonts w:ascii="Arial" w:hAnsi="Arial" w:cs="Arial"/>
        </w:rPr>
        <w:fldChar w:fldCharType="end"/>
      </w:r>
      <w:r w:rsidRPr="006F33AE">
        <w:rPr>
          <w:rFonts w:ascii="Arial" w:hAnsi="Arial" w:cs="Arial"/>
          <w:lang w:val="es-ES_tradnl"/>
        </w:rPr>
        <w:t xml:space="preserve">. Al ser retrospectivo, en el ítem familia consideramos que todos los días eran elegibles. </w:t>
      </w:r>
    </w:p>
    <w:p w14:paraId="1F5E7DC0" w14:textId="070AF82F" w:rsidR="00E76A1D" w:rsidRDefault="00E76A1D" w:rsidP="005B6A90">
      <w:pPr>
        <w:suppressLineNumbers/>
        <w:rPr>
          <w:rFonts w:ascii="Arial" w:hAnsi="Arial" w:cs="Arial"/>
          <w:lang w:val="es-ES_tradnl"/>
        </w:rPr>
      </w:pPr>
    </w:p>
    <w:p w14:paraId="4ADFD6D9" w14:textId="08423062" w:rsidR="00E76A1D" w:rsidRDefault="00E76A1D" w:rsidP="005B6A90">
      <w:pPr>
        <w:suppressLineNumbers/>
        <w:rPr>
          <w:rFonts w:ascii="Arial" w:hAnsi="Arial" w:cs="Arial"/>
          <w:lang w:val="es-ES_tradnl"/>
        </w:rPr>
      </w:pPr>
    </w:p>
    <w:p w14:paraId="6E46C224" w14:textId="2B92D52B" w:rsidR="00E76A1D" w:rsidRDefault="00E76A1D" w:rsidP="005B6A90">
      <w:pPr>
        <w:suppressLineNumbers/>
        <w:rPr>
          <w:rFonts w:ascii="Arial" w:hAnsi="Arial" w:cs="Arial"/>
          <w:lang w:val="es-ES_tradnl"/>
        </w:rPr>
      </w:pPr>
    </w:p>
    <w:p w14:paraId="3B08904A" w14:textId="52942D2A" w:rsidR="00E76A1D" w:rsidRDefault="00E76A1D" w:rsidP="005B6A90">
      <w:pPr>
        <w:suppressLineNumbers/>
        <w:rPr>
          <w:rFonts w:ascii="Arial" w:hAnsi="Arial" w:cs="Arial"/>
          <w:lang w:val="es-ES_tradnl"/>
        </w:rPr>
      </w:pPr>
    </w:p>
    <w:p w14:paraId="19958CA3" w14:textId="1940FDAB" w:rsidR="00E76A1D" w:rsidRDefault="00E76A1D" w:rsidP="005B6A90">
      <w:pPr>
        <w:suppressLineNumbers/>
        <w:rPr>
          <w:rFonts w:ascii="Arial" w:hAnsi="Arial" w:cs="Arial"/>
          <w:lang w:val="es-ES_tradnl"/>
        </w:rPr>
      </w:pPr>
    </w:p>
    <w:p w14:paraId="6D50424A" w14:textId="68E1B9C8" w:rsidR="00E76A1D" w:rsidRDefault="00E76A1D" w:rsidP="005B6A90">
      <w:pPr>
        <w:suppressLineNumbers/>
        <w:rPr>
          <w:rFonts w:ascii="Arial" w:hAnsi="Arial" w:cs="Arial"/>
          <w:lang w:val="es-ES_tradnl"/>
        </w:rPr>
      </w:pPr>
      <w:r>
        <w:rPr>
          <w:rFonts w:ascii="Arial" w:hAnsi="Arial" w:cs="Arial"/>
          <w:lang w:val="es-ES_tradnl"/>
        </w:rPr>
        <w:t>AXEXO</w:t>
      </w:r>
      <w:r w:rsidR="00333958">
        <w:rPr>
          <w:rFonts w:ascii="Arial" w:hAnsi="Arial" w:cs="Arial"/>
          <w:lang w:val="es-ES_tradnl"/>
        </w:rPr>
        <w:t xml:space="preserve"> Resultado.</w:t>
      </w:r>
    </w:p>
    <w:p w14:paraId="36A111B0" w14:textId="5C305338" w:rsidR="00333958" w:rsidRDefault="00333958" w:rsidP="005B6A90">
      <w:pPr>
        <w:suppressLineNumbers/>
        <w:rPr>
          <w:rFonts w:ascii="Arial" w:hAnsi="Arial" w:cs="Arial"/>
          <w:lang w:val="es-ES_tradnl"/>
        </w:rPr>
      </w:pPr>
    </w:p>
    <w:p w14:paraId="44F573B8" w14:textId="3E8D1E36" w:rsidR="00333958" w:rsidRPr="006F33AE" w:rsidRDefault="00333958" w:rsidP="005B6A90">
      <w:pPr>
        <w:suppressLineNumbers/>
        <w:rPr>
          <w:rFonts w:ascii="Arial" w:hAnsi="Arial" w:cs="Arial"/>
          <w:lang w:val="es-ES_tradnl"/>
        </w:rPr>
      </w:pPr>
      <w:r w:rsidRPr="00333958">
        <w:rPr>
          <w:rFonts w:ascii="Arial" w:hAnsi="Arial" w:cs="Arial"/>
          <w:b/>
          <w:lang w:val="es-ES"/>
        </w:rPr>
        <w:t>Resultados encuesta administrativa realizada a los profesionales que se desempeñaron en la UCI quirúrgica adulto durante el período de reclutamiento. (n= 15; 8 enfermeros, 4 médicos y 3 kinesiólogos)</w:t>
      </w:r>
    </w:p>
    <w:p w14:paraId="33CAEC6F" w14:textId="2ED92A12" w:rsidR="006F4631" w:rsidRDefault="006F4631" w:rsidP="00D15F86">
      <w:pPr>
        <w:rPr>
          <w:rFonts w:ascii="Arial" w:hAnsi="Arial" w:cs="Arial"/>
          <w:lang w:val="es-ES_tradnl"/>
        </w:rPr>
      </w:pPr>
    </w:p>
    <w:p w14:paraId="2E4FD078" w14:textId="77777777" w:rsidR="00333958" w:rsidRPr="00333958" w:rsidRDefault="00333958" w:rsidP="00333958">
      <w:pPr>
        <w:pStyle w:val="Prrafodelista"/>
        <w:widowControl w:val="0"/>
        <w:numPr>
          <w:ilvl w:val="0"/>
          <w:numId w:val="5"/>
        </w:numPr>
        <w:spacing w:after="200" w:line="276" w:lineRule="auto"/>
        <w:jc w:val="both"/>
        <w:rPr>
          <w:rFonts w:ascii="Arial" w:hAnsi="Arial" w:cs="Arial"/>
          <w:sz w:val="20"/>
          <w:szCs w:val="20"/>
        </w:rPr>
      </w:pPr>
      <w:r w:rsidRPr="00333958">
        <w:rPr>
          <w:rFonts w:ascii="Arial" w:hAnsi="Arial" w:cs="Arial"/>
          <w:color w:val="202124"/>
          <w:spacing w:val="2"/>
          <w:sz w:val="20"/>
          <w:szCs w:val="20"/>
          <w:shd w:val="clear" w:color="auto" w:fill="FFFFFF"/>
        </w:rPr>
        <w:t xml:space="preserve">Seleccione el o los instrumentos que utiliza en la evaluación del dolor en el paciente crítico </w:t>
      </w:r>
      <w:r w:rsidRPr="00333958">
        <w:rPr>
          <w:rFonts w:ascii="Arial" w:hAnsi="Arial" w:cs="Arial"/>
          <w:b/>
          <w:color w:val="202124"/>
          <w:spacing w:val="2"/>
          <w:sz w:val="20"/>
          <w:szCs w:val="20"/>
          <w:shd w:val="clear" w:color="auto" w:fill="FFFFFF"/>
        </w:rPr>
        <w:t>COOPERADOR.</w:t>
      </w:r>
      <w:r w:rsidRPr="00333958">
        <w:rPr>
          <w:rFonts w:ascii="Arial" w:hAnsi="Arial" w:cs="Arial"/>
          <w:color w:val="202124"/>
          <w:spacing w:val="2"/>
          <w:sz w:val="20"/>
          <w:szCs w:val="20"/>
          <w:shd w:val="clear" w:color="auto" w:fill="FFFFFF"/>
        </w:rPr>
        <w:t xml:space="preserve"> Entienda paciente cooperador como aquel paciente que obedece al menos 3 ordenes simples (por ejemplo: Abre los ojos, mírame, saca la lengua)</w:t>
      </w:r>
    </w:p>
    <w:p w14:paraId="46FD46B6" w14:textId="77777777" w:rsidR="00333958" w:rsidRDefault="00333958" w:rsidP="00333958">
      <w:pPr>
        <w:tabs>
          <w:tab w:val="left" w:pos="1015"/>
        </w:tabs>
        <w:spacing w:line="360" w:lineRule="auto"/>
        <w:rPr>
          <w:b/>
          <w:sz w:val="20"/>
          <w:szCs w:val="20"/>
          <w:lang w:val="es-ES"/>
        </w:rPr>
      </w:pPr>
      <w:r>
        <w:rPr>
          <w:b/>
          <w:noProof/>
          <w:sz w:val="20"/>
          <w:szCs w:val="20"/>
          <w:lang w:val="es-ES" w:eastAsia="es-ES"/>
        </w:rPr>
        <w:drawing>
          <wp:inline distT="0" distB="0" distL="0" distR="0" wp14:anchorId="37FF4626" wp14:editId="5732E1EE">
            <wp:extent cx="5658485" cy="1645920"/>
            <wp:effectExtent l="0" t="0" r="18415" b="1778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D8E9A04" w14:textId="77777777" w:rsidR="00333958" w:rsidRPr="00333958" w:rsidRDefault="00333958" w:rsidP="00333958">
      <w:pPr>
        <w:pStyle w:val="Prrafodelista"/>
        <w:widowControl w:val="0"/>
        <w:numPr>
          <w:ilvl w:val="0"/>
          <w:numId w:val="5"/>
        </w:numPr>
        <w:spacing w:after="200" w:line="276" w:lineRule="auto"/>
        <w:rPr>
          <w:rFonts w:ascii="Arial" w:hAnsi="Arial" w:cs="Arial"/>
          <w:sz w:val="20"/>
        </w:rPr>
      </w:pPr>
      <w:r w:rsidRPr="00333958">
        <w:rPr>
          <w:rFonts w:ascii="Arial" w:hAnsi="Arial" w:cs="Arial"/>
          <w:color w:val="202124"/>
          <w:spacing w:val="2"/>
          <w:sz w:val="20"/>
          <w:shd w:val="clear" w:color="auto" w:fill="FFFFFF"/>
        </w:rPr>
        <w:t xml:space="preserve">Seleccione el o los instrumentos que utiliza en la evaluación del dolor en el paciente crítico </w:t>
      </w:r>
      <w:r w:rsidRPr="00333958">
        <w:rPr>
          <w:rFonts w:ascii="Arial" w:hAnsi="Arial" w:cs="Arial"/>
          <w:b/>
          <w:color w:val="202124"/>
          <w:spacing w:val="2"/>
          <w:sz w:val="20"/>
          <w:shd w:val="clear" w:color="auto" w:fill="FFFFFF"/>
        </w:rPr>
        <w:t>NO COOPERADOR</w:t>
      </w:r>
      <w:r w:rsidRPr="00333958">
        <w:rPr>
          <w:rFonts w:ascii="Arial" w:hAnsi="Arial" w:cs="Arial"/>
          <w:color w:val="202124"/>
          <w:spacing w:val="2"/>
          <w:sz w:val="20"/>
          <w:shd w:val="clear" w:color="auto" w:fill="FFFFFF"/>
        </w:rPr>
        <w:t>. Entienda paciente NO cooperador como aquel paciente que no es capaz de realizar al menos 3 ordenes simples (por ejemplo: Abre los ojos, mírame, saca la lengua)</w:t>
      </w:r>
    </w:p>
    <w:p w14:paraId="62B78CDA" w14:textId="77777777" w:rsidR="00333958" w:rsidRDefault="00333958" w:rsidP="00333958">
      <w:pPr>
        <w:rPr>
          <w:color w:val="000000"/>
          <w:sz w:val="20"/>
        </w:rPr>
      </w:pPr>
      <w:r>
        <w:rPr>
          <w:noProof/>
          <w:lang w:val="es-ES" w:eastAsia="es-ES"/>
        </w:rPr>
        <w:drawing>
          <wp:inline distT="0" distB="0" distL="0" distR="0" wp14:anchorId="56123995" wp14:editId="1437E5F8">
            <wp:extent cx="5658485" cy="1867535"/>
            <wp:effectExtent l="0" t="0" r="18415" b="1206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6A37BB6" w14:textId="77777777" w:rsidR="00333958" w:rsidRPr="004E3B17" w:rsidRDefault="00333958" w:rsidP="00333958">
      <w:pPr>
        <w:rPr>
          <w:sz w:val="20"/>
        </w:rPr>
      </w:pPr>
    </w:p>
    <w:p w14:paraId="38CDB9E7" w14:textId="77777777" w:rsidR="00333958" w:rsidRPr="004E3B17" w:rsidRDefault="00333958" w:rsidP="00333958">
      <w:pPr>
        <w:pStyle w:val="Prrafodelista"/>
        <w:widowControl w:val="0"/>
        <w:numPr>
          <w:ilvl w:val="0"/>
          <w:numId w:val="5"/>
        </w:numPr>
        <w:spacing w:after="200" w:line="276" w:lineRule="auto"/>
        <w:rPr>
          <w:sz w:val="20"/>
        </w:rPr>
      </w:pPr>
      <w:r w:rsidRPr="00333958">
        <w:rPr>
          <w:rFonts w:ascii="Arial" w:hAnsi="Arial" w:cs="Arial"/>
          <w:noProof/>
          <w:lang w:val="es-ES" w:eastAsia="es-ES"/>
        </w:rPr>
        <w:lastRenderedPageBreak/>
        <w:drawing>
          <wp:anchor distT="0" distB="0" distL="114300" distR="114300" simplePos="0" relativeHeight="251664384" behindDoc="0" locked="0" layoutInCell="1" allowOverlap="1" wp14:anchorId="3F7E1098" wp14:editId="1E89B8E1">
            <wp:simplePos x="0" y="0"/>
            <wp:positionH relativeFrom="column">
              <wp:posOffset>-6553</wp:posOffset>
            </wp:positionH>
            <wp:positionV relativeFrom="paragraph">
              <wp:posOffset>396794</wp:posOffset>
            </wp:positionV>
            <wp:extent cx="5658485" cy="1977390"/>
            <wp:effectExtent l="0" t="0" r="18415" b="16510"/>
            <wp:wrapSquare wrapText="bothSides"/>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page">
              <wp14:pctWidth>0</wp14:pctWidth>
            </wp14:sizeRelH>
            <wp14:sizeRelV relativeFrom="page">
              <wp14:pctHeight>0</wp14:pctHeight>
            </wp14:sizeRelV>
          </wp:anchor>
        </w:drawing>
      </w:r>
      <w:r w:rsidRPr="00333958">
        <w:rPr>
          <w:rFonts w:ascii="Arial" w:hAnsi="Arial" w:cs="Arial"/>
          <w:color w:val="202124"/>
          <w:spacing w:val="2"/>
          <w:sz w:val="20"/>
          <w:shd w:val="clear" w:color="auto" w:fill="FFFFFF"/>
        </w:rPr>
        <w:t>Seleccione el o los instrumentos que utiliza para determinar el nivel de sedación en el paciente</w:t>
      </w:r>
      <w:r w:rsidRPr="004E3B17">
        <w:rPr>
          <w:color w:val="202124"/>
          <w:spacing w:val="2"/>
          <w:sz w:val="20"/>
          <w:shd w:val="clear" w:color="auto" w:fill="FFFFFF"/>
        </w:rPr>
        <w:t xml:space="preserve"> </w:t>
      </w:r>
      <w:r w:rsidRPr="00333958">
        <w:rPr>
          <w:rFonts w:ascii="Arial" w:hAnsi="Arial" w:cs="Arial"/>
          <w:color w:val="202124"/>
          <w:spacing w:val="2"/>
          <w:sz w:val="20"/>
          <w:shd w:val="clear" w:color="auto" w:fill="FFFFFF"/>
        </w:rPr>
        <w:t>crítico</w:t>
      </w:r>
    </w:p>
    <w:p w14:paraId="4761A304" w14:textId="77777777" w:rsidR="00333958" w:rsidRPr="001676E9" w:rsidRDefault="00333958" w:rsidP="00333958">
      <w:pPr>
        <w:pStyle w:val="Prrafodelista"/>
        <w:ind w:left="360"/>
        <w:rPr>
          <w:sz w:val="20"/>
          <w:szCs w:val="20"/>
        </w:rPr>
      </w:pPr>
    </w:p>
    <w:p w14:paraId="07B7B0F7" w14:textId="77777777" w:rsidR="00333958" w:rsidRPr="004E3B17" w:rsidRDefault="00333958" w:rsidP="00333958">
      <w:pPr>
        <w:pStyle w:val="Prrafodelista"/>
        <w:widowControl w:val="0"/>
        <w:numPr>
          <w:ilvl w:val="0"/>
          <w:numId w:val="5"/>
        </w:numPr>
        <w:spacing w:after="200" w:line="276" w:lineRule="auto"/>
        <w:rPr>
          <w:sz w:val="20"/>
          <w:szCs w:val="20"/>
        </w:rPr>
      </w:pPr>
      <w:r w:rsidRPr="00333958">
        <w:rPr>
          <w:rFonts w:ascii="Arial" w:hAnsi="Arial" w:cs="Arial"/>
          <w:noProof/>
          <w:lang w:val="es-ES" w:eastAsia="es-ES"/>
        </w:rPr>
        <w:drawing>
          <wp:anchor distT="0" distB="0" distL="114300" distR="114300" simplePos="0" relativeHeight="251665408" behindDoc="0" locked="0" layoutInCell="1" allowOverlap="1" wp14:anchorId="1AEAF28F" wp14:editId="426809ED">
            <wp:simplePos x="0" y="0"/>
            <wp:positionH relativeFrom="column">
              <wp:posOffset>-6985</wp:posOffset>
            </wp:positionH>
            <wp:positionV relativeFrom="paragraph">
              <wp:posOffset>531495</wp:posOffset>
            </wp:positionV>
            <wp:extent cx="5698490" cy="1957705"/>
            <wp:effectExtent l="0" t="0" r="16510" b="10795"/>
            <wp:wrapSquare wrapText="bothSides"/>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page">
              <wp14:pctWidth>0</wp14:pctWidth>
            </wp14:sizeRelH>
            <wp14:sizeRelV relativeFrom="page">
              <wp14:pctHeight>0</wp14:pctHeight>
            </wp14:sizeRelV>
          </wp:anchor>
        </w:drawing>
      </w:r>
      <w:r w:rsidRPr="00333958">
        <w:rPr>
          <w:rFonts w:ascii="Arial" w:hAnsi="Arial" w:cs="Arial"/>
          <w:color w:val="202124"/>
          <w:spacing w:val="2"/>
          <w:sz w:val="20"/>
          <w:szCs w:val="20"/>
          <w:shd w:val="clear" w:color="auto" w:fill="FFFFFF"/>
        </w:rPr>
        <w:t>Seleccione el o los instrumentos que utiliza en la evaluación del delirium en el paciente crítico que está en proceso de disminución de la sedación</w:t>
      </w:r>
      <w:r w:rsidRPr="004E3B17">
        <w:rPr>
          <w:color w:val="202124"/>
          <w:spacing w:val="2"/>
          <w:sz w:val="20"/>
          <w:szCs w:val="20"/>
          <w:shd w:val="clear" w:color="auto" w:fill="FFFFFF"/>
        </w:rPr>
        <w:t>.</w:t>
      </w:r>
    </w:p>
    <w:p w14:paraId="2D0CA569" w14:textId="11BA28C7" w:rsidR="00333958" w:rsidRDefault="00333958" w:rsidP="00333958">
      <w:pPr>
        <w:rPr>
          <w:sz w:val="20"/>
        </w:rPr>
      </w:pPr>
    </w:p>
    <w:p w14:paraId="2DBB0813" w14:textId="77777777" w:rsidR="00333958" w:rsidRPr="004E3B17" w:rsidRDefault="00333958" w:rsidP="00333958">
      <w:pPr>
        <w:rPr>
          <w:sz w:val="20"/>
        </w:rPr>
      </w:pPr>
    </w:p>
    <w:p w14:paraId="59327107" w14:textId="77777777" w:rsidR="00333958" w:rsidRPr="004E3B17" w:rsidRDefault="00333958" w:rsidP="00333958">
      <w:pPr>
        <w:pStyle w:val="Prrafodelista"/>
        <w:widowControl w:val="0"/>
        <w:numPr>
          <w:ilvl w:val="0"/>
          <w:numId w:val="5"/>
        </w:numPr>
        <w:spacing w:after="200" w:line="276" w:lineRule="auto"/>
        <w:rPr>
          <w:sz w:val="20"/>
          <w:szCs w:val="20"/>
        </w:rPr>
      </w:pPr>
      <w:r w:rsidRPr="00333958">
        <w:rPr>
          <w:rFonts w:ascii="Arial" w:hAnsi="Arial" w:cs="Arial"/>
          <w:b/>
          <w:noProof/>
          <w:sz w:val="20"/>
          <w:szCs w:val="20"/>
          <w:lang w:val="es-ES" w:eastAsia="es-ES"/>
        </w:rPr>
        <w:lastRenderedPageBreak/>
        <w:drawing>
          <wp:anchor distT="0" distB="0" distL="114300" distR="114300" simplePos="0" relativeHeight="251666432" behindDoc="0" locked="0" layoutInCell="1" allowOverlap="1" wp14:anchorId="2C51A8DC" wp14:editId="1EEAC0DC">
            <wp:simplePos x="0" y="0"/>
            <wp:positionH relativeFrom="column">
              <wp:posOffset>-99060</wp:posOffset>
            </wp:positionH>
            <wp:positionV relativeFrom="paragraph">
              <wp:posOffset>490382</wp:posOffset>
            </wp:positionV>
            <wp:extent cx="5748020" cy="2314575"/>
            <wp:effectExtent l="0" t="0" r="17780" b="9525"/>
            <wp:wrapSquare wrapText="bothSides"/>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r w:rsidRPr="00333958">
        <w:rPr>
          <w:rFonts w:ascii="Arial" w:hAnsi="Arial" w:cs="Arial"/>
          <w:color w:val="202124"/>
          <w:spacing w:val="2"/>
          <w:sz w:val="20"/>
          <w:szCs w:val="20"/>
          <w:shd w:val="clear" w:color="auto" w:fill="FFFFFF"/>
        </w:rPr>
        <w:t>En su opinión. ¿Con qué frecuencia se realizan pruebas de interrupción de la sedación en aquellos</w:t>
      </w:r>
      <w:r w:rsidRPr="004E3B17">
        <w:rPr>
          <w:color w:val="202124"/>
          <w:spacing w:val="2"/>
          <w:sz w:val="20"/>
          <w:szCs w:val="20"/>
          <w:shd w:val="clear" w:color="auto" w:fill="FFFFFF"/>
        </w:rPr>
        <w:t xml:space="preserve"> </w:t>
      </w:r>
      <w:r w:rsidRPr="00333958">
        <w:rPr>
          <w:rFonts w:ascii="Arial" w:hAnsi="Arial" w:cs="Arial"/>
          <w:color w:val="202124"/>
          <w:spacing w:val="2"/>
          <w:sz w:val="20"/>
          <w:szCs w:val="20"/>
          <w:shd w:val="clear" w:color="auto" w:fill="FFFFFF"/>
        </w:rPr>
        <w:t>pacientes críticos que superaron la etapa aguda de su enfermedad?</w:t>
      </w:r>
    </w:p>
    <w:p w14:paraId="7F27091C" w14:textId="77777777" w:rsidR="00333958" w:rsidRDefault="00333958" w:rsidP="00333958">
      <w:pPr>
        <w:tabs>
          <w:tab w:val="left" w:pos="1015"/>
        </w:tabs>
        <w:spacing w:line="360" w:lineRule="auto"/>
        <w:rPr>
          <w:b/>
          <w:sz w:val="20"/>
          <w:szCs w:val="20"/>
          <w:lang w:val="es-ES"/>
        </w:rPr>
      </w:pPr>
    </w:p>
    <w:p w14:paraId="179562C6" w14:textId="2655FAB6" w:rsidR="00333958" w:rsidRPr="00333958" w:rsidRDefault="00333958" w:rsidP="00333958">
      <w:pPr>
        <w:pStyle w:val="Prrafodelista"/>
        <w:widowControl w:val="0"/>
        <w:numPr>
          <w:ilvl w:val="0"/>
          <w:numId w:val="5"/>
        </w:numPr>
        <w:spacing w:after="200" w:line="276" w:lineRule="auto"/>
        <w:rPr>
          <w:rFonts w:ascii="Arial" w:hAnsi="Arial" w:cs="Arial"/>
          <w:sz w:val="20"/>
          <w:szCs w:val="20"/>
        </w:rPr>
      </w:pPr>
      <w:r w:rsidRPr="00333958">
        <w:rPr>
          <w:rFonts w:ascii="Arial" w:hAnsi="Arial" w:cs="Arial"/>
          <w:color w:val="202124"/>
          <w:spacing w:val="2"/>
          <w:sz w:val="20"/>
          <w:szCs w:val="20"/>
          <w:shd w:val="clear" w:color="auto" w:fill="FFFFFF"/>
        </w:rPr>
        <w:t>En su opinión. ¿Con qué frecuencia se realizan pruebas de ventilación espontánea en aquellos pacientes críticos que se encuentran en vías de destete del ventilador mecánico?</w:t>
      </w:r>
    </w:p>
    <w:p w14:paraId="1648C1B0" w14:textId="1E680C12" w:rsidR="00333958" w:rsidRPr="00333958" w:rsidRDefault="00333958" w:rsidP="00333958">
      <w:pPr>
        <w:pStyle w:val="Prrafodelista"/>
        <w:rPr>
          <w:sz w:val="20"/>
          <w:szCs w:val="20"/>
        </w:rPr>
      </w:pPr>
    </w:p>
    <w:p w14:paraId="4F875806" w14:textId="630B3F9C" w:rsidR="00333958" w:rsidRDefault="00333958" w:rsidP="00333958">
      <w:pPr>
        <w:widowControl w:val="0"/>
        <w:spacing w:after="200" w:line="276" w:lineRule="auto"/>
        <w:rPr>
          <w:sz w:val="20"/>
          <w:szCs w:val="20"/>
        </w:rPr>
      </w:pPr>
      <w:r w:rsidRPr="00333958">
        <w:rPr>
          <w:rFonts w:ascii="Arial" w:hAnsi="Arial" w:cs="Arial"/>
          <w:b/>
          <w:noProof/>
          <w:sz w:val="20"/>
          <w:szCs w:val="20"/>
          <w:lang w:val="es-ES" w:eastAsia="es-ES"/>
        </w:rPr>
        <w:drawing>
          <wp:anchor distT="0" distB="0" distL="114300" distR="114300" simplePos="0" relativeHeight="251671552" behindDoc="0" locked="0" layoutInCell="1" allowOverlap="1" wp14:anchorId="41941CE9" wp14:editId="6A25FD4B">
            <wp:simplePos x="0" y="0"/>
            <wp:positionH relativeFrom="column">
              <wp:posOffset>0</wp:posOffset>
            </wp:positionH>
            <wp:positionV relativeFrom="paragraph">
              <wp:posOffset>292100</wp:posOffset>
            </wp:positionV>
            <wp:extent cx="5701030" cy="1951355"/>
            <wp:effectExtent l="0" t="0" r="13970" b="17145"/>
            <wp:wrapSquare wrapText="bothSides"/>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page">
              <wp14:pctWidth>0</wp14:pctWidth>
            </wp14:sizeRelH>
            <wp14:sizeRelV relativeFrom="page">
              <wp14:pctHeight>0</wp14:pctHeight>
            </wp14:sizeRelV>
          </wp:anchor>
        </w:drawing>
      </w:r>
    </w:p>
    <w:p w14:paraId="5AF60700" w14:textId="4EC00474" w:rsidR="00333958" w:rsidRDefault="00333958" w:rsidP="00333958">
      <w:pPr>
        <w:widowControl w:val="0"/>
        <w:spacing w:after="200" w:line="276" w:lineRule="auto"/>
        <w:rPr>
          <w:sz w:val="20"/>
          <w:szCs w:val="20"/>
        </w:rPr>
      </w:pPr>
    </w:p>
    <w:p w14:paraId="1D5213C7" w14:textId="70CD81E5" w:rsidR="00333958" w:rsidRDefault="00333958" w:rsidP="00333958">
      <w:pPr>
        <w:widowControl w:val="0"/>
        <w:spacing w:after="200" w:line="276" w:lineRule="auto"/>
        <w:rPr>
          <w:sz w:val="20"/>
          <w:szCs w:val="20"/>
        </w:rPr>
      </w:pPr>
    </w:p>
    <w:p w14:paraId="16FD2EC5" w14:textId="09F809B8" w:rsidR="00333958" w:rsidRDefault="00333958" w:rsidP="00333958">
      <w:pPr>
        <w:widowControl w:val="0"/>
        <w:spacing w:after="200" w:line="276" w:lineRule="auto"/>
        <w:rPr>
          <w:sz w:val="20"/>
          <w:szCs w:val="20"/>
        </w:rPr>
      </w:pPr>
    </w:p>
    <w:p w14:paraId="0B999CA2" w14:textId="77777777" w:rsidR="00333958" w:rsidRDefault="00333958" w:rsidP="00333958">
      <w:pPr>
        <w:widowControl w:val="0"/>
        <w:spacing w:after="200" w:line="276" w:lineRule="auto"/>
        <w:rPr>
          <w:sz w:val="20"/>
          <w:szCs w:val="20"/>
        </w:rPr>
      </w:pPr>
    </w:p>
    <w:p w14:paraId="0ECCDD43" w14:textId="1D7C549B" w:rsidR="00333958" w:rsidRDefault="00333958" w:rsidP="00333958">
      <w:pPr>
        <w:widowControl w:val="0"/>
        <w:spacing w:after="200" w:line="276" w:lineRule="auto"/>
        <w:rPr>
          <w:sz w:val="20"/>
          <w:szCs w:val="20"/>
        </w:rPr>
      </w:pPr>
    </w:p>
    <w:p w14:paraId="4A40CA3C" w14:textId="581039CC" w:rsidR="00333958" w:rsidRPr="00333958" w:rsidRDefault="00333958" w:rsidP="00333958">
      <w:pPr>
        <w:widowControl w:val="0"/>
        <w:spacing w:after="200" w:line="276" w:lineRule="auto"/>
        <w:rPr>
          <w:sz w:val="20"/>
          <w:szCs w:val="20"/>
        </w:rPr>
      </w:pPr>
    </w:p>
    <w:p w14:paraId="58FAF31C" w14:textId="6EAFA2F3" w:rsidR="00333958" w:rsidRPr="00333958" w:rsidRDefault="00333958" w:rsidP="00333958">
      <w:pPr>
        <w:pStyle w:val="Prrafodelista"/>
        <w:widowControl w:val="0"/>
        <w:numPr>
          <w:ilvl w:val="0"/>
          <w:numId w:val="5"/>
        </w:numPr>
        <w:spacing w:after="200" w:line="276" w:lineRule="auto"/>
        <w:rPr>
          <w:rFonts w:ascii="Arial" w:hAnsi="Arial" w:cs="Arial"/>
          <w:sz w:val="20"/>
          <w:szCs w:val="20"/>
        </w:rPr>
      </w:pPr>
      <w:r w:rsidRPr="00333958">
        <w:rPr>
          <w:rFonts w:ascii="Arial" w:hAnsi="Arial" w:cs="Arial"/>
          <w:color w:val="202124"/>
          <w:spacing w:val="2"/>
          <w:sz w:val="20"/>
          <w:szCs w:val="20"/>
          <w:shd w:val="clear" w:color="auto" w:fill="FFFFFF"/>
        </w:rPr>
        <w:lastRenderedPageBreak/>
        <w:t>En su opinión, ¿Con qué frecuencia los pacientes internados en la unidad reciben intervenciones de movilización temprana?. Entienda movilización temprana como intervenciones que van desde la movilización pasiva en cama hasta la marcha o transferencia en un sillón</w:t>
      </w:r>
    </w:p>
    <w:p w14:paraId="2E4D6751" w14:textId="446B733D" w:rsidR="00333958" w:rsidRDefault="00333958" w:rsidP="00333958">
      <w:pPr>
        <w:pStyle w:val="Prrafodelista"/>
        <w:tabs>
          <w:tab w:val="left" w:pos="1015"/>
        </w:tabs>
        <w:spacing w:line="360" w:lineRule="auto"/>
        <w:ind w:left="360"/>
        <w:rPr>
          <w:b/>
          <w:sz w:val="20"/>
          <w:szCs w:val="20"/>
          <w:lang w:val="es-ES"/>
        </w:rPr>
      </w:pPr>
      <w:r>
        <w:rPr>
          <w:b/>
          <w:noProof/>
          <w:sz w:val="20"/>
          <w:szCs w:val="20"/>
          <w:lang w:val="es-ES" w:eastAsia="es-ES"/>
        </w:rPr>
        <w:drawing>
          <wp:anchor distT="0" distB="0" distL="114300" distR="114300" simplePos="0" relativeHeight="251673600" behindDoc="0" locked="0" layoutInCell="1" allowOverlap="1" wp14:anchorId="727292D2" wp14:editId="0F38DFBB">
            <wp:simplePos x="0" y="0"/>
            <wp:positionH relativeFrom="column">
              <wp:posOffset>-9728</wp:posOffset>
            </wp:positionH>
            <wp:positionV relativeFrom="paragraph">
              <wp:posOffset>179516</wp:posOffset>
            </wp:positionV>
            <wp:extent cx="5793740" cy="1945640"/>
            <wp:effectExtent l="0" t="0" r="10160" b="10160"/>
            <wp:wrapSquare wrapText="bothSides"/>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p>
    <w:p w14:paraId="54349EC4" w14:textId="156E52CE" w:rsidR="00333958" w:rsidRPr="004E3B17" w:rsidRDefault="00333958" w:rsidP="00333958">
      <w:pPr>
        <w:pStyle w:val="Prrafodelista"/>
        <w:tabs>
          <w:tab w:val="left" w:pos="1015"/>
        </w:tabs>
        <w:spacing w:line="360" w:lineRule="auto"/>
        <w:ind w:left="360"/>
        <w:rPr>
          <w:b/>
          <w:sz w:val="20"/>
          <w:szCs w:val="20"/>
          <w:lang w:val="es-ES"/>
        </w:rPr>
      </w:pPr>
    </w:p>
    <w:p w14:paraId="6A8168B6" w14:textId="6C3E868D" w:rsidR="00333958" w:rsidRDefault="00333958" w:rsidP="00333958">
      <w:pPr>
        <w:tabs>
          <w:tab w:val="left" w:pos="1015"/>
        </w:tabs>
        <w:spacing w:line="360" w:lineRule="auto"/>
        <w:rPr>
          <w:b/>
          <w:sz w:val="20"/>
          <w:szCs w:val="20"/>
          <w:lang w:val="es-ES"/>
        </w:rPr>
      </w:pPr>
    </w:p>
    <w:p w14:paraId="019B099A" w14:textId="3629A487" w:rsidR="00333958" w:rsidRPr="00333958" w:rsidRDefault="00333958" w:rsidP="00333958">
      <w:pPr>
        <w:pStyle w:val="Prrafodelista"/>
        <w:widowControl w:val="0"/>
        <w:numPr>
          <w:ilvl w:val="0"/>
          <w:numId w:val="5"/>
        </w:numPr>
        <w:spacing w:after="200" w:line="276" w:lineRule="auto"/>
        <w:rPr>
          <w:rFonts w:ascii="Arial" w:hAnsi="Arial" w:cs="Arial"/>
          <w:sz w:val="20"/>
          <w:szCs w:val="20"/>
        </w:rPr>
      </w:pPr>
      <w:r w:rsidRPr="00333958">
        <w:rPr>
          <w:rFonts w:ascii="Arial" w:hAnsi="Arial" w:cs="Arial"/>
          <w:noProof/>
          <w:color w:val="D93025"/>
          <w:spacing w:val="2"/>
          <w:sz w:val="20"/>
          <w:szCs w:val="20"/>
          <w:shd w:val="clear" w:color="auto" w:fill="FFFFFF"/>
          <w:lang w:val="es-ES" w:eastAsia="es-ES"/>
        </w:rPr>
        <w:drawing>
          <wp:anchor distT="0" distB="0" distL="114300" distR="114300" simplePos="0" relativeHeight="251669504" behindDoc="0" locked="0" layoutInCell="1" allowOverlap="1" wp14:anchorId="36463DE3" wp14:editId="3FC0F805">
            <wp:simplePos x="0" y="0"/>
            <wp:positionH relativeFrom="column">
              <wp:posOffset>-6350</wp:posOffset>
            </wp:positionH>
            <wp:positionV relativeFrom="paragraph">
              <wp:posOffset>664845</wp:posOffset>
            </wp:positionV>
            <wp:extent cx="5793740" cy="1887220"/>
            <wp:effectExtent l="0" t="0" r="10160" b="17780"/>
            <wp:wrapSquare wrapText="bothSides"/>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page">
              <wp14:pctWidth>0</wp14:pctWidth>
            </wp14:sizeRelH>
            <wp14:sizeRelV relativeFrom="page">
              <wp14:pctHeight>0</wp14:pctHeight>
            </wp14:sizeRelV>
          </wp:anchor>
        </w:drawing>
      </w:r>
      <w:r w:rsidRPr="00333958">
        <w:rPr>
          <w:rFonts w:ascii="Arial" w:hAnsi="Arial" w:cs="Arial"/>
          <w:color w:val="202124"/>
          <w:spacing w:val="2"/>
          <w:sz w:val="20"/>
          <w:szCs w:val="20"/>
          <w:shd w:val="clear" w:color="auto" w:fill="FFFFFF"/>
        </w:rPr>
        <w:t>En su opinión, ¿Cómo considera usted que es la inclusión de la familia del paciente durante la internación?. Se refiere a inclusión a todas las actividades que busquen empoderar a la familia para que sean parte del equipo y así mejorar la experiencia del paciente.</w:t>
      </w:r>
    </w:p>
    <w:p w14:paraId="33CC199C" w14:textId="77777777" w:rsidR="00333958" w:rsidRDefault="00333958" w:rsidP="00333958">
      <w:pPr>
        <w:tabs>
          <w:tab w:val="left" w:pos="1015"/>
        </w:tabs>
        <w:spacing w:line="360" w:lineRule="auto"/>
        <w:rPr>
          <w:b/>
          <w:sz w:val="20"/>
          <w:szCs w:val="20"/>
        </w:rPr>
      </w:pPr>
    </w:p>
    <w:p w14:paraId="5C2FBC18" w14:textId="77777777" w:rsidR="00333958" w:rsidRPr="00333958" w:rsidRDefault="00333958" w:rsidP="00D15F86">
      <w:pPr>
        <w:rPr>
          <w:rFonts w:ascii="Arial" w:hAnsi="Arial" w:cs="Arial"/>
        </w:rPr>
      </w:pPr>
    </w:p>
    <w:sectPr w:rsidR="00333958" w:rsidRPr="00333958" w:rsidSect="00306CED">
      <w:footerReference w:type="default" r:id="rId23"/>
      <w:pgSz w:w="12240" w:h="15840" w:code="1"/>
      <w:pgMar w:top="2268" w:right="1418" w:bottom="1418" w:left="2268" w:header="709" w:footer="709" w:gutter="0"/>
      <w:pgNumType w:start="1"/>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78D3C4" w16cex:dateUtc="2020-12-07T19:16:00Z"/>
  <w16cex:commentExtensible w16cex:durableId="2378D3DD" w16cex:dateUtc="2020-12-07T19:16:00Z"/>
  <w16cex:commentExtensible w16cex:durableId="2378D4B4" w16cex:dateUtc="2020-12-07T19:20:00Z"/>
  <w16cex:commentExtensible w16cex:durableId="2378D469" w16cex:dateUtc="2020-12-07T19:18:00Z"/>
  <w16cex:commentExtensible w16cex:durableId="2378D490" w16cex:dateUtc="2020-12-07T19:19:00Z"/>
  <w16cex:commentExtensible w16cex:durableId="2378D4D6" w16cex:dateUtc="2020-12-07T19:20:00Z"/>
  <w16cex:commentExtensible w16cex:durableId="2378D4E2" w16cex:dateUtc="2020-12-07T19:20:00Z"/>
  <w16cex:commentExtensible w16cex:durableId="2378D51D" w16cex:dateUtc="2020-12-07T19:21:00Z"/>
  <w16cex:commentExtensible w16cex:durableId="2378D52D" w16cex:dateUtc="2020-12-07T19:22:00Z"/>
  <w16cex:commentExtensible w16cex:durableId="2378D551" w16cex:dateUtc="2020-12-07T19:22:00Z"/>
  <w16cex:commentExtensible w16cex:durableId="2378D65C" w16cex:dateUtc="2020-12-07T19:27:00Z"/>
  <w16cex:commentExtensible w16cex:durableId="2378D712" w16cex:dateUtc="2020-12-07T19:30:00Z"/>
  <w16cex:commentExtensible w16cex:durableId="2378D729" w16cex:dateUtc="2020-12-07T19:30:00Z"/>
  <w16cex:commentExtensible w16cex:durableId="2378D739" w16cex:dateUtc="2020-12-07T19:30:00Z"/>
  <w16cex:commentExtensible w16cex:durableId="2378D772" w16cex:dateUtc="2020-12-07T19:31:00Z"/>
  <w16cex:commentExtensible w16cex:durableId="2378D7B5" w16cex:dateUtc="2020-12-07T19:32:00Z"/>
  <w16cex:commentExtensible w16cex:durableId="2378D787" w16cex:dateUtc="2020-12-07T19:32:00Z"/>
  <w16cex:commentExtensible w16cex:durableId="2378D9D8" w16cex:dateUtc="2020-12-07T19:42:00Z"/>
  <w16cex:commentExtensible w16cex:durableId="2378DA0D" w16cex:dateUtc="2020-12-07T19:42:00Z"/>
  <w16cex:commentExtensible w16cex:durableId="2378DA34" w16cex:dateUtc="2020-12-07T19:43:00Z"/>
  <w16cex:commentExtensible w16cex:durableId="2378DA4B" w16cex:dateUtc="2020-12-07T19:43:00Z"/>
  <w16cex:commentExtensible w16cex:durableId="2378DA8D" w16cex:dateUtc="2020-12-07T19:45:00Z"/>
  <w16cex:commentExtensible w16cex:durableId="2378DB4A" w16cex:dateUtc="2020-12-07T19:48:00Z"/>
  <w16cex:commentExtensible w16cex:durableId="2378DB97" w16cex:dateUtc="2020-12-07T19:49:00Z"/>
  <w16cex:commentExtensible w16cex:durableId="2378DBBF" w16cex:dateUtc="2020-12-07T19:50:00Z"/>
  <w16cex:commentExtensible w16cex:durableId="2378DBDA" w16cex:dateUtc="2020-12-07T19:50:00Z"/>
  <w16cex:commentExtensible w16cex:durableId="2378DBF5" w16cex:dateUtc="2020-12-07T19:51:00Z"/>
  <w16cex:commentExtensible w16cex:durableId="2378DC1D" w16cex:dateUtc="2020-12-07T19:51:00Z"/>
  <w16cex:commentExtensible w16cex:durableId="2378DC53" w16cex:dateUtc="2020-12-07T19:52:00Z"/>
  <w16cex:commentExtensible w16cex:durableId="2378DC72" w16cex:dateUtc="2020-12-07T19:53:00Z"/>
  <w16cex:commentExtensible w16cex:durableId="2378DC86" w16cex:dateUtc="2020-12-07T19:53:00Z"/>
  <w16cex:commentExtensible w16cex:durableId="2378DC97" w16cex:dateUtc="2020-12-07T19:53:00Z"/>
  <w16cex:commentExtensible w16cex:durableId="2378DCBB" w16cex:dateUtc="2020-12-07T19:54:00Z"/>
  <w16cex:commentExtensible w16cex:durableId="2378E33A" w16cex:dateUtc="2020-12-07T20:22:00Z"/>
  <w16cex:commentExtensible w16cex:durableId="2378E5AE" w16cex:dateUtc="2020-12-07T20:32:00Z"/>
  <w16cex:commentExtensible w16cex:durableId="2378E68F" w16cex:dateUtc="2020-12-07T20:36:00Z"/>
  <w16cex:commentExtensible w16cex:durableId="237A47FC" w16cex:dateUtc="2020-12-08T21:44:00Z"/>
  <w16cex:commentExtensible w16cex:durableId="237A4818" w16cex:dateUtc="2020-12-08T21:44:00Z"/>
  <w16cex:commentExtensible w16cex:durableId="237A48BD" w16cex:dateUtc="2020-12-08T21:47:00Z"/>
  <w16cex:commentExtensible w16cex:durableId="237A48D6" w16cex:dateUtc="2020-12-08T21:47:00Z"/>
  <w16cex:commentExtensible w16cex:durableId="237A48F2" w16cex:dateUtc="2020-12-08T21:48:00Z"/>
  <w16cex:commentExtensible w16cex:durableId="237A4938" w16cex:dateUtc="2020-12-08T21:49:00Z"/>
  <w16cex:commentExtensible w16cex:durableId="237A49C5" w16cex:dateUtc="2020-12-08T21:51:00Z"/>
  <w16cex:commentExtensible w16cex:durableId="237A4A0B" w16cex:dateUtc="2020-12-08T21:52:00Z"/>
  <w16cex:commentExtensible w16cex:durableId="237A4B4C" w16cex:dateUtc="2020-12-08T21:58:00Z"/>
  <w16cex:commentExtensible w16cex:durableId="237A4B60" w16cex:dateUtc="2020-12-08T21:58:00Z"/>
  <w16cex:commentExtensible w16cex:durableId="237A4CAF" w16cex:dateUtc="2020-12-08T22:04:00Z"/>
  <w16cex:commentExtensible w16cex:durableId="237A4D14" w16cex:dateUtc="2020-12-08T22:05:00Z"/>
  <w16cex:commentExtensible w16cex:durableId="237A6F53" w16cex:dateUtc="2020-12-09T00:32:00Z"/>
  <w16cex:commentExtensible w16cex:durableId="237A6FC0" w16cex:dateUtc="2020-12-09T00:33:00Z"/>
  <w16cex:commentExtensible w16cex:durableId="237A7036" w16cex:dateUtc="2020-12-09T00:35:00Z"/>
  <w16cex:commentExtensible w16cex:durableId="237A70B5" w16cex:dateUtc="2020-12-09T00:37:00Z"/>
  <w16cex:commentExtensible w16cex:durableId="237A70C0" w16cex:dateUtc="2020-12-09T00:38:00Z"/>
  <w16cex:commentExtensible w16cex:durableId="237A70CE" w16cex:dateUtc="2020-12-09T00:38:00Z"/>
  <w16cex:commentExtensible w16cex:durableId="237A7212" w16cex:dateUtc="2020-12-09T00:43:00Z"/>
  <w16cex:commentExtensible w16cex:durableId="237A7224" w16cex:dateUtc="2020-12-09T00:44:00Z"/>
  <w16cex:commentExtensible w16cex:durableId="237A727E" w16cex:dateUtc="2020-12-09T00:45:00Z"/>
  <w16cex:commentExtensible w16cex:durableId="237A72E7" w16cex:dateUtc="2020-12-09T00:47:00Z"/>
  <w16cex:commentExtensible w16cex:durableId="237A74D0" w16cex:dateUtc="2020-12-09T00:55:00Z"/>
  <w16cex:commentExtensible w16cex:durableId="237A750D" w16cex:dateUtc="2020-12-09T00:56:00Z"/>
  <w16cex:commentExtensible w16cex:durableId="237A9472" w16cex:dateUtc="2020-12-09T03:10:00Z"/>
  <w16cex:commentExtensible w16cex:durableId="237A948B" w16cex:dateUtc="2020-12-09T03:10:00Z"/>
  <w16cex:commentExtensible w16cex:durableId="237A94C6" w16cex:dateUtc="2020-12-09T03:11:00Z"/>
  <w16cex:commentExtensible w16cex:durableId="237A94E5" w16cex:dateUtc="2020-12-09T03:12:00Z"/>
  <w16cex:commentExtensible w16cex:durableId="237A9509" w16cex:dateUtc="2020-12-09T03:12:00Z"/>
  <w16cex:commentExtensible w16cex:durableId="237A9545" w16cex:dateUtc="2020-12-09T03:13:00Z"/>
  <w16cex:commentExtensible w16cex:durableId="237A9534" w16cex:dateUtc="2020-12-09T03:13:00Z"/>
  <w16cex:commentExtensible w16cex:durableId="237A9556" w16cex:dateUtc="2020-12-09T03:14:00Z"/>
  <w16cex:commentExtensible w16cex:durableId="2378E3E2" w16cex:dateUtc="2020-12-07T20:24:00Z"/>
  <w16cex:commentExtensible w16cex:durableId="2378E4C2" w16cex:dateUtc="2020-12-07T20:28:00Z"/>
  <w16cex:commentExtensible w16cex:durableId="2378E4F0" w16cex:dateUtc="2020-12-07T20:29:00Z"/>
  <w16cex:commentExtensible w16cex:durableId="2378E521" w16cex:dateUtc="2020-12-07T20:30:00Z"/>
  <w16cex:commentExtensible w16cex:durableId="2378E557" w16cex:dateUtc="2020-12-07T20:31:00Z"/>
  <w16cex:commentExtensible w16cex:durableId="237A4ADD" w16cex:dateUtc="2020-12-08T21:56:00Z"/>
  <w16cex:commentExtensible w16cex:durableId="237A4ABC" w16cex:dateUtc="2020-12-08T21:55:00Z"/>
  <w16cex:commentExtensible w16cex:durableId="237A4BC3" w16cex:dateUtc="2020-12-08T22:00:00Z"/>
  <w16cex:commentExtensible w16cex:durableId="237A4BEE" w16cex:dateUtc="2020-12-08T22:01:00Z"/>
  <w16cex:commentExtensible w16cex:durableId="2378E611" w16cex:dateUtc="2020-12-07T20:34: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095CBBB" w14:textId="77777777" w:rsidR="006A5FC8" w:rsidRDefault="006A5FC8" w:rsidP="006F4631">
      <w:r>
        <w:separator/>
      </w:r>
    </w:p>
  </w:endnote>
  <w:endnote w:type="continuationSeparator" w:id="0">
    <w:p w14:paraId="485D08D9" w14:textId="77777777" w:rsidR="006A5FC8" w:rsidRDefault="006A5FC8" w:rsidP="006F46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797053304"/>
      <w:docPartObj>
        <w:docPartGallery w:val="Page Numbers (Bottom of Page)"/>
        <w:docPartUnique/>
      </w:docPartObj>
    </w:sdtPr>
    <w:sdtContent>
      <w:p w14:paraId="095B7841" w14:textId="30A87A8B" w:rsidR="00DC122E" w:rsidRDefault="00DC122E" w:rsidP="007E240A">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6D524CDC" w14:textId="77777777" w:rsidR="00DC122E" w:rsidRDefault="00DC122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963544389"/>
      <w:docPartObj>
        <w:docPartGallery w:val="Page Numbers (Bottom of Page)"/>
        <w:docPartUnique/>
      </w:docPartObj>
    </w:sdtPr>
    <w:sdtContent>
      <w:p w14:paraId="5FEFCAF5" w14:textId="39E71247" w:rsidR="00DC122E" w:rsidRDefault="00DC122E" w:rsidP="007E240A">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ii</w:t>
        </w:r>
        <w:r>
          <w:rPr>
            <w:rStyle w:val="Nmerodepgina"/>
          </w:rPr>
          <w:fldChar w:fldCharType="end"/>
        </w:r>
      </w:p>
    </w:sdtContent>
  </w:sdt>
  <w:p w14:paraId="34F07C17" w14:textId="1EC78F24" w:rsidR="00DC122E" w:rsidRDefault="00DC122E">
    <w:pPr>
      <w:pStyle w:val="Piedepgina"/>
      <w:jc w:val="center"/>
    </w:pPr>
  </w:p>
  <w:p w14:paraId="08D5440B" w14:textId="77777777" w:rsidR="00DC122E" w:rsidRDefault="00DC122E">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C4718B" w14:textId="77777777" w:rsidR="00DC122E" w:rsidRDefault="00DC122E">
    <w:pPr>
      <w:pStyle w:val="Piedepgina"/>
      <w:jc w:val="center"/>
    </w:pPr>
  </w:p>
  <w:p w14:paraId="4144BE08" w14:textId="77777777" w:rsidR="00DC122E" w:rsidRDefault="00DC122E">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667377440"/>
      <w:docPartObj>
        <w:docPartGallery w:val="Page Numbers (Bottom of Page)"/>
        <w:docPartUnique/>
      </w:docPartObj>
    </w:sdtPr>
    <w:sdtContent>
      <w:p w14:paraId="113B46F2" w14:textId="77777777" w:rsidR="00DC122E" w:rsidRDefault="00DC122E" w:rsidP="00306CED">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2A1D617F" w14:textId="77777777" w:rsidR="00DC122E" w:rsidRDefault="00DC122E" w:rsidP="006F4631">
    <w:pPr>
      <w:pStyle w:val="Piedepgina"/>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143241678"/>
      <w:docPartObj>
        <w:docPartGallery w:val="Page Numbers (Bottom of Page)"/>
        <w:docPartUnique/>
      </w:docPartObj>
    </w:sdtPr>
    <w:sdtContent>
      <w:p w14:paraId="3B29CAA8" w14:textId="6922DAD8" w:rsidR="00DC122E" w:rsidRDefault="00DC122E" w:rsidP="00306CED">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ii</w:t>
        </w:r>
        <w:r>
          <w:rPr>
            <w:rStyle w:val="Nmerodepgina"/>
          </w:rPr>
          <w:fldChar w:fldCharType="end"/>
        </w:r>
      </w:p>
    </w:sdtContent>
  </w:sdt>
  <w:p w14:paraId="35E20C03" w14:textId="77777777" w:rsidR="00DC122E" w:rsidRDefault="00DC122E" w:rsidP="006F4631">
    <w:pPr>
      <w:pStyle w:val="Piedepgina"/>
      <w:ind w:right="36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476717472"/>
      <w:docPartObj>
        <w:docPartGallery w:val="Page Numbers (Bottom of Page)"/>
        <w:docPartUnique/>
      </w:docPartObj>
    </w:sdtPr>
    <w:sdtContent>
      <w:p w14:paraId="284CEF10" w14:textId="6929193B" w:rsidR="00DC122E" w:rsidRDefault="00DC122E" w:rsidP="00306CED">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8</w:t>
        </w:r>
        <w:r>
          <w:rPr>
            <w:rStyle w:val="Nmerodepgina"/>
          </w:rPr>
          <w:fldChar w:fldCharType="end"/>
        </w:r>
      </w:p>
    </w:sdtContent>
  </w:sdt>
  <w:p w14:paraId="5E686333" w14:textId="77777777" w:rsidR="00DC122E" w:rsidRDefault="00DC122E" w:rsidP="006F4631">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FBCA0A" w14:textId="77777777" w:rsidR="006A5FC8" w:rsidRDefault="006A5FC8" w:rsidP="006F4631">
      <w:r>
        <w:separator/>
      </w:r>
    </w:p>
  </w:footnote>
  <w:footnote w:type="continuationSeparator" w:id="0">
    <w:p w14:paraId="766A8D9E" w14:textId="77777777" w:rsidR="006A5FC8" w:rsidRDefault="006A5FC8" w:rsidP="006F463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0771140"/>
    <w:multiLevelType w:val="hybridMultilevel"/>
    <w:tmpl w:val="E84AE932"/>
    <w:lvl w:ilvl="0" w:tplc="C6E4A0C0">
      <w:numFmt w:val="bullet"/>
      <w:lvlText w:val="-"/>
      <w:lvlJc w:val="left"/>
      <w:pPr>
        <w:ind w:left="720" w:hanging="360"/>
      </w:pPr>
      <w:rPr>
        <w:rFonts w:ascii="Calibri" w:eastAsiaTheme="minorHAnsi" w:hAnsi="Calibri" w:cstheme="minorBidi" w:hint="default"/>
      </w:rPr>
    </w:lvl>
    <w:lvl w:ilvl="1" w:tplc="C6E4A0C0">
      <w:numFmt w:val="bullet"/>
      <w:lvlText w:val="-"/>
      <w:lvlJc w:val="left"/>
      <w:pPr>
        <w:ind w:left="1440" w:hanging="360"/>
      </w:pPr>
      <w:rPr>
        <w:rFonts w:ascii="Calibri" w:eastAsiaTheme="minorHAnsi" w:hAnsi="Calibri" w:cstheme="minorBidi" w:hint="default"/>
      </w:r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33701650"/>
    <w:multiLevelType w:val="hybridMultilevel"/>
    <w:tmpl w:val="94E47FF8"/>
    <w:lvl w:ilvl="0" w:tplc="040A000F">
      <w:start w:val="1"/>
      <w:numFmt w:val="decimal"/>
      <w:lvlText w:val="%1."/>
      <w:lvlJc w:val="left"/>
      <w:pPr>
        <w:ind w:left="360" w:hanging="360"/>
      </w:pPr>
    </w:lvl>
    <w:lvl w:ilvl="1" w:tplc="C6E4A0C0">
      <w:numFmt w:val="bullet"/>
      <w:lvlText w:val="-"/>
      <w:lvlJc w:val="left"/>
      <w:pPr>
        <w:ind w:left="1080" w:hanging="360"/>
      </w:pPr>
      <w:rPr>
        <w:rFonts w:ascii="Calibri" w:eastAsiaTheme="minorHAnsi" w:hAnsi="Calibri" w:cstheme="minorBidi" w:hint="default"/>
      </w:r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2" w15:restartNumberingAfterBreak="0">
    <w:nsid w:val="33866759"/>
    <w:multiLevelType w:val="hybridMultilevel"/>
    <w:tmpl w:val="2B861E22"/>
    <w:lvl w:ilvl="0" w:tplc="4E00AA4A">
      <w:start w:val="1"/>
      <w:numFmt w:val="decimal"/>
      <w:lvlText w:val="%1."/>
      <w:lvlJc w:val="left"/>
      <w:pPr>
        <w:ind w:left="360" w:hanging="360"/>
      </w:pPr>
      <w:rPr>
        <w:rFonts w:ascii="Arial" w:hAnsi="Arial" w:cs="Arial" w:hint="default"/>
        <w:color w:val="202124"/>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3" w15:restartNumberingAfterBreak="0">
    <w:nsid w:val="45231503"/>
    <w:multiLevelType w:val="hybridMultilevel"/>
    <w:tmpl w:val="831AF73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15:restartNumberingAfterBreak="0">
    <w:nsid w:val="71FB74FB"/>
    <w:multiLevelType w:val="hybridMultilevel"/>
    <w:tmpl w:val="401E2C4E"/>
    <w:lvl w:ilvl="0" w:tplc="040A0001">
      <w:start w:val="1"/>
      <w:numFmt w:val="bullet"/>
      <w:lvlText w:val=""/>
      <w:lvlJc w:val="left"/>
      <w:pPr>
        <w:ind w:left="720" w:hanging="360"/>
      </w:pPr>
      <w:rPr>
        <w:rFonts w:ascii="Symbol" w:hAnsi="Symbol" w:hint="default"/>
      </w:rPr>
    </w:lvl>
    <w:lvl w:ilvl="1" w:tplc="C6E4A0C0">
      <w:numFmt w:val="bullet"/>
      <w:lvlText w:val="-"/>
      <w:lvlJc w:val="left"/>
      <w:pPr>
        <w:ind w:left="1440" w:hanging="360"/>
      </w:pPr>
      <w:rPr>
        <w:rFonts w:ascii="Calibri" w:eastAsiaTheme="minorHAnsi" w:hAnsi="Calibri" w:cstheme="minorBidi" w:hint="default"/>
      </w:r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1"/>
  </w:num>
  <w:num w:numId="2">
    <w:abstractNumId w:val="3"/>
  </w:num>
  <w:num w:numId="3">
    <w:abstractNumId w:val="4"/>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1"/>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TQyMLI0sDQ3NzAwMjBT0lEKTi0uzszPAykwrAUAjNCw+CwAAAA="/>
  </w:docVars>
  <w:rsids>
    <w:rsidRoot w:val="00D42D51"/>
    <w:rsid w:val="000208AA"/>
    <w:rsid w:val="00022FB0"/>
    <w:rsid w:val="00037AB1"/>
    <w:rsid w:val="0004361B"/>
    <w:rsid w:val="00045A1C"/>
    <w:rsid w:val="000464EC"/>
    <w:rsid w:val="00052723"/>
    <w:rsid w:val="00060F86"/>
    <w:rsid w:val="0006209A"/>
    <w:rsid w:val="00097F59"/>
    <w:rsid w:val="000B137E"/>
    <w:rsid w:val="000C57B6"/>
    <w:rsid w:val="000D6229"/>
    <w:rsid w:val="000F29EA"/>
    <w:rsid w:val="000F4730"/>
    <w:rsid w:val="001034B2"/>
    <w:rsid w:val="00105895"/>
    <w:rsid w:val="00111D6B"/>
    <w:rsid w:val="001129C0"/>
    <w:rsid w:val="00114EE9"/>
    <w:rsid w:val="00121A5D"/>
    <w:rsid w:val="00161F08"/>
    <w:rsid w:val="00167580"/>
    <w:rsid w:val="00167B83"/>
    <w:rsid w:val="001745BB"/>
    <w:rsid w:val="001844DD"/>
    <w:rsid w:val="00185B72"/>
    <w:rsid w:val="00186A79"/>
    <w:rsid w:val="00187F68"/>
    <w:rsid w:val="001C213B"/>
    <w:rsid w:val="001D2E35"/>
    <w:rsid w:val="001D46FC"/>
    <w:rsid w:val="001D4DE1"/>
    <w:rsid w:val="001D6262"/>
    <w:rsid w:val="001F3C6F"/>
    <w:rsid w:val="001F5CD8"/>
    <w:rsid w:val="00200E02"/>
    <w:rsid w:val="00237F6C"/>
    <w:rsid w:val="00264895"/>
    <w:rsid w:val="00282920"/>
    <w:rsid w:val="0028692B"/>
    <w:rsid w:val="00292DD2"/>
    <w:rsid w:val="00292DFB"/>
    <w:rsid w:val="00295CAE"/>
    <w:rsid w:val="003034D8"/>
    <w:rsid w:val="00306CED"/>
    <w:rsid w:val="00313405"/>
    <w:rsid w:val="00324E5B"/>
    <w:rsid w:val="00333958"/>
    <w:rsid w:val="00356272"/>
    <w:rsid w:val="00357580"/>
    <w:rsid w:val="003719A2"/>
    <w:rsid w:val="003A5691"/>
    <w:rsid w:val="003B6B99"/>
    <w:rsid w:val="003D7E1B"/>
    <w:rsid w:val="003F029B"/>
    <w:rsid w:val="003F3030"/>
    <w:rsid w:val="00402460"/>
    <w:rsid w:val="00415AD6"/>
    <w:rsid w:val="00416914"/>
    <w:rsid w:val="00417A72"/>
    <w:rsid w:val="00425CB2"/>
    <w:rsid w:val="00441B23"/>
    <w:rsid w:val="00453F13"/>
    <w:rsid w:val="00480AF0"/>
    <w:rsid w:val="004928D4"/>
    <w:rsid w:val="00493B7B"/>
    <w:rsid w:val="004C450C"/>
    <w:rsid w:val="004C4FD0"/>
    <w:rsid w:val="004D1319"/>
    <w:rsid w:val="004D2D19"/>
    <w:rsid w:val="004E6936"/>
    <w:rsid w:val="004F2FE1"/>
    <w:rsid w:val="004F78EB"/>
    <w:rsid w:val="00504722"/>
    <w:rsid w:val="0052086B"/>
    <w:rsid w:val="00556351"/>
    <w:rsid w:val="00572594"/>
    <w:rsid w:val="00574E08"/>
    <w:rsid w:val="005B216D"/>
    <w:rsid w:val="005B4888"/>
    <w:rsid w:val="005B6A90"/>
    <w:rsid w:val="005C1F51"/>
    <w:rsid w:val="005D2E9E"/>
    <w:rsid w:val="0060267F"/>
    <w:rsid w:val="0061377D"/>
    <w:rsid w:val="00632BAC"/>
    <w:rsid w:val="00671A5B"/>
    <w:rsid w:val="006860AC"/>
    <w:rsid w:val="00690BCB"/>
    <w:rsid w:val="00693E84"/>
    <w:rsid w:val="006A5FC8"/>
    <w:rsid w:val="006B24AE"/>
    <w:rsid w:val="006C0A50"/>
    <w:rsid w:val="006D5D9F"/>
    <w:rsid w:val="006D79E3"/>
    <w:rsid w:val="006E14C4"/>
    <w:rsid w:val="006F33AE"/>
    <w:rsid w:val="006F37B3"/>
    <w:rsid w:val="006F4631"/>
    <w:rsid w:val="006F7965"/>
    <w:rsid w:val="00701757"/>
    <w:rsid w:val="00704935"/>
    <w:rsid w:val="00714E1E"/>
    <w:rsid w:val="007359DB"/>
    <w:rsid w:val="0073757A"/>
    <w:rsid w:val="00740B5E"/>
    <w:rsid w:val="007634F0"/>
    <w:rsid w:val="007822FA"/>
    <w:rsid w:val="007C196F"/>
    <w:rsid w:val="007C306C"/>
    <w:rsid w:val="007C4448"/>
    <w:rsid w:val="007D3D8B"/>
    <w:rsid w:val="007D5A7F"/>
    <w:rsid w:val="007E240A"/>
    <w:rsid w:val="007E4617"/>
    <w:rsid w:val="007E5A30"/>
    <w:rsid w:val="007E5AF7"/>
    <w:rsid w:val="00803DDD"/>
    <w:rsid w:val="00814A4A"/>
    <w:rsid w:val="00823B73"/>
    <w:rsid w:val="00830E52"/>
    <w:rsid w:val="00851343"/>
    <w:rsid w:val="00851959"/>
    <w:rsid w:val="008552F4"/>
    <w:rsid w:val="00864820"/>
    <w:rsid w:val="00864D56"/>
    <w:rsid w:val="00883112"/>
    <w:rsid w:val="00883FEA"/>
    <w:rsid w:val="00887A4F"/>
    <w:rsid w:val="00891DAB"/>
    <w:rsid w:val="008B6388"/>
    <w:rsid w:val="008D78C3"/>
    <w:rsid w:val="008D7C71"/>
    <w:rsid w:val="008E37C8"/>
    <w:rsid w:val="008E674C"/>
    <w:rsid w:val="009152C8"/>
    <w:rsid w:val="0092041F"/>
    <w:rsid w:val="00923F73"/>
    <w:rsid w:val="00925AA4"/>
    <w:rsid w:val="00944A82"/>
    <w:rsid w:val="00944EA0"/>
    <w:rsid w:val="00950D7F"/>
    <w:rsid w:val="00951E9F"/>
    <w:rsid w:val="00953C3C"/>
    <w:rsid w:val="0095673D"/>
    <w:rsid w:val="00972DFF"/>
    <w:rsid w:val="009855B4"/>
    <w:rsid w:val="0099428E"/>
    <w:rsid w:val="009B3515"/>
    <w:rsid w:val="009D6D82"/>
    <w:rsid w:val="009E1862"/>
    <w:rsid w:val="009E49F2"/>
    <w:rsid w:val="009E508B"/>
    <w:rsid w:val="009F4F29"/>
    <w:rsid w:val="009F6B81"/>
    <w:rsid w:val="00A16FB9"/>
    <w:rsid w:val="00A22368"/>
    <w:rsid w:val="00A3312B"/>
    <w:rsid w:val="00A426A3"/>
    <w:rsid w:val="00A44659"/>
    <w:rsid w:val="00A4509E"/>
    <w:rsid w:val="00A4573A"/>
    <w:rsid w:val="00A45F46"/>
    <w:rsid w:val="00A51D32"/>
    <w:rsid w:val="00A54467"/>
    <w:rsid w:val="00A62385"/>
    <w:rsid w:val="00A657BA"/>
    <w:rsid w:val="00A77DF7"/>
    <w:rsid w:val="00A831E2"/>
    <w:rsid w:val="00AA2497"/>
    <w:rsid w:val="00AA2984"/>
    <w:rsid w:val="00AC3392"/>
    <w:rsid w:val="00AD58D7"/>
    <w:rsid w:val="00AE00AB"/>
    <w:rsid w:val="00AE15B4"/>
    <w:rsid w:val="00AE19AE"/>
    <w:rsid w:val="00AF4095"/>
    <w:rsid w:val="00B05B46"/>
    <w:rsid w:val="00B05B9E"/>
    <w:rsid w:val="00B10C52"/>
    <w:rsid w:val="00B33101"/>
    <w:rsid w:val="00B46192"/>
    <w:rsid w:val="00B46EFD"/>
    <w:rsid w:val="00B67307"/>
    <w:rsid w:val="00BA23F7"/>
    <w:rsid w:val="00BB7992"/>
    <w:rsid w:val="00BC213A"/>
    <w:rsid w:val="00BC6EF4"/>
    <w:rsid w:val="00BC7C94"/>
    <w:rsid w:val="00BD3420"/>
    <w:rsid w:val="00BD55A6"/>
    <w:rsid w:val="00BF4E8A"/>
    <w:rsid w:val="00C05CB8"/>
    <w:rsid w:val="00C20FCC"/>
    <w:rsid w:val="00C21FB3"/>
    <w:rsid w:val="00C26035"/>
    <w:rsid w:val="00C33D5C"/>
    <w:rsid w:val="00C452AC"/>
    <w:rsid w:val="00C5340E"/>
    <w:rsid w:val="00C54653"/>
    <w:rsid w:val="00C677F9"/>
    <w:rsid w:val="00C71A69"/>
    <w:rsid w:val="00C7371B"/>
    <w:rsid w:val="00C96F30"/>
    <w:rsid w:val="00CA44EC"/>
    <w:rsid w:val="00CD4019"/>
    <w:rsid w:val="00CD6187"/>
    <w:rsid w:val="00CF4276"/>
    <w:rsid w:val="00CF660C"/>
    <w:rsid w:val="00CF7655"/>
    <w:rsid w:val="00D05547"/>
    <w:rsid w:val="00D15F86"/>
    <w:rsid w:val="00D2540C"/>
    <w:rsid w:val="00D254BF"/>
    <w:rsid w:val="00D42D51"/>
    <w:rsid w:val="00D60DF8"/>
    <w:rsid w:val="00D64D91"/>
    <w:rsid w:val="00D708CE"/>
    <w:rsid w:val="00D717DC"/>
    <w:rsid w:val="00D77540"/>
    <w:rsid w:val="00D81829"/>
    <w:rsid w:val="00D9216B"/>
    <w:rsid w:val="00D92575"/>
    <w:rsid w:val="00DA0537"/>
    <w:rsid w:val="00DA5792"/>
    <w:rsid w:val="00DA6CC5"/>
    <w:rsid w:val="00DB7219"/>
    <w:rsid w:val="00DC122E"/>
    <w:rsid w:val="00DD4E62"/>
    <w:rsid w:val="00DE2A15"/>
    <w:rsid w:val="00E129A1"/>
    <w:rsid w:val="00E202F3"/>
    <w:rsid w:val="00E47910"/>
    <w:rsid w:val="00E7155E"/>
    <w:rsid w:val="00E7242A"/>
    <w:rsid w:val="00E76A1D"/>
    <w:rsid w:val="00EB4858"/>
    <w:rsid w:val="00EC1E1A"/>
    <w:rsid w:val="00ED238A"/>
    <w:rsid w:val="00ED2419"/>
    <w:rsid w:val="00EE677B"/>
    <w:rsid w:val="00EE6AB2"/>
    <w:rsid w:val="00EE7698"/>
    <w:rsid w:val="00EF3846"/>
    <w:rsid w:val="00F0171F"/>
    <w:rsid w:val="00F11763"/>
    <w:rsid w:val="00F501FC"/>
    <w:rsid w:val="00F614F9"/>
    <w:rsid w:val="00F62A3A"/>
    <w:rsid w:val="00F80E36"/>
    <w:rsid w:val="00F82FA9"/>
    <w:rsid w:val="00F853B3"/>
    <w:rsid w:val="00FB4ECD"/>
    <w:rsid w:val="00FC297F"/>
    <w:rsid w:val="00FD0279"/>
    <w:rsid w:val="00FD0E71"/>
  </w:rsids>
  <m:mathPr>
    <m:mathFont m:val="Cambria Math"/>
    <m:brkBin m:val="before"/>
    <m:brkBinSub m:val="--"/>
    <m:smallFrac m:val="0"/>
    <m:dispDef/>
    <m:lMargin m:val="0"/>
    <m:rMargin m:val="0"/>
    <m:defJc m:val="centerGroup"/>
    <m:wrapIndent m:val="1440"/>
    <m:intLim m:val="subSup"/>
    <m:naryLim m:val="undOvr"/>
  </m:mathPr>
  <w:themeFontLang w:val="es-C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452ADC9"/>
  <w15:docId w15:val="{DA5E9BE9-CF9A-3543-BDCE-ECC27D1E34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s-CL"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4509E"/>
    <w:rPr>
      <w:rFonts w:ascii="Times New Roman" w:eastAsia="Times New Roman" w:hAnsi="Times New Roman" w:cs="Times New Roman"/>
      <w:lang w:eastAsia="es-ES_tradnl"/>
    </w:rPr>
  </w:style>
  <w:style w:type="paragraph" w:styleId="Ttulo1">
    <w:name w:val="heading 1"/>
    <w:basedOn w:val="Normal"/>
    <w:next w:val="Normal"/>
    <w:link w:val="Ttulo1Car"/>
    <w:uiPriority w:val="9"/>
    <w:qFormat/>
    <w:rsid w:val="006F4631"/>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Nmerodelnea">
    <w:name w:val="line number"/>
    <w:basedOn w:val="Fuentedeprrafopredeter"/>
    <w:uiPriority w:val="99"/>
    <w:semiHidden/>
    <w:unhideWhenUsed/>
    <w:rsid w:val="006F4631"/>
  </w:style>
  <w:style w:type="paragraph" w:styleId="Piedepgina">
    <w:name w:val="footer"/>
    <w:basedOn w:val="Normal"/>
    <w:link w:val="PiedepginaCar"/>
    <w:uiPriority w:val="99"/>
    <w:unhideWhenUsed/>
    <w:rsid w:val="006F4631"/>
    <w:pPr>
      <w:tabs>
        <w:tab w:val="center" w:pos="4419"/>
        <w:tab w:val="right" w:pos="8838"/>
      </w:tabs>
    </w:pPr>
  </w:style>
  <w:style w:type="character" w:customStyle="1" w:styleId="PiedepginaCar">
    <w:name w:val="Pie de página Car"/>
    <w:basedOn w:val="Fuentedeprrafopredeter"/>
    <w:link w:val="Piedepgina"/>
    <w:uiPriority w:val="99"/>
    <w:rsid w:val="006F4631"/>
  </w:style>
  <w:style w:type="character" w:styleId="Nmerodepgina">
    <w:name w:val="page number"/>
    <w:basedOn w:val="Fuentedeprrafopredeter"/>
    <w:uiPriority w:val="99"/>
    <w:semiHidden/>
    <w:unhideWhenUsed/>
    <w:rsid w:val="006F4631"/>
  </w:style>
  <w:style w:type="character" w:styleId="Refdecomentario">
    <w:name w:val="annotation reference"/>
    <w:basedOn w:val="Fuentedeprrafopredeter"/>
    <w:uiPriority w:val="99"/>
    <w:semiHidden/>
    <w:unhideWhenUsed/>
    <w:rsid w:val="006F4631"/>
    <w:rPr>
      <w:sz w:val="16"/>
      <w:szCs w:val="16"/>
    </w:rPr>
  </w:style>
  <w:style w:type="paragraph" w:styleId="Textocomentario">
    <w:name w:val="annotation text"/>
    <w:basedOn w:val="Normal"/>
    <w:link w:val="TextocomentarioCar"/>
    <w:uiPriority w:val="99"/>
    <w:semiHidden/>
    <w:unhideWhenUsed/>
    <w:rsid w:val="006F4631"/>
    <w:rPr>
      <w:sz w:val="20"/>
      <w:szCs w:val="20"/>
    </w:rPr>
  </w:style>
  <w:style w:type="character" w:customStyle="1" w:styleId="TextocomentarioCar">
    <w:name w:val="Texto comentario Car"/>
    <w:basedOn w:val="Fuentedeprrafopredeter"/>
    <w:link w:val="Textocomentario"/>
    <w:uiPriority w:val="99"/>
    <w:semiHidden/>
    <w:rsid w:val="006F4631"/>
    <w:rPr>
      <w:sz w:val="20"/>
      <w:szCs w:val="20"/>
    </w:rPr>
  </w:style>
  <w:style w:type="paragraph" w:styleId="Asuntodelcomentario">
    <w:name w:val="annotation subject"/>
    <w:basedOn w:val="Textocomentario"/>
    <w:next w:val="Textocomentario"/>
    <w:link w:val="AsuntodelcomentarioCar"/>
    <w:uiPriority w:val="99"/>
    <w:semiHidden/>
    <w:unhideWhenUsed/>
    <w:rsid w:val="006F4631"/>
    <w:rPr>
      <w:b/>
      <w:bCs/>
    </w:rPr>
  </w:style>
  <w:style w:type="character" w:customStyle="1" w:styleId="AsuntodelcomentarioCar">
    <w:name w:val="Asunto del comentario Car"/>
    <w:basedOn w:val="TextocomentarioCar"/>
    <w:link w:val="Asuntodelcomentario"/>
    <w:uiPriority w:val="99"/>
    <w:semiHidden/>
    <w:rsid w:val="006F4631"/>
    <w:rPr>
      <w:b/>
      <w:bCs/>
      <w:sz w:val="20"/>
      <w:szCs w:val="20"/>
    </w:rPr>
  </w:style>
  <w:style w:type="paragraph" w:styleId="Textodeglobo">
    <w:name w:val="Balloon Text"/>
    <w:basedOn w:val="Normal"/>
    <w:link w:val="TextodegloboCar"/>
    <w:uiPriority w:val="99"/>
    <w:semiHidden/>
    <w:unhideWhenUsed/>
    <w:rsid w:val="006F4631"/>
    <w:rPr>
      <w:sz w:val="18"/>
      <w:szCs w:val="18"/>
    </w:rPr>
  </w:style>
  <w:style w:type="character" w:customStyle="1" w:styleId="TextodegloboCar">
    <w:name w:val="Texto de globo Car"/>
    <w:basedOn w:val="Fuentedeprrafopredeter"/>
    <w:link w:val="Textodeglobo"/>
    <w:uiPriority w:val="99"/>
    <w:semiHidden/>
    <w:rsid w:val="006F4631"/>
    <w:rPr>
      <w:rFonts w:ascii="Times New Roman" w:hAnsi="Times New Roman" w:cs="Times New Roman"/>
      <w:sz w:val="18"/>
      <w:szCs w:val="18"/>
    </w:rPr>
  </w:style>
  <w:style w:type="character" w:customStyle="1" w:styleId="Ttulo1Car">
    <w:name w:val="Título 1 Car"/>
    <w:basedOn w:val="Fuentedeprrafopredeter"/>
    <w:link w:val="Ttulo1"/>
    <w:uiPriority w:val="9"/>
    <w:rsid w:val="006F4631"/>
    <w:rPr>
      <w:rFonts w:asciiTheme="majorHAnsi" w:eastAsiaTheme="majorEastAsia" w:hAnsiTheme="majorHAnsi" w:cstheme="majorBidi"/>
      <w:color w:val="2F5496" w:themeColor="accent1" w:themeShade="BF"/>
      <w:sz w:val="32"/>
      <w:szCs w:val="32"/>
    </w:rPr>
  </w:style>
  <w:style w:type="paragraph" w:styleId="Prrafodelista">
    <w:name w:val="List Paragraph"/>
    <w:basedOn w:val="Normal"/>
    <w:uiPriority w:val="34"/>
    <w:qFormat/>
    <w:rsid w:val="00CF7655"/>
    <w:pPr>
      <w:ind w:left="720"/>
      <w:contextualSpacing/>
    </w:pPr>
  </w:style>
  <w:style w:type="table" w:styleId="Tablaconcuadrcula">
    <w:name w:val="Table Grid"/>
    <w:basedOn w:val="Tablanormal"/>
    <w:uiPriority w:val="39"/>
    <w:rsid w:val="00CF76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21">
    <w:name w:val="Tabla normal 21"/>
    <w:basedOn w:val="Tablanormal"/>
    <w:uiPriority w:val="42"/>
    <w:rsid w:val="00CF7655"/>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normal51">
    <w:name w:val="Tabla normal 51"/>
    <w:basedOn w:val="Tablanormal"/>
    <w:uiPriority w:val="45"/>
    <w:rsid w:val="00BC7C94"/>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concuadrculaclara1">
    <w:name w:val="Tabla con cuadrícula clara1"/>
    <w:basedOn w:val="Tablanormal"/>
    <w:uiPriority w:val="40"/>
    <w:rsid w:val="00BC7C9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normal11">
    <w:name w:val="Tabla normal 11"/>
    <w:basedOn w:val="Tablanormal"/>
    <w:uiPriority w:val="41"/>
    <w:rsid w:val="00BC7C94"/>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31">
    <w:name w:val="Tabla normal 31"/>
    <w:basedOn w:val="Tablanormal"/>
    <w:uiPriority w:val="43"/>
    <w:rsid w:val="00BC7C94"/>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laconcuadrcula1clara-nfasis11">
    <w:name w:val="Tabla con cuadrícula 1 clara - Énfasis 11"/>
    <w:basedOn w:val="Tablanormal"/>
    <w:uiPriority w:val="46"/>
    <w:rsid w:val="00A77DF7"/>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styleId="Encabezado">
    <w:name w:val="header"/>
    <w:basedOn w:val="Normal"/>
    <w:link w:val="EncabezadoCar"/>
    <w:uiPriority w:val="99"/>
    <w:unhideWhenUsed/>
    <w:rsid w:val="00480AF0"/>
    <w:pPr>
      <w:tabs>
        <w:tab w:val="center" w:pos="4419"/>
        <w:tab w:val="right" w:pos="8838"/>
      </w:tabs>
    </w:pPr>
  </w:style>
  <w:style w:type="character" w:customStyle="1" w:styleId="EncabezadoCar">
    <w:name w:val="Encabezado Car"/>
    <w:basedOn w:val="Fuentedeprrafopredeter"/>
    <w:link w:val="Encabezado"/>
    <w:uiPriority w:val="99"/>
    <w:rsid w:val="00480AF0"/>
  </w:style>
  <w:style w:type="paragraph" w:styleId="Revisin">
    <w:name w:val="Revision"/>
    <w:hidden/>
    <w:uiPriority w:val="99"/>
    <w:semiHidden/>
    <w:rsid w:val="00186A79"/>
  </w:style>
  <w:style w:type="character" w:styleId="Hipervnculo">
    <w:name w:val="Hyperlink"/>
    <w:basedOn w:val="Fuentedeprrafopredeter"/>
    <w:uiPriority w:val="99"/>
    <w:unhideWhenUsed/>
    <w:rsid w:val="007822FA"/>
    <w:rPr>
      <w:color w:val="0563C1" w:themeColor="hyperlink"/>
      <w:u w:val="single"/>
    </w:rPr>
  </w:style>
  <w:style w:type="character" w:styleId="Mencinsinresolver">
    <w:name w:val="Unresolved Mention"/>
    <w:basedOn w:val="Fuentedeprrafopredeter"/>
    <w:uiPriority w:val="99"/>
    <w:semiHidden/>
    <w:unhideWhenUsed/>
    <w:rsid w:val="007822FA"/>
    <w:rPr>
      <w:color w:val="605E5C"/>
      <w:shd w:val="clear" w:color="auto" w:fill="E1DFDD"/>
    </w:rPr>
  </w:style>
  <w:style w:type="paragraph" w:styleId="Sinespaciado">
    <w:name w:val="No Spacing"/>
    <w:uiPriority w:val="1"/>
    <w:qFormat/>
    <w:rsid w:val="00D717DC"/>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372504">
      <w:bodyDiv w:val="1"/>
      <w:marLeft w:val="0"/>
      <w:marRight w:val="0"/>
      <w:marTop w:val="0"/>
      <w:marBottom w:val="0"/>
      <w:divBdr>
        <w:top w:val="none" w:sz="0" w:space="0" w:color="auto"/>
        <w:left w:val="none" w:sz="0" w:space="0" w:color="auto"/>
        <w:bottom w:val="none" w:sz="0" w:space="0" w:color="auto"/>
        <w:right w:val="none" w:sz="0" w:space="0" w:color="auto"/>
      </w:divBdr>
    </w:div>
    <w:div w:id="91323951">
      <w:bodyDiv w:val="1"/>
      <w:marLeft w:val="0"/>
      <w:marRight w:val="0"/>
      <w:marTop w:val="0"/>
      <w:marBottom w:val="0"/>
      <w:divBdr>
        <w:top w:val="none" w:sz="0" w:space="0" w:color="auto"/>
        <w:left w:val="none" w:sz="0" w:space="0" w:color="auto"/>
        <w:bottom w:val="none" w:sz="0" w:space="0" w:color="auto"/>
        <w:right w:val="none" w:sz="0" w:space="0" w:color="auto"/>
      </w:divBdr>
    </w:div>
    <w:div w:id="172257644">
      <w:bodyDiv w:val="1"/>
      <w:marLeft w:val="0"/>
      <w:marRight w:val="0"/>
      <w:marTop w:val="0"/>
      <w:marBottom w:val="0"/>
      <w:divBdr>
        <w:top w:val="none" w:sz="0" w:space="0" w:color="auto"/>
        <w:left w:val="none" w:sz="0" w:space="0" w:color="auto"/>
        <w:bottom w:val="none" w:sz="0" w:space="0" w:color="auto"/>
        <w:right w:val="none" w:sz="0" w:space="0" w:color="auto"/>
      </w:divBdr>
    </w:div>
    <w:div w:id="662316182">
      <w:bodyDiv w:val="1"/>
      <w:marLeft w:val="0"/>
      <w:marRight w:val="0"/>
      <w:marTop w:val="0"/>
      <w:marBottom w:val="0"/>
      <w:divBdr>
        <w:top w:val="none" w:sz="0" w:space="0" w:color="auto"/>
        <w:left w:val="none" w:sz="0" w:space="0" w:color="auto"/>
        <w:bottom w:val="none" w:sz="0" w:space="0" w:color="auto"/>
        <w:right w:val="none" w:sz="0" w:space="0" w:color="auto"/>
      </w:divBdr>
    </w:div>
    <w:div w:id="679478282">
      <w:bodyDiv w:val="1"/>
      <w:marLeft w:val="0"/>
      <w:marRight w:val="0"/>
      <w:marTop w:val="0"/>
      <w:marBottom w:val="0"/>
      <w:divBdr>
        <w:top w:val="none" w:sz="0" w:space="0" w:color="auto"/>
        <w:left w:val="none" w:sz="0" w:space="0" w:color="auto"/>
        <w:bottom w:val="none" w:sz="0" w:space="0" w:color="auto"/>
        <w:right w:val="none" w:sz="0" w:space="0" w:color="auto"/>
      </w:divBdr>
    </w:div>
    <w:div w:id="959729068">
      <w:bodyDiv w:val="1"/>
      <w:marLeft w:val="0"/>
      <w:marRight w:val="0"/>
      <w:marTop w:val="0"/>
      <w:marBottom w:val="0"/>
      <w:divBdr>
        <w:top w:val="none" w:sz="0" w:space="0" w:color="auto"/>
        <w:left w:val="none" w:sz="0" w:space="0" w:color="auto"/>
        <w:bottom w:val="none" w:sz="0" w:space="0" w:color="auto"/>
        <w:right w:val="none" w:sz="0" w:space="0" w:color="auto"/>
      </w:divBdr>
    </w:div>
    <w:div w:id="1251961440">
      <w:bodyDiv w:val="1"/>
      <w:marLeft w:val="0"/>
      <w:marRight w:val="0"/>
      <w:marTop w:val="0"/>
      <w:marBottom w:val="0"/>
      <w:divBdr>
        <w:top w:val="none" w:sz="0" w:space="0" w:color="auto"/>
        <w:left w:val="none" w:sz="0" w:space="0" w:color="auto"/>
        <w:bottom w:val="none" w:sz="0" w:space="0" w:color="auto"/>
        <w:right w:val="none" w:sz="0" w:space="0" w:color="auto"/>
      </w:divBdr>
    </w:div>
    <w:div w:id="1264876054">
      <w:bodyDiv w:val="1"/>
      <w:marLeft w:val="0"/>
      <w:marRight w:val="0"/>
      <w:marTop w:val="0"/>
      <w:marBottom w:val="0"/>
      <w:divBdr>
        <w:top w:val="none" w:sz="0" w:space="0" w:color="auto"/>
        <w:left w:val="none" w:sz="0" w:space="0" w:color="auto"/>
        <w:bottom w:val="none" w:sz="0" w:space="0" w:color="auto"/>
        <w:right w:val="none" w:sz="0" w:space="0" w:color="auto"/>
      </w:divBdr>
    </w:div>
    <w:div w:id="1489635402">
      <w:bodyDiv w:val="1"/>
      <w:marLeft w:val="0"/>
      <w:marRight w:val="0"/>
      <w:marTop w:val="0"/>
      <w:marBottom w:val="0"/>
      <w:divBdr>
        <w:top w:val="none" w:sz="0" w:space="0" w:color="auto"/>
        <w:left w:val="none" w:sz="0" w:space="0" w:color="auto"/>
        <w:bottom w:val="none" w:sz="0" w:space="0" w:color="auto"/>
        <w:right w:val="none" w:sz="0" w:space="0" w:color="auto"/>
      </w:divBdr>
    </w:div>
    <w:div w:id="1607032952">
      <w:bodyDiv w:val="1"/>
      <w:marLeft w:val="0"/>
      <w:marRight w:val="0"/>
      <w:marTop w:val="0"/>
      <w:marBottom w:val="0"/>
      <w:divBdr>
        <w:top w:val="none" w:sz="0" w:space="0" w:color="auto"/>
        <w:left w:val="none" w:sz="0" w:space="0" w:color="auto"/>
        <w:bottom w:val="none" w:sz="0" w:space="0" w:color="auto"/>
        <w:right w:val="none" w:sz="0" w:space="0" w:color="auto"/>
      </w:divBdr>
    </w:div>
    <w:div w:id="1754084604">
      <w:bodyDiv w:val="1"/>
      <w:marLeft w:val="0"/>
      <w:marRight w:val="0"/>
      <w:marTop w:val="0"/>
      <w:marBottom w:val="0"/>
      <w:divBdr>
        <w:top w:val="none" w:sz="0" w:space="0" w:color="auto"/>
        <w:left w:val="none" w:sz="0" w:space="0" w:color="auto"/>
        <w:bottom w:val="none" w:sz="0" w:space="0" w:color="auto"/>
        <w:right w:val="none" w:sz="0" w:space="0" w:color="auto"/>
      </w:divBdr>
    </w:div>
    <w:div w:id="1812165507">
      <w:bodyDiv w:val="1"/>
      <w:marLeft w:val="0"/>
      <w:marRight w:val="0"/>
      <w:marTop w:val="0"/>
      <w:marBottom w:val="0"/>
      <w:divBdr>
        <w:top w:val="none" w:sz="0" w:space="0" w:color="auto"/>
        <w:left w:val="none" w:sz="0" w:space="0" w:color="auto"/>
        <w:bottom w:val="none" w:sz="0" w:space="0" w:color="auto"/>
        <w:right w:val="none" w:sz="0" w:space="0" w:color="auto"/>
      </w:divBdr>
    </w:div>
    <w:div w:id="1884245873">
      <w:bodyDiv w:val="1"/>
      <w:marLeft w:val="0"/>
      <w:marRight w:val="0"/>
      <w:marTop w:val="0"/>
      <w:marBottom w:val="0"/>
      <w:divBdr>
        <w:top w:val="none" w:sz="0" w:space="0" w:color="auto"/>
        <w:left w:val="none" w:sz="0" w:space="0" w:color="auto"/>
        <w:bottom w:val="none" w:sz="0" w:space="0" w:color="auto"/>
        <w:right w:val="none" w:sz="0" w:space="0" w:color="auto"/>
      </w:divBdr>
    </w:div>
    <w:div w:id="1902714833">
      <w:bodyDiv w:val="1"/>
      <w:marLeft w:val="0"/>
      <w:marRight w:val="0"/>
      <w:marTop w:val="0"/>
      <w:marBottom w:val="0"/>
      <w:divBdr>
        <w:top w:val="none" w:sz="0" w:space="0" w:color="auto"/>
        <w:left w:val="none" w:sz="0" w:space="0" w:color="auto"/>
        <w:bottom w:val="none" w:sz="0" w:space="0" w:color="auto"/>
        <w:right w:val="none" w:sz="0" w:space="0" w:color="auto"/>
      </w:divBdr>
    </w:div>
    <w:div w:id="1960723219">
      <w:bodyDiv w:val="1"/>
      <w:marLeft w:val="0"/>
      <w:marRight w:val="0"/>
      <w:marTop w:val="0"/>
      <w:marBottom w:val="0"/>
      <w:divBdr>
        <w:top w:val="none" w:sz="0" w:space="0" w:color="auto"/>
        <w:left w:val="none" w:sz="0" w:space="0" w:color="auto"/>
        <w:bottom w:val="none" w:sz="0" w:space="0" w:color="auto"/>
        <w:right w:val="none" w:sz="0" w:space="0" w:color="auto"/>
      </w:divBdr>
    </w:div>
    <w:div w:id="2048799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5.xml"/><Relationship Id="rId18" Type="http://schemas.openxmlformats.org/officeDocument/2006/relationships/chart" Target="charts/chart5.xml"/><Relationship Id="rId26" Type="http://schemas.microsoft.com/office/2018/08/relationships/commentsExtensible" Target="commentsExtensible.xml"/><Relationship Id="rId3" Type="http://schemas.openxmlformats.org/officeDocument/2006/relationships/styles" Target="styles.xml"/><Relationship Id="rId21" Type="http://schemas.openxmlformats.org/officeDocument/2006/relationships/chart" Target="charts/chart8.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chart" Target="charts/chart4.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footer" Target="footer6.xml"/><Relationship Id="rId10" Type="http://schemas.openxmlformats.org/officeDocument/2006/relationships/footer" Target="footer2.xml"/><Relationship Id="rId19" Type="http://schemas.openxmlformats.org/officeDocument/2006/relationships/chart" Target="charts/chart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chart" Target="charts/chart9.xml"/></Relationships>
</file>

<file path=word/charts/_rels/chart1.xml.rels><?xml version="1.0" encoding="UTF-8" standalone="yes"?>
<Relationships xmlns="http://schemas.openxmlformats.org/package/2006/relationships"><Relationship Id="rId3" Type="http://schemas.openxmlformats.org/officeDocument/2006/relationships/oleObject" Target="file:////Users\munozfelipeig\Dropbox\Proyecto_UCI-bundle\Matriz%20extraccio&#769;n%20de%20datos%20_UCI-bundle.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Hoja_de_c_lculo_de_Microsoft_Excel4.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Hoja_de_c_lculo_de_Microsoft_Excel5.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Hoja_de_c_lculo_de_Microsoft_Excel6.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Hoja_de_c_lculo_de_Microsoft_Excel7.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s-ES_tradnl" sz="1400" b="0" i="0" baseline="0">
                <a:effectLst/>
              </a:rPr>
              <a:t>Cumplimiento del ABCDEF </a:t>
            </a:r>
            <a:r>
              <a:rPr lang="es-ES_tradnl" sz="1400" b="0" i="0" u="none" strike="noStrike" kern="1200" cap="none" spc="20" baseline="0">
                <a:solidFill>
                  <a:sysClr val="windowText" lastClr="000000">
                    <a:lumMod val="50000"/>
                    <a:lumOff val="50000"/>
                  </a:sysClr>
                </a:solidFill>
                <a:effectLst/>
                <a:latin typeface="+mn-lt"/>
                <a:ea typeface="+mn-ea"/>
                <a:cs typeface="+mn-cs"/>
              </a:rPr>
              <a:t>“bundle”</a:t>
            </a:r>
            <a:r>
              <a:rPr lang="es-ES_tradnl" sz="1400" b="0" i="0" baseline="0">
                <a:effectLst/>
              </a:rPr>
              <a:t> </a:t>
            </a:r>
            <a:endParaRPr lang="es-CL" sz="1100">
              <a:effectLst/>
            </a:endParaRP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CL"/>
        </a:p>
      </c:txPr>
    </c:title>
    <c:autoTitleDeleted val="0"/>
    <c:plotArea>
      <c:layout/>
      <c:radarChart>
        <c:radarStyle val="marker"/>
        <c:varyColors val="0"/>
        <c:ser>
          <c:idx val="0"/>
          <c:order val="0"/>
          <c:tx>
            <c:strRef>
              <c:f>'Grafico Radial 1'!$D$5</c:f>
              <c:strCache>
                <c:ptCount val="1"/>
                <c:pt idx="0">
                  <c:v>% cumplimiento marzo-agosto 2019</c:v>
                </c:pt>
              </c:strCache>
            </c:strRef>
          </c:tx>
          <c:spPr>
            <a:ln w="15875" cap="rnd">
              <a:solidFill>
                <a:schemeClr val="accent1"/>
              </a:solidFill>
              <a:round/>
            </a:ln>
            <a:effectLst/>
          </c:spPr>
          <c:marker>
            <c:symbol val="none"/>
          </c:marker>
          <c:cat>
            <c:strRef>
              <c:f>'Grafico Radial 1'!$C$6:$C$12</c:f>
              <c:strCache>
                <c:ptCount val="7"/>
                <c:pt idx="0">
                  <c:v>A</c:v>
                </c:pt>
                <c:pt idx="1">
                  <c:v>F</c:v>
                </c:pt>
                <c:pt idx="2">
                  <c:v>E</c:v>
                </c:pt>
                <c:pt idx="3">
                  <c:v>D</c:v>
                </c:pt>
                <c:pt idx="4">
                  <c:v>C</c:v>
                </c:pt>
                <c:pt idx="5">
                  <c:v>B2</c:v>
                </c:pt>
                <c:pt idx="6">
                  <c:v>B1</c:v>
                </c:pt>
              </c:strCache>
            </c:strRef>
          </c:cat>
          <c:val>
            <c:numRef>
              <c:f>'Grafico Radial 1'!$D$6:$D$12</c:f>
              <c:numCache>
                <c:formatCode>General</c:formatCode>
                <c:ptCount val="7"/>
                <c:pt idx="0">
                  <c:v>18.899999999999999</c:v>
                </c:pt>
                <c:pt idx="1">
                  <c:v>0.17</c:v>
                </c:pt>
                <c:pt idx="2">
                  <c:v>66.900000000000006</c:v>
                </c:pt>
                <c:pt idx="3">
                  <c:v>20</c:v>
                </c:pt>
                <c:pt idx="4">
                  <c:v>40.4</c:v>
                </c:pt>
                <c:pt idx="5">
                  <c:v>10.5</c:v>
                </c:pt>
                <c:pt idx="6">
                  <c:v>0</c:v>
                </c:pt>
              </c:numCache>
            </c:numRef>
          </c:val>
          <c:extLst>
            <c:ext xmlns:c16="http://schemas.microsoft.com/office/drawing/2014/chart" uri="{C3380CC4-5D6E-409C-BE32-E72D297353CC}">
              <c16:uniqueId val="{00000000-ADF7-224E-B002-F007C26E63A7}"/>
            </c:ext>
          </c:extLst>
        </c:ser>
        <c:ser>
          <c:idx val="1"/>
          <c:order val="1"/>
          <c:tx>
            <c:strRef>
              <c:f>'Grafico Radial 1'!$E$5</c:f>
              <c:strCache>
                <c:ptCount val="1"/>
                <c:pt idx="0">
                  <c:v>ICU-LIBERATION</c:v>
                </c:pt>
              </c:strCache>
            </c:strRef>
          </c:tx>
          <c:spPr>
            <a:ln w="15875" cap="rnd">
              <a:solidFill>
                <a:schemeClr val="accent2"/>
              </a:solidFill>
              <a:round/>
            </a:ln>
            <a:effectLst/>
          </c:spPr>
          <c:marker>
            <c:symbol val="none"/>
          </c:marker>
          <c:cat>
            <c:strRef>
              <c:f>'Grafico Radial 1'!$C$6:$C$12</c:f>
              <c:strCache>
                <c:ptCount val="7"/>
                <c:pt idx="0">
                  <c:v>A</c:v>
                </c:pt>
                <c:pt idx="1">
                  <c:v>F</c:v>
                </c:pt>
                <c:pt idx="2">
                  <c:v>E</c:v>
                </c:pt>
                <c:pt idx="3">
                  <c:v>D</c:v>
                </c:pt>
                <c:pt idx="4">
                  <c:v>C</c:v>
                </c:pt>
                <c:pt idx="5">
                  <c:v>B2</c:v>
                </c:pt>
                <c:pt idx="6">
                  <c:v>B1</c:v>
                </c:pt>
              </c:strCache>
            </c:strRef>
          </c:cat>
          <c:val>
            <c:numRef>
              <c:f>'Grafico Radial 1'!$E$6:$E$12</c:f>
              <c:numCache>
                <c:formatCode>General</c:formatCode>
                <c:ptCount val="7"/>
                <c:pt idx="0">
                  <c:v>77</c:v>
                </c:pt>
                <c:pt idx="1">
                  <c:v>63</c:v>
                </c:pt>
                <c:pt idx="2">
                  <c:v>29</c:v>
                </c:pt>
                <c:pt idx="3">
                  <c:v>56</c:v>
                </c:pt>
                <c:pt idx="4">
                  <c:v>59</c:v>
                </c:pt>
                <c:pt idx="5">
                  <c:v>36</c:v>
                </c:pt>
                <c:pt idx="6">
                  <c:v>34</c:v>
                </c:pt>
              </c:numCache>
            </c:numRef>
          </c:val>
          <c:extLst>
            <c:ext xmlns:c16="http://schemas.microsoft.com/office/drawing/2014/chart" uri="{C3380CC4-5D6E-409C-BE32-E72D297353CC}">
              <c16:uniqueId val="{00000001-ADF7-224E-B002-F007C26E63A7}"/>
            </c:ext>
          </c:extLst>
        </c:ser>
        <c:ser>
          <c:idx val="2"/>
          <c:order val="2"/>
          <c:tx>
            <c:strRef>
              <c:f>'Grafico Radial 1'!$F$5</c:f>
              <c:strCache>
                <c:ptCount val="1"/>
                <c:pt idx="0">
                  <c:v>"IDEAL"</c:v>
                </c:pt>
              </c:strCache>
            </c:strRef>
          </c:tx>
          <c:spPr>
            <a:ln w="15875" cap="rnd">
              <a:solidFill>
                <a:schemeClr val="accent3"/>
              </a:solidFill>
              <a:round/>
            </a:ln>
            <a:effectLst/>
          </c:spPr>
          <c:marker>
            <c:symbol val="none"/>
          </c:marker>
          <c:cat>
            <c:strRef>
              <c:f>'Grafico Radial 1'!$C$6:$C$12</c:f>
              <c:strCache>
                <c:ptCount val="7"/>
                <c:pt idx="0">
                  <c:v>A</c:v>
                </c:pt>
                <c:pt idx="1">
                  <c:v>F</c:v>
                </c:pt>
                <c:pt idx="2">
                  <c:v>E</c:v>
                </c:pt>
                <c:pt idx="3">
                  <c:v>D</c:v>
                </c:pt>
                <c:pt idx="4">
                  <c:v>C</c:v>
                </c:pt>
                <c:pt idx="5">
                  <c:v>B2</c:v>
                </c:pt>
                <c:pt idx="6">
                  <c:v>B1</c:v>
                </c:pt>
              </c:strCache>
            </c:strRef>
          </c:cat>
          <c:val>
            <c:numRef>
              <c:f>'Grafico Radial 1'!$F$6:$F$12</c:f>
              <c:numCache>
                <c:formatCode>General</c:formatCode>
                <c:ptCount val="7"/>
                <c:pt idx="0">
                  <c:v>100</c:v>
                </c:pt>
                <c:pt idx="1">
                  <c:v>100</c:v>
                </c:pt>
                <c:pt idx="2">
                  <c:v>100</c:v>
                </c:pt>
                <c:pt idx="3">
                  <c:v>100</c:v>
                </c:pt>
                <c:pt idx="4">
                  <c:v>100</c:v>
                </c:pt>
                <c:pt idx="5">
                  <c:v>100</c:v>
                </c:pt>
                <c:pt idx="6">
                  <c:v>100</c:v>
                </c:pt>
              </c:numCache>
            </c:numRef>
          </c:val>
          <c:extLst>
            <c:ext xmlns:c16="http://schemas.microsoft.com/office/drawing/2014/chart" uri="{C3380CC4-5D6E-409C-BE32-E72D297353CC}">
              <c16:uniqueId val="{00000002-ADF7-224E-B002-F007C26E63A7}"/>
            </c:ext>
          </c:extLst>
        </c:ser>
        <c:dLbls>
          <c:showLegendKey val="0"/>
          <c:showVal val="0"/>
          <c:showCatName val="0"/>
          <c:showSerName val="0"/>
          <c:showPercent val="0"/>
          <c:showBubbleSize val="0"/>
        </c:dLbls>
        <c:axId val="-2141436360"/>
        <c:axId val="-2141427000"/>
      </c:radarChart>
      <c:catAx>
        <c:axId val="-2141436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crossAx val="-2141427000"/>
        <c:crosses val="autoZero"/>
        <c:auto val="1"/>
        <c:lblAlgn val="ctr"/>
        <c:lblOffset val="100"/>
        <c:noMultiLvlLbl val="0"/>
      </c:catAx>
      <c:valAx>
        <c:axId val="-2141427000"/>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crossAx val="-2141436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Hoja1!$B$1</c:f>
              <c:strCache>
                <c:ptCount val="1"/>
                <c:pt idx="0">
                  <c:v>Médico</c:v>
                </c:pt>
              </c:strCache>
            </c:strRef>
          </c:tx>
          <c:spPr>
            <a:solidFill>
              <a:schemeClr val="accent1">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Hoja1!$A$3:$A$7</c:f>
              <c:strCache>
                <c:ptCount val="5"/>
                <c:pt idx="0">
                  <c:v>No ocupo ningun instrumento para evaluar dolor</c:v>
                </c:pt>
                <c:pt idx="1">
                  <c:v>Critical Care Pain Observation Tool (CPOT)</c:v>
                </c:pt>
                <c:pt idx="2">
                  <c:v>Behavioral Pain Scale (BPS)</c:v>
                </c:pt>
                <c:pt idx="3">
                  <c:v>Escala Visual Análoga (EVA)</c:v>
                </c:pt>
                <c:pt idx="4">
                  <c:v> Escala Numérica Análoga (ENA)</c:v>
                </c:pt>
              </c:strCache>
            </c:strRef>
          </c:cat>
          <c:val>
            <c:numRef>
              <c:f>Hoja1!$B$3:$B$7</c:f>
              <c:numCache>
                <c:formatCode>General</c:formatCode>
                <c:ptCount val="5"/>
                <c:pt idx="0">
                  <c:v>0</c:v>
                </c:pt>
                <c:pt idx="1">
                  <c:v>0</c:v>
                </c:pt>
                <c:pt idx="2">
                  <c:v>1</c:v>
                </c:pt>
                <c:pt idx="3">
                  <c:v>4</c:v>
                </c:pt>
                <c:pt idx="4">
                  <c:v>1</c:v>
                </c:pt>
              </c:numCache>
            </c:numRef>
          </c:val>
          <c:extLst>
            <c:ext xmlns:c16="http://schemas.microsoft.com/office/drawing/2014/chart" uri="{C3380CC4-5D6E-409C-BE32-E72D297353CC}">
              <c16:uniqueId val="{00000000-A8C7-5A4A-B9EB-F71407544F63}"/>
            </c:ext>
          </c:extLst>
        </c:ser>
        <c:ser>
          <c:idx val="1"/>
          <c:order val="1"/>
          <c:tx>
            <c:strRef>
              <c:f>Hoja1!$C$1</c:f>
              <c:strCache>
                <c:ptCount val="1"/>
                <c:pt idx="0">
                  <c:v>Enfermero</c:v>
                </c:pt>
              </c:strCache>
            </c:strRef>
          </c:tx>
          <c:spPr>
            <a:solidFill>
              <a:schemeClr val="accent2">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Hoja1!$A$3:$A$7</c:f>
              <c:strCache>
                <c:ptCount val="5"/>
                <c:pt idx="0">
                  <c:v>No ocupo ningun instrumento para evaluar dolor</c:v>
                </c:pt>
                <c:pt idx="1">
                  <c:v>Critical Care Pain Observation Tool (CPOT)</c:v>
                </c:pt>
                <c:pt idx="2">
                  <c:v>Behavioral Pain Scale (BPS)</c:v>
                </c:pt>
                <c:pt idx="3">
                  <c:v>Escala Visual Análoga (EVA)</c:v>
                </c:pt>
                <c:pt idx="4">
                  <c:v> Escala Numérica Análoga (ENA)</c:v>
                </c:pt>
              </c:strCache>
            </c:strRef>
          </c:cat>
          <c:val>
            <c:numRef>
              <c:f>Hoja1!$C$3:$C$7</c:f>
              <c:numCache>
                <c:formatCode>General</c:formatCode>
                <c:ptCount val="5"/>
                <c:pt idx="0">
                  <c:v>1</c:v>
                </c:pt>
                <c:pt idx="1">
                  <c:v>0</c:v>
                </c:pt>
                <c:pt idx="2">
                  <c:v>0</c:v>
                </c:pt>
                <c:pt idx="3">
                  <c:v>7</c:v>
                </c:pt>
                <c:pt idx="4">
                  <c:v>1</c:v>
                </c:pt>
              </c:numCache>
            </c:numRef>
          </c:val>
          <c:extLst>
            <c:ext xmlns:c16="http://schemas.microsoft.com/office/drawing/2014/chart" uri="{C3380CC4-5D6E-409C-BE32-E72D297353CC}">
              <c16:uniqueId val="{00000001-A8C7-5A4A-B9EB-F71407544F63}"/>
            </c:ext>
          </c:extLst>
        </c:ser>
        <c:ser>
          <c:idx val="2"/>
          <c:order val="2"/>
          <c:tx>
            <c:strRef>
              <c:f>Hoja1!$D$1</c:f>
              <c:strCache>
                <c:ptCount val="1"/>
                <c:pt idx="0">
                  <c:v>Kinesiólogo</c:v>
                </c:pt>
              </c:strCache>
            </c:strRef>
          </c:tx>
          <c:spPr>
            <a:solidFill>
              <a:schemeClr val="accent3">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Hoja1!$A$3:$A$7</c:f>
              <c:strCache>
                <c:ptCount val="5"/>
                <c:pt idx="0">
                  <c:v>No ocupo ningun instrumento para evaluar dolor</c:v>
                </c:pt>
                <c:pt idx="1">
                  <c:v>Critical Care Pain Observation Tool (CPOT)</c:v>
                </c:pt>
                <c:pt idx="2">
                  <c:v>Behavioral Pain Scale (BPS)</c:v>
                </c:pt>
                <c:pt idx="3">
                  <c:v>Escala Visual Análoga (EVA)</c:v>
                </c:pt>
                <c:pt idx="4">
                  <c:v> Escala Numérica Análoga (ENA)</c:v>
                </c:pt>
              </c:strCache>
            </c:strRef>
          </c:cat>
          <c:val>
            <c:numRef>
              <c:f>Hoja1!$D$3:$D$7</c:f>
              <c:numCache>
                <c:formatCode>General</c:formatCode>
                <c:ptCount val="5"/>
                <c:pt idx="0">
                  <c:v>0</c:v>
                </c:pt>
                <c:pt idx="1">
                  <c:v>0</c:v>
                </c:pt>
                <c:pt idx="2">
                  <c:v>0</c:v>
                </c:pt>
                <c:pt idx="3">
                  <c:v>1</c:v>
                </c:pt>
                <c:pt idx="4">
                  <c:v>2</c:v>
                </c:pt>
              </c:numCache>
            </c:numRef>
          </c:val>
          <c:extLst>
            <c:ext xmlns:c16="http://schemas.microsoft.com/office/drawing/2014/chart" uri="{C3380CC4-5D6E-409C-BE32-E72D297353CC}">
              <c16:uniqueId val="{00000002-A8C7-5A4A-B9EB-F71407544F63}"/>
            </c:ext>
          </c:extLst>
        </c:ser>
        <c:dLbls>
          <c:dLblPos val="ctr"/>
          <c:showLegendKey val="0"/>
          <c:showVal val="1"/>
          <c:showCatName val="0"/>
          <c:showSerName val="0"/>
          <c:showPercent val="0"/>
          <c:showBubbleSize val="0"/>
        </c:dLbls>
        <c:gapWidth val="50"/>
        <c:overlap val="100"/>
        <c:axId val="2134090632"/>
        <c:axId val="2134086968"/>
      </c:barChart>
      <c:catAx>
        <c:axId val="2134090632"/>
        <c:scaling>
          <c:orientation val="minMax"/>
        </c:scaling>
        <c:delete val="0"/>
        <c:axPos val="l"/>
        <c:numFmt formatCode="General" sourceLinked="1"/>
        <c:majorTickMark val="none"/>
        <c:minorTickMark val="none"/>
        <c:tickLblPos val="nextTo"/>
        <c:spPr>
          <a:noFill/>
          <a:ln w="9525" cap="flat" cmpd="sng" algn="ctr">
            <a:solidFill>
              <a:schemeClr val="tx1">
                <a:lumMod val="25000"/>
                <a:lumOff val="7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34086968"/>
        <c:crosses val="autoZero"/>
        <c:auto val="1"/>
        <c:lblAlgn val="ctr"/>
        <c:lblOffset val="100"/>
        <c:noMultiLvlLbl val="0"/>
      </c:catAx>
      <c:valAx>
        <c:axId val="2134086968"/>
        <c:scaling>
          <c:orientation val="minMax"/>
          <c:max val="12"/>
        </c:scaling>
        <c:delete val="0"/>
        <c:axPos val="b"/>
        <c:majorGridlines>
          <c:spPr>
            <a:ln w="9525" cap="flat" cmpd="sng" algn="ctr">
              <a:gradFill>
                <a:gsLst>
                  <a:gs pos="0">
                    <a:schemeClr val="tx1">
                      <a:lumMod val="5000"/>
                      <a:lumOff val="95000"/>
                    </a:schemeClr>
                  </a:gs>
                  <a:gs pos="100000">
                    <a:schemeClr val="tx1">
                      <a:lumMod val="15000"/>
                      <a:lumOff val="8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340906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Hoja1!$B$1</c:f>
              <c:strCache>
                <c:ptCount val="1"/>
                <c:pt idx="0">
                  <c:v>Médico</c:v>
                </c:pt>
              </c:strCache>
            </c:strRef>
          </c:tx>
          <c:spPr>
            <a:solidFill>
              <a:schemeClr val="accent1">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Hoja1!$A$2:$A$8</c:f>
              <c:strCache>
                <c:ptCount val="7"/>
                <c:pt idx="0">
                  <c:v>Signos clínicos como (FC, PA o expresión facial)</c:v>
                </c:pt>
                <c:pt idx="1">
                  <c:v>CAM-ICU</c:v>
                </c:pt>
                <c:pt idx="2">
                  <c:v>No ocupo ningun instrumento para evaluar dolor</c:v>
                </c:pt>
                <c:pt idx="3">
                  <c:v>Critical Care Pain Observation Tool (CPOT)</c:v>
                </c:pt>
                <c:pt idx="4">
                  <c:v>Behavioral Pain Scale (BPS)</c:v>
                </c:pt>
                <c:pt idx="5">
                  <c:v>Escala Visual Análoga (EVA)</c:v>
                </c:pt>
                <c:pt idx="6">
                  <c:v> Escala Numérica Análoga (ENA)</c:v>
                </c:pt>
              </c:strCache>
            </c:strRef>
          </c:cat>
          <c:val>
            <c:numRef>
              <c:f>Hoja1!$B$2:$B$8</c:f>
              <c:numCache>
                <c:formatCode>General</c:formatCode>
                <c:ptCount val="7"/>
                <c:pt idx="0">
                  <c:v>0</c:v>
                </c:pt>
                <c:pt idx="1">
                  <c:v>0</c:v>
                </c:pt>
                <c:pt idx="2">
                  <c:v>0</c:v>
                </c:pt>
                <c:pt idx="3">
                  <c:v>2</c:v>
                </c:pt>
                <c:pt idx="4">
                  <c:v>1</c:v>
                </c:pt>
                <c:pt idx="5">
                  <c:v>0</c:v>
                </c:pt>
                <c:pt idx="6">
                  <c:v>1</c:v>
                </c:pt>
              </c:numCache>
            </c:numRef>
          </c:val>
          <c:extLst>
            <c:ext xmlns:c16="http://schemas.microsoft.com/office/drawing/2014/chart" uri="{C3380CC4-5D6E-409C-BE32-E72D297353CC}">
              <c16:uniqueId val="{00000000-BB41-554D-9E19-6CE1F5CD0B18}"/>
            </c:ext>
          </c:extLst>
        </c:ser>
        <c:ser>
          <c:idx val="1"/>
          <c:order val="1"/>
          <c:tx>
            <c:strRef>
              <c:f>Hoja1!$C$1</c:f>
              <c:strCache>
                <c:ptCount val="1"/>
                <c:pt idx="0">
                  <c:v>Enfermero</c:v>
                </c:pt>
              </c:strCache>
            </c:strRef>
          </c:tx>
          <c:spPr>
            <a:solidFill>
              <a:schemeClr val="accent2">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Hoja1!$A$2:$A$8</c:f>
              <c:strCache>
                <c:ptCount val="7"/>
                <c:pt idx="0">
                  <c:v>Signos clínicos como (FC, PA o expresión facial)</c:v>
                </c:pt>
                <c:pt idx="1">
                  <c:v>CAM-ICU</c:v>
                </c:pt>
                <c:pt idx="2">
                  <c:v>No ocupo ningun instrumento para evaluar dolor</c:v>
                </c:pt>
                <c:pt idx="3">
                  <c:v>Critical Care Pain Observation Tool (CPOT)</c:v>
                </c:pt>
                <c:pt idx="4">
                  <c:v>Behavioral Pain Scale (BPS)</c:v>
                </c:pt>
                <c:pt idx="5">
                  <c:v>Escala Visual Análoga (EVA)</c:v>
                </c:pt>
                <c:pt idx="6">
                  <c:v> Escala Numérica Análoga (ENA)</c:v>
                </c:pt>
              </c:strCache>
            </c:strRef>
          </c:cat>
          <c:val>
            <c:numRef>
              <c:f>Hoja1!$C$2:$C$8</c:f>
              <c:numCache>
                <c:formatCode>General</c:formatCode>
                <c:ptCount val="7"/>
                <c:pt idx="0">
                  <c:v>3</c:v>
                </c:pt>
                <c:pt idx="1">
                  <c:v>1</c:v>
                </c:pt>
                <c:pt idx="2">
                  <c:v>2</c:v>
                </c:pt>
                <c:pt idx="3">
                  <c:v>0</c:v>
                </c:pt>
                <c:pt idx="4">
                  <c:v>0</c:v>
                </c:pt>
                <c:pt idx="5">
                  <c:v>2</c:v>
                </c:pt>
                <c:pt idx="6">
                  <c:v>0</c:v>
                </c:pt>
              </c:numCache>
            </c:numRef>
          </c:val>
          <c:extLst>
            <c:ext xmlns:c16="http://schemas.microsoft.com/office/drawing/2014/chart" uri="{C3380CC4-5D6E-409C-BE32-E72D297353CC}">
              <c16:uniqueId val="{00000001-BB41-554D-9E19-6CE1F5CD0B18}"/>
            </c:ext>
          </c:extLst>
        </c:ser>
        <c:ser>
          <c:idx val="2"/>
          <c:order val="2"/>
          <c:tx>
            <c:strRef>
              <c:f>Hoja1!$D$1</c:f>
              <c:strCache>
                <c:ptCount val="1"/>
                <c:pt idx="0">
                  <c:v>Kinesiólogo</c:v>
                </c:pt>
              </c:strCache>
            </c:strRef>
          </c:tx>
          <c:spPr>
            <a:solidFill>
              <a:schemeClr val="accent3">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Hoja1!$A$2:$A$8</c:f>
              <c:strCache>
                <c:ptCount val="7"/>
                <c:pt idx="0">
                  <c:v>Signos clínicos como (FC, PA o expresión facial)</c:v>
                </c:pt>
                <c:pt idx="1">
                  <c:v>CAM-ICU</c:v>
                </c:pt>
                <c:pt idx="2">
                  <c:v>No ocupo ningun instrumento para evaluar dolor</c:v>
                </c:pt>
                <c:pt idx="3">
                  <c:v>Critical Care Pain Observation Tool (CPOT)</c:v>
                </c:pt>
                <c:pt idx="4">
                  <c:v>Behavioral Pain Scale (BPS)</c:v>
                </c:pt>
                <c:pt idx="5">
                  <c:v>Escala Visual Análoga (EVA)</c:v>
                </c:pt>
                <c:pt idx="6">
                  <c:v> Escala Numérica Análoga (ENA)</c:v>
                </c:pt>
              </c:strCache>
            </c:strRef>
          </c:cat>
          <c:val>
            <c:numRef>
              <c:f>Hoja1!$D$2:$D$8</c:f>
              <c:numCache>
                <c:formatCode>General</c:formatCode>
                <c:ptCount val="7"/>
                <c:pt idx="0">
                  <c:v>1</c:v>
                </c:pt>
                <c:pt idx="1">
                  <c:v>0</c:v>
                </c:pt>
                <c:pt idx="2">
                  <c:v>2</c:v>
                </c:pt>
                <c:pt idx="3">
                  <c:v>0</c:v>
                </c:pt>
                <c:pt idx="4">
                  <c:v>0</c:v>
                </c:pt>
                <c:pt idx="5">
                  <c:v>0</c:v>
                </c:pt>
                <c:pt idx="6">
                  <c:v>0</c:v>
                </c:pt>
              </c:numCache>
            </c:numRef>
          </c:val>
          <c:extLst>
            <c:ext xmlns:c16="http://schemas.microsoft.com/office/drawing/2014/chart" uri="{C3380CC4-5D6E-409C-BE32-E72D297353CC}">
              <c16:uniqueId val="{00000002-BB41-554D-9E19-6CE1F5CD0B18}"/>
            </c:ext>
          </c:extLst>
        </c:ser>
        <c:dLbls>
          <c:dLblPos val="ctr"/>
          <c:showLegendKey val="0"/>
          <c:showVal val="1"/>
          <c:showCatName val="0"/>
          <c:showSerName val="0"/>
          <c:showPercent val="0"/>
          <c:showBubbleSize val="0"/>
        </c:dLbls>
        <c:gapWidth val="50"/>
        <c:overlap val="100"/>
        <c:axId val="2135347592"/>
        <c:axId val="2135351240"/>
      </c:barChart>
      <c:catAx>
        <c:axId val="2135347592"/>
        <c:scaling>
          <c:orientation val="minMax"/>
        </c:scaling>
        <c:delete val="0"/>
        <c:axPos val="l"/>
        <c:numFmt formatCode="General" sourceLinked="1"/>
        <c:majorTickMark val="none"/>
        <c:minorTickMark val="none"/>
        <c:tickLblPos val="nextTo"/>
        <c:spPr>
          <a:noFill/>
          <a:ln w="9525" cap="flat" cmpd="sng" algn="ctr">
            <a:solidFill>
              <a:schemeClr val="tx1">
                <a:lumMod val="25000"/>
                <a:lumOff val="7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35351240"/>
        <c:crosses val="autoZero"/>
        <c:auto val="1"/>
        <c:lblAlgn val="ctr"/>
        <c:lblOffset val="100"/>
        <c:noMultiLvlLbl val="0"/>
      </c:catAx>
      <c:valAx>
        <c:axId val="2135351240"/>
        <c:scaling>
          <c:orientation val="minMax"/>
          <c:max val="4"/>
        </c:scaling>
        <c:delete val="0"/>
        <c:axPos val="b"/>
        <c:majorGridlines>
          <c:spPr>
            <a:ln w="9525" cap="flat" cmpd="sng" algn="ctr">
              <a:gradFill>
                <a:gsLst>
                  <a:gs pos="0">
                    <a:schemeClr val="tx1">
                      <a:lumMod val="5000"/>
                      <a:lumOff val="95000"/>
                    </a:schemeClr>
                  </a:gs>
                  <a:gs pos="100000">
                    <a:schemeClr val="tx1">
                      <a:lumMod val="15000"/>
                      <a:lumOff val="8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35347592"/>
        <c:crosses val="autoZero"/>
        <c:crossBetween val="between"/>
        <c:majorUnit val="1"/>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Hoja1!$B$1</c:f>
              <c:strCache>
                <c:ptCount val="1"/>
                <c:pt idx="0">
                  <c:v>Médico</c:v>
                </c:pt>
              </c:strCache>
            </c:strRef>
          </c:tx>
          <c:spPr>
            <a:solidFill>
              <a:schemeClr val="accent1">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Hoja1!$A$2:$A$4</c:f>
              <c:strCache>
                <c:ptCount val="3"/>
                <c:pt idx="0">
                  <c:v>No ocupo instrumento para determinar el estado de sedación</c:v>
                </c:pt>
                <c:pt idx="1">
                  <c:v>Sedation Agitation Scale (SAS)</c:v>
                </c:pt>
                <c:pt idx="2">
                  <c:v>Richmond Agitation Sedation Scale (RASS)</c:v>
                </c:pt>
              </c:strCache>
            </c:strRef>
          </c:cat>
          <c:val>
            <c:numRef>
              <c:f>Hoja1!$B$2:$B$4</c:f>
              <c:numCache>
                <c:formatCode>General</c:formatCode>
                <c:ptCount val="3"/>
                <c:pt idx="0">
                  <c:v>0</c:v>
                </c:pt>
                <c:pt idx="1">
                  <c:v>1</c:v>
                </c:pt>
                <c:pt idx="2">
                  <c:v>3</c:v>
                </c:pt>
              </c:numCache>
            </c:numRef>
          </c:val>
          <c:extLst>
            <c:ext xmlns:c16="http://schemas.microsoft.com/office/drawing/2014/chart" uri="{C3380CC4-5D6E-409C-BE32-E72D297353CC}">
              <c16:uniqueId val="{00000000-1C4E-B246-B934-2780620C7562}"/>
            </c:ext>
          </c:extLst>
        </c:ser>
        <c:ser>
          <c:idx val="1"/>
          <c:order val="1"/>
          <c:tx>
            <c:strRef>
              <c:f>Hoja1!$C$1</c:f>
              <c:strCache>
                <c:ptCount val="1"/>
                <c:pt idx="0">
                  <c:v>Enfermero</c:v>
                </c:pt>
              </c:strCache>
            </c:strRef>
          </c:tx>
          <c:spPr>
            <a:solidFill>
              <a:schemeClr val="accent2">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Hoja1!$A$2:$A$4</c:f>
              <c:strCache>
                <c:ptCount val="3"/>
                <c:pt idx="0">
                  <c:v>No ocupo instrumento para determinar el estado de sedación</c:v>
                </c:pt>
                <c:pt idx="1">
                  <c:v>Sedation Agitation Scale (SAS)</c:v>
                </c:pt>
                <c:pt idx="2">
                  <c:v>Richmond Agitation Sedation Scale (RASS)</c:v>
                </c:pt>
              </c:strCache>
            </c:strRef>
          </c:cat>
          <c:val>
            <c:numRef>
              <c:f>Hoja1!$C$2:$C$4</c:f>
              <c:numCache>
                <c:formatCode>General</c:formatCode>
                <c:ptCount val="3"/>
                <c:pt idx="0">
                  <c:v>0</c:v>
                </c:pt>
                <c:pt idx="1">
                  <c:v>1</c:v>
                </c:pt>
                <c:pt idx="2">
                  <c:v>8</c:v>
                </c:pt>
              </c:numCache>
            </c:numRef>
          </c:val>
          <c:extLst>
            <c:ext xmlns:c16="http://schemas.microsoft.com/office/drawing/2014/chart" uri="{C3380CC4-5D6E-409C-BE32-E72D297353CC}">
              <c16:uniqueId val="{00000001-1C4E-B246-B934-2780620C7562}"/>
            </c:ext>
          </c:extLst>
        </c:ser>
        <c:ser>
          <c:idx val="2"/>
          <c:order val="2"/>
          <c:tx>
            <c:strRef>
              <c:f>Hoja1!$D$1</c:f>
              <c:strCache>
                <c:ptCount val="1"/>
                <c:pt idx="0">
                  <c:v>Kinesiólogo</c:v>
                </c:pt>
              </c:strCache>
            </c:strRef>
          </c:tx>
          <c:spPr>
            <a:solidFill>
              <a:schemeClr val="accent3">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Hoja1!$A$2:$A$4</c:f>
              <c:strCache>
                <c:ptCount val="3"/>
                <c:pt idx="0">
                  <c:v>No ocupo instrumento para determinar el estado de sedación</c:v>
                </c:pt>
                <c:pt idx="1">
                  <c:v>Sedation Agitation Scale (SAS)</c:v>
                </c:pt>
                <c:pt idx="2">
                  <c:v>Richmond Agitation Sedation Scale (RASS)</c:v>
                </c:pt>
              </c:strCache>
            </c:strRef>
          </c:cat>
          <c:val>
            <c:numRef>
              <c:f>Hoja1!$D$2:$D$4</c:f>
              <c:numCache>
                <c:formatCode>General</c:formatCode>
                <c:ptCount val="3"/>
                <c:pt idx="0">
                  <c:v>0</c:v>
                </c:pt>
                <c:pt idx="1">
                  <c:v>0</c:v>
                </c:pt>
                <c:pt idx="2">
                  <c:v>3</c:v>
                </c:pt>
              </c:numCache>
            </c:numRef>
          </c:val>
          <c:extLst>
            <c:ext xmlns:c16="http://schemas.microsoft.com/office/drawing/2014/chart" uri="{C3380CC4-5D6E-409C-BE32-E72D297353CC}">
              <c16:uniqueId val="{00000002-1C4E-B246-B934-2780620C7562}"/>
            </c:ext>
          </c:extLst>
        </c:ser>
        <c:dLbls>
          <c:dLblPos val="ctr"/>
          <c:showLegendKey val="0"/>
          <c:showVal val="1"/>
          <c:showCatName val="0"/>
          <c:showSerName val="0"/>
          <c:showPercent val="0"/>
          <c:showBubbleSize val="0"/>
        </c:dLbls>
        <c:gapWidth val="50"/>
        <c:overlap val="100"/>
        <c:axId val="2135404072"/>
        <c:axId val="2135407720"/>
      </c:barChart>
      <c:catAx>
        <c:axId val="2135404072"/>
        <c:scaling>
          <c:orientation val="minMax"/>
        </c:scaling>
        <c:delete val="0"/>
        <c:axPos val="l"/>
        <c:numFmt formatCode="General" sourceLinked="1"/>
        <c:majorTickMark val="none"/>
        <c:minorTickMark val="none"/>
        <c:tickLblPos val="nextTo"/>
        <c:spPr>
          <a:noFill/>
          <a:ln w="9525" cap="flat" cmpd="sng" algn="ctr">
            <a:solidFill>
              <a:schemeClr val="tx1">
                <a:lumMod val="25000"/>
                <a:lumOff val="7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35407720"/>
        <c:crosses val="autoZero"/>
        <c:auto val="1"/>
        <c:lblAlgn val="ctr"/>
        <c:lblOffset val="100"/>
        <c:noMultiLvlLbl val="0"/>
      </c:catAx>
      <c:valAx>
        <c:axId val="2135407720"/>
        <c:scaling>
          <c:orientation val="minMax"/>
          <c:max val="14"/>
        </c:scaling>
        <c:delete val="0"/>
        <c:axPos val="b"/>
        <c:majorGridlines>
          <c:spPr>
            <a:ln w="9525" cap="flat" cmpd="sng" algn="ctr">
              <a:gradFill>
                <a:gsLst>
                  <a:gs pos="0">
                    <a:schemeClr val="tx1">
                      <a:lumMod val="5000"/>
                      <a:lumOff val="95000"/>
                    </a:schemeClr>
                  </a:gs>
                  <a:gs pos="100000">
                    <a:schemeClr val="tx1">
                      <a:lumMod val="15000"/>
                      <a:lumOff val="8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354040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9315580344124"/>
          <c:y val="0.15426634170728701"/>
          <c:w val="0.833091827063284"/>
          <c:h val="0.77351831021122297"/>
        </c:manualLayout>
      </c:layout>
      <c:barChart>
        <c:barDir val="bar"/>
        <c:grouping val="stacked"/>
        <c:varyColors val="0"/>
        <c:ser>
          <c:idx val="0"/>
          <c:order val="0"/>
          <c:tx>
            <c:strRef>
              <c:f>Hoja1!$B$1</c:f>
              <c:strCache>
                <c:ptCount val="1"/>
                <c:pt idx="0">
                  <c:v>Médico</c:v>
                </c:pt>
              </c:strCache>
            </c:strRef>
          </c:tx>
          <c:spPr>
            <a:solidFill>
              <a:schemeClr val="accent1">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Hoja1!$A$2:$A$5</c:f>
              <c:strCache>
                <c:ptCount val="4"/>
                <c:pt idx="0">
                  <c:v>Preguntas simples</c:v>
                </c:pt>
                <c:pt idx="1">
                  <c:v>No ocupo ningún instrumento para determinar si el paciente tiene delirium</c:v>
                </c:pt>
                <c:pt idx="2">
                  <c:v>Intensive Care Delirium Screening Checklist (ICDSC)</c:v>
                </c:pt>
                <c:pt idx="3">
                  <c:v>Confusion Assessment Method for the Intensive Care Unit (CAM-ICU)</c:v>
                </c:pt>
              </c:strCache>
            </c:strRef>
          </c:cat>
          <c:val>
            <c:numRef>
              <c:f>Hoja1!$B$2:$B$5</c:f>
              <c:numCache>
                <c:formatCode>General</c:formatCode>
                <c:ptCount val="4"/>
                <c:pt idx="0">
                  <c:v>0</c:v>
                </c:pt>
                <c:pt idx="1">
                  <c:v>0</c:v>
                </c:pt>
                <c:pt idx="2">
                  <c:v>1</c:v>
                </c:pt>
                <c:pt idx="3">
                  <c:v>3</c:v>
                </c:pt>
              </c:numCache>
            </c:numRef>
          </c:val>
          <c:extLst>
            <c:ext xmlns:c16="http://schemas.microsoft.com/office/drawing/2014/chart" uri="{C3380CC4-5D6E-409C-BE32-E72D297353CC}">
              <c16:uniqueId val="{00000000-0C45-3F40-8674-64EEAD93CE12}"/>
            </c:ext>
          </c:extLst>
        </c:ser>
        <c:ser>
          <c:idx val="1"/>
          <c:order val="1"/>
          <c:tx>
            <c:strRef>
              <c:f>Hoja1!$C$1</c:f>
              <c:strCache>
                <c:ptCount val="1"/>
                <c:pt idx="0">
                  <c:v>Enfermero</c:v>
                </c:pt>
              </c:strCache>
            </c:strRef>
          </c:tx>
          <c:spPr>
            <a:solidFill>
              <a:schemeClr val="accent2">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Hoja1!$A$2:$A$5</c:f>
              <c:strCache>
                <c:ptCount val="4"/>
                <c:pt idx="0">
                  <c:v>Preguntas simples</c:v>
                </c:pt>
                <c:pt idx="1">
                  <c:v>No ocupo ningún instrumento para determinar si el paciente tiene delirium</c:v>
                </c:pt>
                <c:pt idx="2">
                  <c:v>Intensive Care Delirium Screening Checklist (ICDSC)</c:v>
                </c:pt>
                <c:pt idx="3">
                  <c:v>Confusion Assessment Method for the Intensive Care Unit (CAM-ICU)</c:v>
                </c:pt>
              </c:strCache>
            </c:strRef>
          </c:cat>
          <c:val>
            <c:numRef>
              <c:f>Hoja1!$C$2:$C$5</c:f>
              <c:numCache>
                <c:formatCode>General</c:formatCode>
                <c:ptCount val="4"/>
                <c:pt idx="0">
                  <c:v>1</c:v>
                </c:pt>
                <c:pt idx="1">
                  <c:v>3</c:v>
                </c:pt>
                <c:pt idx="2">
                  <c:v>0</c:v>
                </c:pt>
                <c:pt idx="3">
                  <c:v>4</c:v>
                </c:pt>
              </c:numCache>
            </c:numRef>
          </c:val>
          <c:extLst>
            <c:ext xmlns:c16="http://schemas.microsoft.com/office/drawing/2014/chart" uri="{C3380CC4-5D6E-409C-BE32-E72D297353CC}">
              <c16:uniqueId val="{00000001-0C45-3F40-8674-64EEAD93CE12}"/>
            </c:ext>
          </c:extLst>
        </c:ser>
        <c:ser>
          <c:idx val="2"/>
          <c:order val="2"/>
          <c:tx>
            <c:strRef>
              <c:f>Hoja1!$D$1</c:f>
              <c:strCache>
                <c:ptCount val="1"/>
                <c:pt idx="0">
                  <c:v>Kinesiólogo</c:v>
                </c:pt>
              </c:strCache>
            </c:strRef>
          </c:tx>
          <c:spPr>
            <a:solidFill>
              <a:schemeClr val="accent3">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Hoja1!$A$2:$A$5</c:f>
              <c:strCache>
                <c:ptCount val="4"/>
                <c:pt idx="0">
                  <c:v>Preguntas simples</c:v>
                </c:pt>
                <c:pt idx="1">
                  <c:v>No ocupo ningún instrumento para determinar si el paciente tiene delirium</c:v>
                </c:pt>
                <c:pt idx="2">
                  <c:v>Intensive Care Delirium Screening Checklist (ICDSC)</c:v>
                </c:pt>
                <c:pt idx="3">
                  <c:v>Confusion Assessment Method for the Intensive Care Unit (CAM-ICU)</c:v>
                </c:pt>
              </c:strCache>
            </c:strRef>
          </c:cat>
          <c:val>
            <c:numRef>
              <c:f>Hoja1!$D$2:$D$5</c:f>
              <c:numCache>
                <c:formatCode>General</c:formatCode>
                <c:ptCount val="4"/>
                <c:pt idx="0">
                  <c:v>0</c:v>
                </c:pt>
                <c:pt idx="1">
                  <c:v>0</c:v>
                </c:pt>
                <c:pt idx="2">
                  <c:v>0</c:v>
                </c:pt>
                <c:pt idx="3">
                  <c:v>3</c:v>
                </c:pt>
              </c:numCache>
            </c:numRef>
          </c:val>
          <c:extLst>
            <c:ext xmlns:c16="http://schemas.microsoft.com/office/drawing/2014/chart" uri="{C3380CC4-5D6E-409C-BE32-E72D297353CC}">
              <c16:uniqueId val="{00000002-0C45-3F40-8674-64EEAD93CE12}"/>
            </c:ext>
          </c:extLst>
        </c:ser>
        <c:dLbls>
          <c:dLblPos val="ctr"/>
          <c:showLegendKey val="0"/>
          <c:showVal val="1"/>
          <c:showCatName val="0"/>
          <c:showSerName val="0"/>
          <c:showPercent val="0"/>
          <c:showBubbleSize val="0"/>
        </c:dLbls>
        <c:gapWidth val="50"/>
        <c:overlap val="100"/>
        <c:axId val="2135458936"/>
        <c:axId val="2135462584"/>
      </c:barChart>
      <c:catAx>
        <c:axId val="2135458936"/>
        <c:scaling>
          <c:orientation val="minMax"/>
        </c:scaling>
        <c:delete val="0"/>
        <c:axPos val="l"/>
        <c:numFmt formatCode="General" sourceLinked="1"/>
        <c:majorTickMark val="none"/>
        <c:minorTickMark val="none"/>
        <c:tickLblPos val="nextTo"/>
        <c:spPr>
          <a:noFill/>
          <a:ln w="9525" cap="flat" cmpd="sng" algn="ctr">
            <a:solidFill>
              <a:schemeClr val="tx1">
                <a:lumMod val="25000"/>
                <a:lumOff val="7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35462584"/>
        <c:crosses val="autoZero"/>
        <c:auto val="1"/>
        <c:lblAlgn val="ctr"/>
        <c:lblOffset val="100"/>
        <c:noMultiLvlLbl val="0"/>
      </c:catAx>
      <c:valAx>
        <c:axId val="2135462584"/>
        <c:scaling>
          <c:orientation val="minMax"/>
          <c:max val="10"/>
        </c:scaling>
        <c:delete val="0"/>
        <c:axPos val="b"/>
        <c:majorGridlines>
          <c:spPr>
            <a:ln w="9525" cap="flat" cmpd="sng" algn="ctr">
              <a:gradFill>
                <a:gsLst>
                  <a:gs pos="0">
                    <a:schemeClr val="tx1">
                      <a:lumMod val="5000"/>
                      <a:lumOff val="95000"/>
                    </a:schemeClr>
                  </a:gs>
                  <a:gs pos="100000">
                    <a:schemeClr val="tx1">
                      <a:lumMod val="15000"/>
                      <a:lumOff val="8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354589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9512005873326805E-2"/>
          <c:y val="0.16460905349794239"/>
          <c:w val="0.93281234233701349"/>
          <c:h val="0.68684013263774124"/>
        </c:manualLayout>
      </c:layout>
      <c:barChart>
        <c:barDir val="col"/>
        <c:grouping val="stacked"/>
        <c:varyColors val="0"/>
        <c:ser>
          <c:idx val="0"/>
          <c:order val="0"/>
          <c:tx>
            <c:strRef>
              <c:f>Hoja1!$B$1</c:f>
              <c:strCache>
                <c:ptCount val="1"/>
                <c:pt idx="0">
                  <c:v>Médico</c:v>
                </c:pt>
              </c:strCache>
            </c:strRef>
          </c:tx>
          <c:spPr>
            <a:solidFill>
              <a:schemeClr val="accent1">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Hoja1!$A$2:$A$5</c:f>
              <c:strCache>
                <c:ptCount val="4"/>
                <c:pt idx="0">
                  <c:v>Muy poco frecuente</c:v>
                </c:pt>
                <c:pt idx="1">
                  <c:v>Poco frecuente</c:v>
                </c:pt>
                <c:pt idx="2">
                  <c:v>Frecuente</c:v>
                </c:pt>
                <c:pt idx="3">
                  <c:v>Muy frecuente</c:v>
                </c:pt>
              </c:strCache>
            </c:strRef>
          </c:cat>
          <c:val>
            <c:numRef>
              <c:f>Hoja1!$B$2:$B$5</c:f>
              <c:numCache>
                <c:formatCode>General</c:formatCode>
                <c:ptCount val="4"/>
                <c:pt idx="0">
                  <c:v>1</c:v>
                </c:pt>
                <c:pt idx="1">
                  <c:v>2</c:v>
                </c:pt>
                <c:pt idx="2">
                  <c:v>1</c:v>
                </c:pt>
                <c:pt idx="3">
                  <c:v>0</c:v>
                </c:pt>
              </c:numCache>
            </c:numRef>
          </c:val>
          <c:extLst>
            <c:ext xmlns:c16="http://schemas.microsoft.com/office/drawing/2014/chart" uri="{C3380CC4-5D6E-409C-BE32-E72D297353CC}">
              <c16:uniqueId val="{00000000-384C-364A-A78F-9FFA734E6EA6}"/>
            </c:ext>
          </c:extLst>
        </c:ser>
        <c:ser>
          <c:idx val="1"/>
          <c:order val="1"/>
          <c:tx>
            <c:strRef>
              <c:f>Hoja1!$C$1</c:f>
              <c:strCache>
                <c:ptCount val="1"/>
                <c:pt idx="0">
                  <c:v>Enfermero</c:v>
                </c:pt>
              </c:strCache>
            </c:strRef>
          </c:tx>
          <c:spPr>
            <a:solidFill>
              <a:schemeClr val="accent2">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Hoja1!$A$2:$A$5</c:f>
              <c:strCache>
                <c:ptCount val="4"/>
                <c:pt idx="0">
                  <c:v>Muy poco frecuente</c:v>
                </c:pt>
                <c:pt idx="1">
                  <c:v>Poco frecuente</c:v>
                </c:pt>
                <c:pt idx="2">
                  <c:v>Frecuente</c:v>
                </c:pt>
                <c:pt idx="3">
                  <c:v>Muy frecuente</c:v>
                </c:pt>
              </c:strCache>
            </c:strRef>
          </c:cat>
          <c:val>
            <c:numRef>
              <c:f>Hoja1!$C$2:$C$5</c:f>
              <c:numCache>
                <c:formatCode>General</c:formatCode>
                <c:ptCount val="4"/>
                <c:pt idx="0">
                  <c:v>1</c:v>
                </c:pt>
                <c:pt idx="1">
                  <c:v>3</c:v>
                </c:pt>
                <c:pt idx="2">
                  <c:v>4</c:v>
                </c:pt>
                <c:pt idx="3">
                  <c:v>0</c:v>
                </c:pt>
              </c:numCache>
            </c:numRef>
          </c:val>
          <c:extLst>
            <c:ext xmlns:c16="http://schemas.microsoft.com/office/drawing/2014/chart" uri="{C3380CC4-5D6E-409C-BE32-E72D297353CC}">
              <c16:uniqueId val="{00000001-384C-364A-A78F-9FFA734E6EA6}"/>
            </c:ext>
          </c:extLst>
        </c:ser>
        <c:ser>
          <c:idx val="2"/>
          <c:order val="2"/>
          <c:tx>
            <c:strRef>
              <c:f>Hoja1!$D$1</c:f>
              <c:strCache>
                <c:ptCount val="1"/>
                <c:pt idx="0">
                  <c:v>Kinesiólogo</c:v>
                </c:pt>
              </c:strCache>
            </c:strRef>
          </c:tx>
          <c:spPr>
            <a:solidFill>
              <a:schemeClr val="accent3">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Hoja1!$A$2:$A$5</c:f>
              <c:strCache>
                <c:ptCount val="4"/>
                <c:pt idx="0">
                  <c:v>Muy poco frecuente</c:v>
                </c:pt>
                <c:pt idx="1">
                  <c:v>Poco frecuente</c:v>
                </c:pt>
                <c:pt idx="2">
                  <c:v>Frecuente</c:v>
                </c:pt>
                <c:pt idx="3">
                  <c:v>Muy frecuente</c:v>
                </c:pt>
              </c:strCache>
            </c:strRef>
          </c:cat>
          <c:val>
            <c:numRef>
              <c:f>Hoja1!$D$2:$D$5</c:f>
              <c:numCache>
                <c:formatCode>General</c:formatCode>
                <c:ptCount val="4"/>
                <c:pt idx="0">
                  <c:v>1</c:v>
                </c:pt>
                <c:pt idx="1">
                  <c:v>0</c:v>
                </c:pt>
                <c:pt idx="2">
                  <c:v>0</c:v>
                </c:pt>
                <c:pt idx="3">
                  <c:v>2</c:v>
                </c:pt>
              </c:numCache>
            </c:numRef>
          </c:val>
          <c:extLst>
            <c:ext xmlns:c16="http://schemas.microsoft.com/office/drawing/2014/chart" uri="{C3380CC4-5D6E-409C-BE32-E72D297353CC}">
              <c16:uniqueId val="{00000002-384C-364A-A78F-9FFA734E6EA6}"/>
            </c:ext>
          </c:extLst>
        </c:ser>
        <c:dLbls>
          <c:dLblPos val="ctr"/>
          <c:showLegendKey val="0"/>
          <c:showVal val="1"/>
          <c:showCatName val="0"/>
          <c:showSerName val="0"/>
          <c:showPercent val="0"/>
          <c:showBubbleSize val="0"/>
        </c:dLbls>
        <c:gapWidth val="50"/>
        <c:overlap val="100"/>
        <c:axId val="2134031480"/>
        <c:axId val="2134027816"/>
      </c:barChart>
      <c:catAx>
        <c:axId val="2134031480"/>
        <c:scaling>
          <c:orientation val="minMax"/>
        </c:scaling>
        <c:delete val="0"/>
        <c:axPos val="b"/>
        <c:numFmt formatCode="General" sourceLinked="1"/>
        <c:majorTickMark val="none"/>
        <c:minorTickMark val="none"/>
        <c:tickLblPos val="nextTo"/>
        <c:spPr>
          <a:noFill/>
          <a:ln w="9525" cap="flat" cmpd="sng" algn="ctr">
            <a:solidFill>
              <a:schemeClr val="tx1">
                <a:lumMod val="25000"/>
                <a:lumOff val="7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34027816"/>
        <c:crosses val="autoZero"/>
        <c:auto val="1"/>
        <c:lblAlgn val="ctr"/>
        <c:lblOffset val="100"/>
        <c:noMultiLvlLbl val="0"/>
      </c:catAx>
      <c:valAx>
        <c:axId val="2134027816"/>
        <c:scaling>
          <c:orientation val="minMax"/>
          <c:max val="5"/>
        </c:scaling>
        <c:delete val="0"/>
        <c:axPos val="l"/>
        <c:majorGridlines>
          <c:spPr>
            <a:ln w="9525" cap="flat" cmpd="sng" algn="ctr">
              <a:gradFill>
                <a:gsLst>
                  <a:gs pos="0">
                    <a:schemeClr val="tx1">
                      <a:lumMod val="5000"/>
                      <a:lumOff val="95000"/>
                    </a:schemeClr>
                  </a:gs>
                  <a:gs pos="100000">
                    <a:schemeClr val="tx1">
                      <a:lumMod val="15000"/>
                      <a:lumOff val="8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34031480"/>
        <c:crosses val="autoZero"/>
        <c:crossBetween val="between"/>
        <c:majorUnit val="1"/>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Hoja1!$B$1</c:f>
              <c:strCache>
                <c:ptCount val="1"/>
                <c:pt idx="0">
                  <c:v>Médico</c:v>
                </c:pt>
              </c:strCache>
            </c:strRef>
          </c:tx>
          <c:spPr>
            <a:solidFill>
              <a:schemeClr val="accent1">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Hoja1!$A$2:$A$5</c:f>
              <c:strCache>
                <c:ptCount val="4"/>
                <c:pt idx="0">
                  <c:v>Muy poco frecuente</c:v>
                </c:pt>
                <c:pt idx="1">
                  <c:v>Poco frecuente</c:v>
                </c:pt>
                <c:pt idx="2">
                  <c:v>Frecuente</c:v>
                </c:pt>
                <c:pt idx="3">
                  <c:v>Muy frecuente</c:v>
                </c:pt>
              </c:strCache>
            </c:strRef>
          </c:cat>
          <c:val>
            <c:numRef>
              <c:f>Hoja1!$B$2:$B$5</c:f>
              <c:numCache>
                <c:formatCode>General</c:formatCode>
                <c:ptCount val="4"/>
                <c:pt idx="0">
                  <c:v>0</c:v>
                </c:pt>
                <c:pt idx="1">
                  <c:v>0</c:v>
                </c:pt>
                <c:pt idx="2">
                  <c:v>1</c:v>
                </c:pt>
                <c:pt idx="3">
                  <c:v>3</c:v>
                </c:pt>
              </c:numCache>
            </c:numRef>
          </c:val>
          <c:extLst>
            <c:ext xmlns:c16="http://schemas.microsoft.com/office/drawing/2014/chart" uri="{C3380CC4-5D6E-409C-BE32-E72D297353CC}">
              <c16:uniqueId val="{00000000-3C94-0E40-9354-6A9D4DD8A6B3}"/>
            </c:ext>
          </c:extLst>
        </c:ser>
        <c:ser>
          <c:idx val="1"/>
          <c:order val="1"/>
          <c:tx>
            <c:strRef>
              <c:f>Hoja1!$C$1</c:f>
              <c:strCache>
                <c:ptCount val="1"/>
                <c:pt idx="0">
                  <c:v>Enfermero</c:v>
                </c:pt>
              </c:strCache>
            </c:strRef>
          </c:tx>
          <c:spPr>
            <a:solidFill>
              <a:schemeClr val="accent2">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Hoja1!$A$2:$A$5</c:f>
              <c:strCache>
                <c:ptCount val="4"/>
                <c:pt idx="0">
                  <c:v>Muy poco frecuente</c:v>
                </c:pt>
                <c:pt idx="1">
                  <c:v>Poco frecuente</c:v>
                </c:pt>
                <c:pt idx="2">
                  <c:v>Frecuente</c:v>
                </c:pt>
                <c:pt idx="3">
                  <c:v>Muy frecuente</c:v>
                </c:pt>
              </c:strCache>
            </c:strRef>
          </c:cat>
          <c:val>
            <c:numRef>
              <c:f>Hoja1!$C$2:$C$5</c:f>
              <c:numCache>
                <c:formatCode>General</c:formatCode>
                <c:ptCount val="4"/>
                <c:pt idx="0">
                  <c:v>1</c:v>
                </c:pt>
                <c:pt idx="1">
                  <c:v>2</c:v>
                </c:pt>
                <c:pt idx="2">
                  <c:v>3</c:v>
                </c:pt>
                <c:pt idx="3">
                  <c:v>2</c:v>
                </c:pt>
              </c:numCache>
            </c:numRef>
          </c:val>
          <c:extLst>
            <c:ext xmlns:c16="http://schemas.microsoft.com/office/drawing/2014/chart" uri="{C3380CC4-5D6E-409C-BE32-E72D297353CC}">
              <c16:uniqueId val="{00000001-3C94-0E40-9354-6A9D4DD8A6B3}"/>
            </c:ext>
          </c:extLst>
        </c:ser>
        <c:ser>
          <c:idx val="2"/>
          <c:order val="2"/>
          <c:tx>
            <c:strRef>
              <c:f>Hoja1!$D$1</c:f>
              <c:strCache>
                <c:ptCount val="1"/>
                <c:pt idx="0">
                  <c:v>Kinesiólogo</c:v>
                </c:pt>
              </c:strCache>
            </c:strRef>
          </c:tx>
          <c:spPr>
            <a:solidFill>
              <a:schemeClr val="accent3">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Hoja1!$A$2:$A$5</c:f>
              <c:strCache>
                <c:ptCount val="4"/>
                <c:pt idx="0">
                  <c:v>Muy poco frecuente</c:v>
                </c:pt>
                <c:pt idx="1">
                  <c:v>Poco frecuente</c:v>
                </c:pt>
                <c:pt idx="2">
                  <c:v>Frecuente</c:v>
                </c:pt>
                <c:pt idx="3">
                  <c:v>Muy frecuente</c:v>
                </c:pt>
              </c:strCache>
            </c:strRef>
          </c:cat>
          <c:val>
            <c:numRef>
              <c:f>Hoja1!$D$2:$D$5</c:f>
              <c:numCache>
                <c:formatCode>General</c:formatCode>
                <c:ptCount val="4"/>
                <c:pt idx="0">
                  <c:v>0</c:v>
                </c:pt>
                <c:pt idx="1">
                  <c:v>0</c:v>
                </c:pt>
                <c:pt idx="2">
                  <c:v>0</c:v>
                </c:pt>
                <c:pt idx="3">
                  <c:v>3</c:v>
                </c:pt>
              </c:numCache>
            </c:numRef>
          </c:val>
          <c:extLst>
            <c:ext xmlns:c16="http://schemas.microsoft.com/office/drawing/2014/chart" uri="{C3380CC4-5D6E-409C-BE32-E72D297353CC}">
              <c16:uniqueId val="{00000002-3C94-0E40-9354-6A9D4DD8A6B3}"/>
            </c:ext>
          </c:extLst>
        </c:ser>
        <c:dLbls>
          <c:dLblPos val="ctr"/>
          <c:showLegendKey val="0"/>
          <c:showVal val="1"/>
          <c:showCatName val="0"/>
          <c:showSerName val="0"/>
          <c:showPercent val="0"/>
          <c:showBubbleSize val="0"/>
        </c:dLbls>
        <c:gapWidth val="50"/>
        <c:overlap val="100"/>
        <c:axId val="2133976440"/>
        <c:axId val="2133972776"/>
      </c:barChart>
      <c:catAx>
        <c:axId val="2133976440"/>
        <c:scaling>
          <c:orientation val="minMax"/>
        </c:scaling>
        <c:delete val="0"/>
        <c:axPos val="b"/>
        <c:numFmt formatCode="General" sourceLinked="1"/>
        <c:majorTickMark val="none"/>
        <c:minorTickMark val="none"/>
        <c:tickLblPos val="nextTo"/>
        <c:spPr>
          <a:noFill/>
          <a:ln w="9525" cap="flat" cmpd="sng" algn="ctr">
            <a:solidFill>
              <a:schemeClr val="tx1">
                <a:lumMod val="25000"/>
                <a:lumOff val="7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33972776"/>
        <c:crosses val="autoZero"/>
        <c:auto val="1"/>
        <c:lblAlgn val="ctr"/>
        <c:lblOffset val="100"/>
        <c:noMultiLvlLbl val="0"/>
      </c:catAx>
      <c:valAx>
        <c:axId val="2133972776"/>
        <c:scaling>
          <c:orientation val="minMax"/>
          <c:max val="8"/>
        </c:scaling>
        <c:delete val="0"/>
        <c:axPos val="l"/>
        <c:majorGridlines>
          <c:spPr>
            <a:ln w="9525" cap="flat" cmpd="sng" algn="ctr">
              <a:gradFill>
                <a:gsLst>
                  <a:gs pos="0">
                    <a:schemeClr val="tx1">
                      <a:lumMod val="5000"/>
                      <a:lumOff val="95000"/>
                    </a:schemeClr>
                  </a:gs>
                  <a:gs pos="100000">
                    <a:schemeClr val="tx1">
                      <a:lumMod val="15000"/>
                      <a:lumOff val="8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339764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Hoja1!$B$1</c:f>
              <c:strCache>
                <c:ptCount val="1"/>
                <c:pt idx="0">
                  <c:v>Médico</c:v>
                </c:pt>
              </c:strCache>
            </c:strRef>
          </c:tx>
          <c:spPr>
            <a:solidFill>
              <a:schemeClr val="accent1">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Hoja1!$A$2:$A$5</c:f>
              <c:strCache>
                <c:ptCount val="4"/>
                <c:pt idx="0">
                  <c:v>Muy poco frecuente</c:v>
                </c:pt>
                <c:pt idx="1">
                  <c:v>Poco frecuente</c:v>
                </c:pt>
                <c:pt idx="2">
                  <c:v>Frecuente</c:v>
                </c:pt>
                <c:pt idx="3">
                  <c:v>Muy frecuente</c:v>
                </c:pt>
              </c:strCache>
            </c:strRef>
          </c:cat>
          <c:val>
            <c:numRef>
              <c:f>Hoja1!$B$2:$B$5</c:f>
              <c:numCache>
                <c:formatCode>General</c:formatCode>
                <c:ptCount val="4"/>
                <c:pt idx="0">
                  <c:v>0</c:v>
                </c:pt>
                <c:pt idx="1">
                  <c:v>0</c:v>
                </c:pt>
                <c:pt idx="2">
                  <c:v>1</c:v>
                </c:pt>
                <c:pt idx="3">
                  <c:v>3</c:v>
                </c:pt>
              </c:numCache>
            </c:numRef>
          </c:val>
          <c:extLst>
            <c:ext xmlns:c16="http://schemas.microsoft.com/office/drawing/2014/chart" uri="{C3380CC4-5D6E-409C-BE32-E72D297353CC}">
              <c16:uniqueId val="{00000000-8919-3C49-ABED-095D2F8F4885}"/>
            </c:ext>
          </c:extLst>
        </c:ser>
        <c:ser>
          <c:idx val="1"/>
          <c:order val="1"/>
          <c:tx>
            <c:strRef>
              <c:f>Hoja1!$C$1</c:f>
              <c:strCache>
                <c:ptCount val="1"/>
                <c:pt idx="0">
                  <c:v>Enfermero</c:v>
                </c:pt>
              </c:strCache>
            </c:strRef>
          </c:tx>
          <c:spPr>
            <a:solidFill>
              <a:schemeClr val="accent2">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Hoja1!$A$2:$A$5</c:f>
              <c:strCache>
                <c:ptCount val="4"/>
                <c:pt idx="0">
                  <c:v>Muy poco frecuente</c:v>
                </c:pt>
                <c:pt idx="1">
                  <c:v>Poco frecuente</c:v>
                </c:pt>
                <c:pt idx="2">
                  <c:v>Frecuente</c:v>
                </c:pt>
                <c:pt idx="3">
                  <c:v>Muy frecuente</c:v>
                </c:pt>
              </c:strCache>
            </c:strRef>
          </c:cat>
          <c:val>
            <c:numRef>
              <c:f>Hoja1!$C$2:$C$5</c:f>
              <c:numCache>
                <c:formatCode>General</c:formatCode>
                <c:ptCount val="4"/>
                <c:pt idx="0">
                  <c:v>0</c:v>
                </c:pt>
                <c:pt idx="1">
                  <c:v>0</c:v>
                </c:pt>
                <c:pt idx="2">
                  <c:v>4</c:v>
                </c:pt>
                <c:pt idx="3">
                  <c:v>4</c:v>
                </c:pt>
              </c:numCache>
            </c:numRef>
          </c:val>
          <c:extLst>
            <c:ext xmlns:c16="http://schemas.microsoft.com/office/drawing/2014/chart" uri="{C3380CC4-5D6E-409C-BE32-E72D297353CC}">
              <c16:uniqueId val="{00000001-8919-3C49-ABED-095D2F8F4885}"/>
            </c:ext>
          </c:extLst>
        </c:ser>
        <c:ser>
          <c:idx val="2"/>
          <c:order val="2"/>
          <c:tx>
            <c:strRef>
              <c:f>Hoja1!$D$1</c:f>
              <c:strCache>
                <c:ptCount val="1"/>
                <c:pt idx="0">
                  <c:v>Kinesiólogo</c:v>
                </c:pt>
              </c:strCache>
            </c:strRef>
          </c:tx>
          <c:spPr>
            <a:solidFill>
              <a:schemeClr val="accent3">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Hoja1!$A$2:$A$5</c:f>
              <c:strCache>
                <c:ptCount val="4"/>
                <c:pt idx="0">
                  <c:v>Muy poco frecuente</c:v>
                </c:pt>
                <c:pt idx="1">
                  <c:v>Poco frecuente</c:v>
                </c:pt>
                <c:pt idx="2">
                  <c:v>Frecuente</c:v>
                </c:pt>
                <c:pt idx="3">
                  <c:v>Muy frecuente</c:v>
                </c:pt>
              </c:strCache>
            </c:strRef>
          </c:cat>
          <c:val>
            <c:numRef>
              <c:f>Hoja1!$D$2:$D$5</c:f>
              <c:numCache>
                <c:formatCode>General</c:formatCode>
                <c:ptCount val="4"/>
                <c:pt idx="0">
                  <c:v>0</c:v>
                </c:pt>
                <c:pt idx="1">
                  <c:v>0</c:v>
                </c:pt>
                <c:pt idx="2">
                  <c:v>1</c:v>
                </c:pt>
                <c:pt idx="3">
                  <c:v>2</c:v>
                </c:pt>
              </c:numCache>
            </c:numRef>
          </c:val>
          <c:extLst>
            <c:ext xmlns:c16="http://schemas.microsoft.com/office/drawing/2014/chart" uri="{C3380CC4-5D6E-409C-BE32-E72D297353CC}">
              <c16:uniqueId val="{00000002-8919-3C49-ABED-095D2F8F4885}"/>
            </c:ext>
          </c:extLst>
        </c:ser>
        <c:dLbls>
          <c:dLblPos val="ctr"/>
          <c:showLegendKey val="0"/>
          <c:showVal val="1"/>
          <c:showCatName val="0"/>
          <c:showSerName val="0"/>
          <c:showPercent val="0"/>
          <c:showBubbleSize val="0"/>
        </c:dLbls>
        <c:gapWidth val="50"/>
        <c:overlap val="100"/>
        <c:axId val="2133923464"/>
        <c:axId val="2133919800"/>
      </c:barChart>
      <c:catAx>
        <c:axId val="2133923464"/>
        <c:scaling>
          <c:orientation val="minMax"/>
        </c:scaling>
        <c:delete val="0"/>
        <c:axPos val="b"/>
        <c:numFmt formatCode="General" sourceLinked="1"/>
        <c:majorTickMark val="none"/>
        <c:minorTickMark val="none"/>
        <c:tickLblPos val="nextTo"/>
        <c:spPr>
          <a:noFill/>
          <a:ln w="9525" cap="flat" cmpd="sng" algn="ctr">
            <a:solidFill>
              <a:schemeClr val="tx1">
                <a:lumMod val="25000"/>
                <a:lumOff val="7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33919800"/>
        <c:crosses val="autoZero"/>
        <c:auto val="1"/>
        <c:lblAlgn val="ctr"/>
        <c:lblOffset val="100"/>
        <c:noMultiLvlLbl val="0"/>
      </c:catAx>
      <c:valAx>
        <c:axId val="2133919800"/>
        <c:scaling>
          <c:orientation val="minMax"/>
          <c:max val="9"/>
        </c:scaling>
        <c:delete val="0"/>
        <c:axPos val="l"/>
        <c:majorGridlines>
          <c:spPr>
            <a:ln w="9525" cap="flat" cmpd="sng" algn="ctr">
              <a:gradFill>
                <a:gsLst>
                  <a:gs pos="0">
                    <a:schemeClr val="tx1">
                      <a:lumMod val="5000"/>
                      <a:lumOff val="95000"/>
                    </a:schemeClr>
                  </a:gs>
                  <a:gs pos="100000">
                    <a:schemeClr val="tx1">
                      <a:lumMod val="15000"/>
                      <a:lumOff val="8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339234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Hoja1!$B$1</c:f>
              <c:strCache>
                <c:ptCount val="1"/>
                <c:pt idx="0">
                  <c:v>Médico</c:v>
                </c:pt>
              </c:strCache>
            </c:strRef>
          </c:tx>
          <c:spPr>
            <a:solidFill>
              <a:schemeClr val="accent1">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Hoja1!$A$2:$A$5</c:f>
              <c:strCache>
                <c:ptCount val="4"/>
                <c:pt idx="0">
                  <c:v>Muy baja inclusión</c:v>
                </c:pt>
                <c:pt idx="1">
                  <c:v>Baja inclusión</c:v>
                </c:pt>
                <c:pt idx="2">
                  <c:v>Alta inclusión</c:v>
                </c:pt>
                <c:pt idx="3">
                  <c:v>Muy alta inclusión</c:v>
                </c:pt>
              </c:strCache>
            </c:strRef>
          </c:cat>
          <c:val>
            <c:numRef>
              <c:f>Hoja1!$B$2:$B$5</c:f>
              <c:numCache>
                <c:formatCode>General</c:formatCode>
                <c:ptCount val="4"/>
                <c:pt idx="0">
                  <c:v>0</c:v>
                </c:pt>
                <c:pt idx="1">
                  <c:v>1</c:v>
                </c:pt>
                <c:pt idx="2">
                  <c:v>2</c:v>
                </c:pt>
                <c:pt idx="3">
                  <c:v>1</c:v>
                </c:pt>
              </c:numCache>
            </c:numRef>
          </c:val>
          <c:extLst>
            <c:ext xmlns:c16="http://schemas.microsoft.com/office/drawing/2014/chart" uri="{C3380CC4-5D6E-409C-BE32-E72D297353CC}">
              <c16:uniqueId val="{00000000-57C5-6443-ABD5-EFE9ED9B18AF}"/>
            </c:ext>
          </c:extLst>
        </c:ser>
        <c:ser>
          <c:idx val="1"/>
          <c:order val="1"/>
          <c:tx>
            <c:strRef>
              <c:f>Hoja1!$C$1</c:f>
              <c:strCache>
                <c:ptCount val="1"/>
                <c:pt idx="0">
                  <c:v>Enfermero</c:v>
                </c:pt>
              </c:strCache>
            </c:strRef>
          </c:tx>
          <c:spPr>
            <a:solidFill>
              <a:schemeClr val="accent2">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Hoja1!$A$2:$A$5</c:f>
              <c:strCache>
                <c:ptCount val="4"/>
                <c:pt idx="0">
                  <c:v>Muy baja inclusión</c:v>
                </c:pt>
                <c:pt idx="1">
                  <c:v>Baja inclusión</c:v>
                </c:pt>
                <c:pt idx="2">
                  <c:v>Alta inclusión</c:v>
                </c:pt>
                <c:pt idx="3">
                  <c:v>Muy alta inclusión</c:v>
                </c:pt>
              </c:strCache>
            </c:strRef>
          </c:cat>
          <c:val>
            <c:numRef>
              <c:f>Hoja1!$C$2:$C$5</c:f>
              <c:numCache>
                <c:formatCode>General</c:formatCode>
                <c:ptCount val="4"/>
                <c:pt idx="0">
                  <c:v>6</c:v>
                </c:pt>
                <c:pt idx="1">
                  <c:v>2</c:v>
                </c:pt>
                <c:pt idx="2">
                  <c:v>0</c:v>
                </c:pt>
                <c:pt idx="3">
                  <c:v>0</c:v>
                </c:pt>
              </c:numCache>
            </c:numRef>
          </c:val>
          <c:extLst>
            <c:ext xmlns:c16="http://schemas.microsoft.com/office/drawing/2014/chart" uri="{C3380CC4-5D6E-409C-BE32-E72D297353CC}">
              <c16:uniqueId val="{00000001-57C5-6443-ABD5-EFE9ED9B18AF}"/>
            </c:ext>
          </c:extLst>
        </c:ser>
        <c:ser>
          <c:idx val="2"/>
          <c:order val="2"/>
          <c:tx>
            <c:strRef>
              <c:f>Hoja1!$D$1</c:f>
              <c:strCache>
                <c:ptCount val="1"/>
                <c:pt idx="0">
                  <c:v>Kinesiólogo</c:v>
                </c:pt>
              </c:strCache>
            </c:strRef>
          </c:tx>
          <c:spPr>
            <a:solidFill>
              <a:schemeClr val="accent3">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Hoja1!$A$2:$A$5</c:f>
              <c:strCache>
                <c:ptCount val="4"/>
                <c:pt idx="0">
                  <c:v>Muy baja inclusión</c:v>
                </c:pt>
                <c:pt idx="1">
                  <c:v>Baja inclusión</c:v>
                </c:pt>
                <c:pt idx="2">
                  <c:v>Alta inclusión</c:v>
                </c:pt>
                <c:pt idx="3">
                  <c:v>Muy alta inclusión</c:v>
                </c:pt>
              </c:strCache>
            </c:strRef>
          </c:cat>
          <c:val>
            <c:numRef>
              <c:f>Hoja1!$D$2:$D$5</c:f>
              <c:numCache>
                <c:formatCode>General</c:formatCode>
                <c:ptCount val="4"/>
                <c:pt idx="0">
                  <c:v>0</c:v>
                </c:pt>
                <c:pt idx="1">
                  <c:v>2</c:v>
                </c:pt>
                <c:pt idx="2">
                  <c:v>0</c:v>
                </c:pt>
                <c:pt idx="3">
                  <c:v>1</c:v>
                </c:pt>
              </c:numCache>
            </c:numRef>
          </c:val>
          <c:extLst>
            <c:ext xmlns:c16="http://schemas.microsoft.com/office/drawing/2014/chart" uri="{C3380CC4-5D6E-409C-BE32-E72D297353CC}">
              <c16:uniqueId val="{00000002-57C5-6443-ABD5-EFE9ED9B18AF}"/>
            </c:ext>
          </c:extLst>
        </c:ser>
        <c:dLbls>
          <c:dLblPos val="ctr"/>
          <c:showLegendKey val="0"/>
          <c:showVal val="1"/>
          <c:showCatName val="0"/>
          <c:showSerName val="0"/>
          <c:showPercent val="0"/>
          <c:showBubbleSize val="0"/>
        </c:dLbls>
        <c:gapWidth val="50"/>
        <c:overlap val="100"/>
        <c:axId val="2135515032"/>
        <c:axId val="2135518680"/>
      </c:barChart>
      <c:catAx>
        <c:axId val="2135515032"/>
        <c:scaling>
          <c:orientation val="minMax"/>
        </c:scaling>
        <c:delete val="0"/>
        <c:axPos val="b"/>
        <c:numFmt formatCode="General" sourceLinked="1"/>
        <c:majorTickMark val="none"/>
        <c:minorTickMark val="none"/>
        <c:tickLblPos val="nextTo"/>
        <c:spPr>
          <a:noFill/>
          <a:ln w="9525" cap="flat" cmpd="sng" algn="ctr">
            <a:solidFill>
              <a:schemeClr val="tx1">
                <a:lumMod val="25000"/>
                <a:lumOff val="7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35518680"/>
        <c:crosses val="autoZero"/>
        <c:auto val="1"/>
        <c:lblAlgn val="ctr"/>
        <c:lblOffset val="100"/>
        <c:noMultiLvlLbl val="0"/>
      </c:catAx>
      <c:valAx>
        <c:axId val="2135518680"/>
        <c:scaling>
          <c:orientation val="minMax"/>
          <c:max val="6"/>
        </c:scaling>
        <c:delete val="0"/>
        <c:axPos val="l"/>
        <c:majorGridlines>
          <c:spPr>
            <a:ln w="9525" cap="flat" cmpd="sng" algn="ctr">
              <a:gradFill>
                <a:gsLst>
                  <a:gs pos="0">
                    <a:schemeClr val="tx1">
                      <a:lumMod val="5000"/>
                      <a:lumOff val="95000"/>
                    </a:schemeClr>
                  </a:gs>
                  <a:gs pos="100000">
                    <a:schemeClr val="tx1">
                      <a:lumMod val="15000"/>
                      <a:lumOff val="8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355150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0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fillRef idx="0">
      <cs:styleClr val="auto"/>
    </cs:fillRef>
    <cs:effectRef idx="0"/>
    <cs:fontRef idx="minor">
      <a:schemeClr val="tx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30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fillRef idx="0">
      <cs:styleClr val="auto"/>
    </cs:fillRef>
    <cs:effectRef idx="0"/>
    <cs:fontRef idx="minor">
      <a:schemeClr val="tx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30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fillRef idx="0">
      <cs:styleClr val="auto"/>
    </cs:fillRef>
    <cs:effectRef idx="0"/>
    <cs:fontRef idx="minor">
      <a:schemeClr val="tx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30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fillRef idx="0">
      <cs:styleClr val="auto"/>
    </cs:fillRef>
    <cs:effectRef idx="0"/>
    <cs:fontRef idx="minor">
      <a:schemeClr val="tx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30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fillRef idx="0">
      <cs:styleClr val="auto"/>
    </cs:fillRef>
    <cs:effectRef idx="0"/>
    <cs:fontRef idx="minor">
      <a:schemeClr val="tx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30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fillRef idx="0">
      <cs:styleClr val="auto"/>
    </cs:fillRef>
    <cs:effectRef idx="0"/>
    <cs:fontRef idx="minor">
      <a:schemeClr val="tx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30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fillRef idx="0">
      <cs:styleClr val="auto"/>
    </cs:fillRef>
    <cs:effectRef idx="0"/>
    <cs:fontRef idx="minor">
      <a:schemeClr val="tx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30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fillRef idx="0">
      <cs:styleClr val="auto"/>
    </cs:fillRef>
    <cs:effectRef idx="0"/>
    <cs:fontRef idx="minor">
      <a:schemeClr val="tx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8B11E0-0637-6B40-BFC0-427ABF3B98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1358</TotalTime>
  <Pages>47</Pages>
  <Words>33699</Words>
  <Characters>185347</Characters>
  <Application>Microsoft Office Word</Application>
  <DocSecurity>0</DocSecurity>
  <Lines>1544</Lines>
  <Paragraphs>437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218609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Felipe Muñoz</dc:creator>
  <cp:keywords/>
  <dc:description/>
  <cp:lastModifiedBy>Felipe Muñoz</cp:lastModifiedBy>
  <cp:revision>14</cp:revision>
  <dcterms:created xsi:type="dcterms:W3CDTF">2020-12-15T16:13:00Z</dcterms:created>
  <dcterms:modified xsi:type="dcterms:W3CDTF">2021-01-23T01:16:00Z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e7d0a198-ed53-3c63-a97d-183aa4a9ff68</vt:lpwstr>
  </property>
  <property fmtid="{D5CDD505-2E9C-101B-9397-08002B2CF9AE}" pid="24" name="Mendeley Citation Style_1">
    <vt:lpwstr>http://www.zotero.org/styles/vancouver</vt:lpwstr>
  </property>
</Properties>
</file>