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360" w:lineRule="auto"/>
        <w:ind w:left="0" w:right="0" w:firstLine="0"/>
        <w:jc w:val="center"/>
        <w:rPr>
          <w:rFonts w:ascii="Times New Roman" w:cs="Times New Roman" w:eastAsia="Times New Roman" w:hAnsi="Times New Roman"/>
          <w:b w:val="1"/>
          <w:i w:val="0"/>
          <w:smallCaps w:val="0"/>
          <w:strike w:val="0"/>
          <w:color w:val="000000"/>
          <w:sz w:val="20"/>
          <w:szCs w:val="20"/>
          <w:u w:val="none"/>
          <w:shd w:fill="auto" w:val="clear"/>
          <w:vertAlign w:val="baseline"/>
        </w:rPr>
        <w:sectPr>
          <w:footerReference r:id="rId7" w:type="default"/>
          <w:pgSz w:h="15840" w:w="12240"/>
          <w:pgMar w:bottom="1440" w:top="1440" w:left="1440" w:right="1440" w:header="720" w:footer="720"/>
          <w:pgNumType w:start="1"/>
          <w:cols w:equalWidth="0"/>
        </w:sect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THE IMPACT THAT EXPOSURE TO DIGITAL FABRICATION TECHNOLOGY HAS ON STUDENT ENTREPRENEURIAL INTENTIONS</w:t>
      </w:r>
    </w:p>
    <w:p w:rsidR="00000000" w:rsidDel="00000000" w:rsidP="00000000" w:rsidRDefault="00000000" w:rsidRPr="00000000" w14:paraId="0000000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Fonts w:ascii="Times" w:cs="Times" w:eastAsia="Times" w:hAnsi="Times"/>
          <w:b w:val="1"/>
          <w:i w:val="0"/>
          <w:smallCaps w:val="0"/>
          <w:strike w:val="0"/>
          <w:color w:val="000000"/>
          <w:sz w:val="20"/>
          <w:szCs w:val="20"/>
          <w:u w:val="none"/>
          <w:shd w:fill="auto" w:val="clear"/>
          <w:vertAlign w:val="baseline"/>
          <w:rtl w:val="0"/>
        </w:rPr>
        <w:t xml:space="preserve">Abstract</w:t>
      </w:r>
    </w:p>
    <w:p w:rsidR="00000000" w:rsidDel="00000000" w:rsidP="00000000" w:rsidRDefault="00000000" w:rsidRPr="00000000" w14:paraId="0000000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bookmarkStart w:colFirst="0" w:colLast="0" w:name="_heading=h.gjdgxs" w:id="0"/>
      <w:bookmarkEnd w:id="0"/>
      <w:r w:rsidDel="00000000" w:rsidR="00000000" w:rsidRPr="00000000">
        <w:rPr>
          <w:rFonts w:ascii="Times" w:cs="Times" w:eastAsia="Times" w:hAnsi="Times"/>
          <w:b w:val="1"/>
          <w:i w:val="0"/>
          <w:smallCaps w:val="0"/>
          <w:strike w:val="0"/>
          <w:color w:val="000000"/>
          <w:sz w:val="20"/>
          <w:szCs w:val="20"/>
          <w:u w:val="none"/>
          <w:shd w:fill="auto" w:val="clear"/>
          <w:vertAlign w:val="baseline"/>
          <w:rtl w:val="0"/>
        </w:rPr>
        <w:t xml:space="preserve">Purpose -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This paper investigates the role exposure to digital fabrication technology plays in the development of students' entrepreneurial self-efficacy and intentions.</w:t>
      </w:r>
      <w:r w:rsidDel="00000000" w:rsidR="00000000" w:rsidRPr="00000000">
        <w:rPr>
          <w:rtl w:val="0"/>
        </w:rPr>
      </w:r>
    </w:p>
    <w:p w:rsidR="00000000" w:rsidDel="00000000" w:rsidP="00000000" w:rsidRDefault="00000000" w:rsidRPr="00000000" w14:paraId="0000000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Fonts w:ascii="Times" w:cs="Times" w:eastAsia="Times" w:hAnsi="Times"/>
          <w:b w:val="1"/>
          <w:i w:val="0"/>
          <w:smallCaps w:val="0"/>
          <w:strike w:val="0"/>
          <w:color w:val="000000"/>
          <w:sz w:val="20"/>
          <w:szCs w:val="20"/>
          <w:u w:val="none"/>
          <w:shd w:fill="auto" w:val="clear"/>
          <w:vertAlign w:val="baseline"/>
          <w:rtl w:val="0"/>
        </w:rPr>
        <w:t xml:space="preserve">Design/Methodology/Approach -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Data was collected from 131 students enrolled in a business administration undergraduate program at a large Midwestern university in the United States. Data was analyzed using confirmatory factor analysis and structural equation modeling.</w:t>
      </w:r>
      <w:r w:rsidDel="00000000" w:rsidR="00000000" w:rsidRPr="00000000">
        <w:rPr>
          <w:rtl w:val="0"/>
        </w:rPr>
      </w:r>
    </w:p>
    <w:p w:rsidR="00000000" w:rsidDel="00000000" w:rsidP="00000000" w:rsidRDefault="00000000" w:rsidRPr="00000000" w14:paraId="0000000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Fonts w:ascii="Times" w:cs="Times" w:eastAsia="Times" w:hAnsi="Times"/>
          <w:b w:val="1"/>
          <w:i w:val="0"/>
          <w:smallCaps w:val="0"/>
          <w:strike w:val="0"/>
          <w:color w:val="000000"/>
          <w:sz w:val="20"/>
          <w:szCs w:val="20"/>
          <w:u w:val="none"/>
          <w:shd w:fill="auto" w:val="clear"/>
          <w:vertAlign w:val="baseline"/>
          <w:rtl w:val="0"/>
        </w:rPr>
        <w:t xml:space="preserve">Findings -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Results provide evidence on how exposure to and hands on experience with digital manufacturing technology in universities can have a positive impact on students’ entrepreneurial self-efficacy and intentions to become entrepreneurs.</w:t>
      </w:r>
      <w:r w:rsidDel="00000000" w:rsidR="00000000" w:rsidRPr="00000000">
        <w:rPr>
          <w:rtl w:val="0"/>
        </w:rPr>
      </w:r>
    </w:p>
    <w:p w:rsidR="00000000" w:rsidDel="00000000" w:rsidP="00000000" w:rsidRDefault="00000000" w:rsidRPr="00000000" w14:paraId="0000000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Fonts w:ascii="Times" w:cs="Times" w:eastAsia="Times" w:hAnsi="Times"/>
          <w:b w:val="1"/>
          <w:i w:val="0"/>
          <w:smallCaps w:val="0"/>
          <w:strike w:val="0"/>
          <w:color w:val="000000"/>
          <w:sz w:val="20"/>
          <w:szCs w:val="20"/>
          <w:u w:val="none"/>
          <w:shd w:fill="auto" w:val="clear"/>
          <w:vertAlign w:val="baseline"/>
          <w:rtl w:val="0"/>
        </w:rPr>
        <w:t xml:space="preserve">Practical Implications -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Results support initiatives by business schools and entrepreneurship programs to invest in digital manufacturing technology as they help increase students’ confidence in their technological and entrepreneurial abilities.</w:t>
      </w:r>
      <w:r w:rsidDel="00000000" w:rsidR="00000000" w:rsidRPr="00000000">
        <w:rPr>
          <w:rtl w:val="0"/>
        </w:rPr>
      </w:r>
    </w:p>
    <w:p w:rsidR="00000000" w:rsidDel="00000000" w:rsidP="00000000" w:rsidRDefault="00000000" w:rsidRPr="00000000" w14:paraId="0000000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Fonts w:ascii="Times" w:cs="Times" w:eastAsia="Times" w:hAnsi="Times"/>
          <w:b w:val="1"/>
          <w:i w:val="0"/>
          <w:smallCaps w:val="0"/>
          <w:strike w:val="0"/>
          <w:color w:val="000000"/>
          <w:sz w:val="20"/>
          <w:szCs w:val="20"/>
          <w:u w:val="none"/>
          <w:shd w:fill="auto" w:val="clear"/>
          <w:vertAlign w:val="baseline"/>
          <w:rtl w:val="0"/>
        </w:rPr>
        <w:t xml:space="preserve">Originality/Value -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This is the first study that directly looks at the role that exposure to digital technology in a business and entrepreneurship education program has on students’ entrepreneurial self-efficacy and intentions.</w:t>
      </w:r>
      <w:r w:rsidDel="00000000" w:rsidR="00000000" w:rsidRPr="00000000">
        <w:rPr>
          <w:rtl w:val="0"/>
        </w:rPr>
      </w:r>
    </w:p>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Fonts w:ascii="Times" w:cs="Times" w:eastAsia="Times" w:hAnsi="Times"/>
          <w:b w:val="1"/>
          <w:i w:val="0"/>
          <w:smallCaps w:val="0"/>
          <w:strike w:val="0"/>
          <w:color w:val="000000"/>
          <w:sz w:val="20"/>
          <w:szCs w:val="20"/>
          <w:u w:val="none"/>
          <w:shd w:fill="auto" w:val="clear"/>
          <w:vertAlign w:val="baseline"/>
          <w:rtl w:val="0"/>
        </w:rPr>
        <w:t xml:space="preserve">Introduction</w:t>
      </w:r>
    </w:p>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Digital technology and infrastructure (e.g., advanced manufacturing; additive manufacturing; augmented reality; simulation; cloud computing; industrial IoT; cyber security; and Big Data analytics and customer profiling) has been heralded in the popular press as a potentially transformative technology that will “change the world” (Economist, 2011) and integrate firm processes both vertically and horizontally (Ardito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2019). 3-D printing, a method for creating physical objects from digital designs, building them out of many very thin layers of material (Hoy, 2013); IoT, a world-wide network of interconnected objects and Big Data, any set of data that, would require large capabilities in terms of storage space and time to be analyzed with traditional systems; are three digital technologies that many anticipate will accelerate innovation (Del Vecchio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2018) boost new business opportunities (Ardito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2018) and radically change how local manufacturing activities are organized (Petrick and Simpson, 2013; Despeisse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2017). Digital technologies could also become a dominant source for innovation in academic entrepreneurship (Rippa and Secundo, 2018). Their infusion into various aspects of entrepreneurship has transformed the nature and how we deal with the uncertainty inherent in entrepreneurial processes, calling for careful consideration on how they shape entrepreneurial pursuits (Nambisan, 2017). This has created a host of important research questions at the intersection of digital technology and entrepreneurship that published work has yet to address.</w:t>
      </w:r>
    </w:p>
    <w:p w:rsidR="00000000" w:rsidDel="00000000" w:rsidP="00000000" w:rsidRDefault="00000000" w:rsidRPr="00000000" w14:paraId="0000001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In recent times, there has been a marked increase in calls for research on the objective, actor-independent factors that enable entrepreneurial activity (Davidsson, 2015; Nambisan, 2017; Ramoglou and Tsang, 2016; Shane, 2012). Digital technology is one such factor that serves as an external enabler and forms an inherent part of the entrepreneurial opportunity in terms of both the outcome as well as the process. For example, prior research has highlighted the entrepreneur–opportunity nexus, suggesting that the type and nature of a technology opportunity can be a determining element in the activation of the entrepreneurial process (Giones and Brem, 2017). von Briel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(2018), in a study of how and when digital technologies enable new venture creation processes, theorized that if a digital technology enables “broad, low-cost exploration of markets and technologies to detect potential demand, and development of ideas about serving such demand” (Bakker and Shepherd, 2017), those whose focused attention includes new technology and/or the possibility of engaging in start-ups will see immediate benefits. This is likely to trigger a particularly strong response in the number of independent attempts at venture creation. Digital artifacts may also lead to wider and socially accepted practices that in turn create broader market opportunities awaiting exploitation. Digitally empowered users engender future shaping practices to envision new entrepreneurial opportunities. From mundane and embedded exercises of everyday life, users build on their own experiences in the digital world to identify market needs (Kelestyn and Henfridsson, 2014).</w:t>
      </w:r>
    </w:p>
    <w:p w:rsidR="00000000" w:rsidDel="00000000" w:rsidP="00000000" w:rsidRDefault="00000000" w:rsidRPr="00000000" w14:paraId="0000001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Digital infrastructure technology tools and systems (e.g., cloud computing, online communities, digital makerspaces) that offer communication, collaboration, and/or computing capabilities to support innovation and entrepreneurship also lead to the democratization of entrepreneurship (Aldrich, 2014) and facilitate the breakdown of boundaries between its different phases. This impacts all stages of the entrepreneurial process, from opportunity exploration to concept testing to venture funding and launch (Nambisan, 2017). Entrepreneurial actions cease to be bounded by a set of activities and timeframes. Rather, entrepreneurs are called upon to chart more dynamic paths or trajectories facilitated by digital technologies, introducing greater levels of unpredictability and nonlinearity into the process (Huang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2017). This new reality, the product of digital technology, means that existing studies that utilize traditional models and frameworks with relatively stable and fixed boundaries hold limited insights on entrepreneurial actions, behaviors and success (Nambisan, 2017). An increasingly digital world demands novel theorizing of how entrepreneurial opportunities are formed and enacted.</w:t>
      </w:r>
    </w:p>
    <w:p w:rsidR="00000000" w:rsidDel="00000000" w:rsidP="00000000" w:rsidRDefault="00000000" w:rsidRPr="00000000" w14:paraId="0000001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One context where digital technology has been quickly adopted is higher education. Universities, hoping to encourage the creation of technology focused startups that will boost economic growth, are investing heavily in new digital manufacturing technology that makes it easier for students, faculty and staff to bring their ideas to life and design and create prototypes rapidly with minimal resources (Mortara and Parisot, 2016). These investments are not restricted to engineering schools; digital technology is being purchased by research centers, business and design schools, laboratories and even academic libraries (Birtchnell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2017) and made available to all students, staff and researchers (Pryor, 2014). In the case of business schools, the implicit assumption is that digital technologies enable product ideas and business models to be quickly formed and modified in repeated cycles of experimentation and implementation (Aldrich, 2014; Nambisan, 2017; Ries, 2011) and spur students to become entrepreneurs. Considerable studies have looked at the role entrepreneurship programs play in influencing entrepreneurial self-efficacy and intentions (Souitaris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2007; Wu and Wu., 2008; Hassan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2012; Solesvik, 2013; Zhang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2014; Maresch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2016; Barba-Sánchez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2018), but very few (Kraus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2018) address the effects of digital technology (Ghezzi and Cavallo, 2018; von Briel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2018) and the role it plays in entrepreneurial pursuits. Those that have, have so far treated digital technology as a context for empirical work only (Nambisan, 2017). This means that even though digital technology impacts all stages of the entrepreneurial process we know very little on how it fits into and benefits business or entrepreneurship programs, if at all.</w:t>
      </w:r>
    </w:p>
    <w:p w:rsidR="00000000" w:rsidDel="00000000" w:rsidP="00000000" w:rsidRDefault="00000000" w:rsidRPr="00000000" w14:paraId="0000001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The goal of this study is to help fill this gap in the literature by studying how business and entrepreneurship education programs that embrace digital technologies shape entrepreneurial decisions and actions. Specifically, we hope to contribute by shedding some light on how access and exposure to digital infrastructure technology in higher education serves as an external enabler of opportunities that support the entrepreneurial process (Davidsson, 2015). Our study makes some valuable contributions to entrepreneurship and entrepreneurship education theory. First, it provides theoretical support, grounded in social-learning theory (Bandura, 1986), to the investments and resources being poured by business schools on the acquisition of digital infrastructure technology and the construction of “maker spaces” to house them. According to Nambisan (2017), “the adoption of appropriate theoretical perspectives that allow for the joint consideration of entrepreneur constructs and digital technology related constructs could help decipher the intermingling of human/social/institutional and material agency in entrepreneurial pursuits”. Second, a considerable number of studies that have looked at how entrepreneurship education programs influence entrepreneurial attitudes and intentions, but to our knowledge, this is the first that looks at whether entrepreneurship programs that insert a digital technology component have any positive benefits to entrepreneurial intentions. We thus heed the call made by Ghulam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(2017) and others to include greater pedagogical detail (Martin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2013) in their studies to help us understand the impact of pedagogical design and method and broaden our understanding. In the case of this study, we look at how specific features of current entrepreneurial education programs impact student levels of entrepreneurial self-efficacy and under which conditions they exert positive effects (Gielnik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2017).</w:t>
      </w:r>
    </w:p>
    <w:p w:rsidR="00000000" w:rsidDel="00000000" w:rsidP="00000000" w:rsidRDefault="00000000" w:rsidRPr="00000000" w14:paraId="0000001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This paper is organized as follows. Initially we present our theoretical framework and hypotheses are put forward (see Figure 1 for our conceptual model). Subsequently, we summarize our sample, the variables and results of our structural equation model analysis. Finally, in the discussion section, we link the findings with the wider entrepreneurship literature and highlight theoretical contributions and practical implications.</w:t>
      </w:r>
    </w:p>
    <w:p w:rsidR="00000000" w:rsidDel="00000000" w:rsidP="00000000" w:rsidRDefault="00000000" w:rsidRPr="00000000" w14:paraId="0000001A">
      <w:pPr>
        <w:spacing w:line="360"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01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Insert Figure 1 Here</w:t>
      </w:r>
    </w:p>
    <w:p w:rsidR="00000000" w:rsidDel="00000000" w:rsidP="00000000" w:rsidRDefault="00000000" w:rsidRPr="00000000" w14:paraId="0000001C">
      <w:pPr>
        <w:spacing w:line="360"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01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Fonts w:ascii="Times" w:cs="Times" w:eastAsia="Times" w:hAnsi="Times"/>
          <w:b w:val="1"/>
          <w:i w:val="0"/>
          <w:smallCaps w:val="0"/>
          <w:strike w:val="0"/>
          <w:color w:val="000000"/>
          <w:sz w:val="20"/>
          <w:szCs w:val="20"/>
          <w:u w:val="none"/>
          <w:shd w:fill="auto" w:val="clear"/>
          <w:vertAlign w:val="baseline"/>
          <w:rtl w:val="0"/>
        </w:rPr>
        <w:t xml:space="preserve">Theoretical background and hypotheses</w:t>
      </w:r>
    </w:p>
    <w:p w:rsidR="00000000" w:rsidDel="00000000" w:rsidP="00000000" w:rsidRDefault="00000000" w:rsidRPr="00000000" w14:paraId="0000001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Self-efficacy, a key element of Bandura’s (1977; 1978; 1986) social learning theory, refers to one’s belief in one’s capability to perform a specific task. Based on an individual’s self-perception of his skills and abilities, the concept reflects an individual’s innermost thoughts on whether he has the ability, as well as the belief, that he will be able to effectively convert his skills into a chosen outcome (Bandura, 1989; 1997). One especially relevant aspect of self-efficacy is that its task and domain specific (Bandura, 1989; 1992; 1997), meaning a person can have high self-efficacy in one area, but low self-efficacy in another. Accordingly, the concept of self-efficacy has been extensively employed to explain perceived career options, stated career preferences, and ultimately, career-oriented behaviors including entrepreneurship (Betz and Hackett, 1981, 1983; Hackett and Betz, 1981; Eccles, 1994). In this latter case, self-efficacy is related to perceived capabilities to manage innovation, risk, leadership, etc. Entrepreneurial self-efficacy (ESE) is defined as “the strength of a person’ belief that he or she is capable of successfully performing the various roles and tasks of entrepreneurship.” (Chen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1998) and past studies (Boyd and Vozikis, 1994; Segal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2002) have established that it influences entrepreneurial intentions (EI) and that those with higher levels of ESE have higher levels of entrepreneurial intentions (EI) (Krueger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2000).</w:t>
      </w:r>
    </w:p>
    <w:p w:rsidR="00000000" w:rsidDel="00000000" w:rsidP="00000000" w:rsidRDefault="00000000" w:rsidRPr="00000000" w14:paraId="0000001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Since Rousseau (1961), progressive education theorists have been questioning the prevalent assumptions regarding the project of education, prescribing more experiential, student-centered approaches. This idea, that education should be more experiential and connected to real-world objects, was originally attributed to Dewey (1902) but has also been addressed by many other scholars and innovators (Freudenthal, 2012; Fröbel and Hailmann, 1901; Montessori, 1964; 1965; Von Glasersfeld, 1984; Blikstein, 2013). Bandura (1992) continues along these lines and suggests that self-confidence in our abilities to successfully perform specific tasks comes from four key sources: mastery experiences, modeling, social persuasion, and judgments of our own physiological states, or as Cox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(2002) put simply “learning by doing”. In students, different forms of learning by doing, such as providing opportunities in class to conduct feasibility studies, develop business plans, and participate in running a simulated or real business can potentially play an important role in developing ESE. In a study on the role teaching at universities plays in maximizing ESE, Koenig (2016) concludes that acknowledging informal learning is important for the development of entrepreneurial behavior, as well as employing communities of practice as a supplement to traditional teaching practices. Based on his results he suggests three points for integrating ESE into university education: the acknowledgment of the role of firsthand experience, the employment of experience-based learning and the introduction of practicing as a supplement for conventional teaching methods.</w:t>
      </w:r>
    </w:p>
    <w:p w:rsidR="00000000" w:rsidDel="00000000" w:rsidP="00000000" w:rsidRDefault="00000000" w:rsidRPr="00000000" w14:paraId="0000002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University “maker spaces”, where students, staff and faculty have free access to digital manufacturing software and equipment (eg. 3D printers, laser cutters &amp; CNC routers) open up the opportunity to quickly develop, prototype and test ideas and provide access to all four of Bandura’s (1982) self-efficacy development mechanisms. For example, designing virtual models of product ideas and creating physical prototypes provides enactive mastery experiences. Working directly with programmers and product and industrial designers is an opportunity for vicarious learning. The feedback, evaluations and mentoring mentors provide serve as a form of social persuasion. Finally, their example and collaborations with others who also frequent the space, help expose students to the lifestyle and work experience of technology entrepreneurs, developing judgements of the students’ physiological state. The issue of concern is that these experiences are tailored to developing technological self-efficacy (TSE) and whether they have any impact on the development of ESE has not been considered. Particularly, contemporary research has not tested whether there exists a direct relationship between TSE and EI. If it doesn’t, it could mean that including a digital technology component in an entrepreneurship education program does little to encourage business students to head down the entrepreneurial path and those resources would be better spent elsewhere. Some indirect evidence exists to the benefits that technology-based education provides EI. Wu and Wu (2008) found that engineering students have higher EI than students from other majors. Similar results were observed in science students when compared to business or art students (Hassan and Wafer, 2012), and in computer engineering students when compared to industrial engineering students (Barba-Sanchez and Atienza-Sahuquillo, 2018). Souitaris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(2007) looked at the effect entrepreneurship education has on science and engineering students and found that it was inspiration and not the added learning and resources of the program that correlated with an increase in EI. They posit that science and engineering students must first face an attitude-intention challenge (“do I want to become an entrepreneur?”) before considering the challenges presented they’ll face during the implementation process (acquiring knowledge, finding and evaluating an opportunity and assembling resources). Any obstacles to successful completion of the process are temporally distant and, therefore, cognitively undervalued (von Briel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2018). Participating in an entrepreneurship program resolves this initial attitude-intention challenge by inspiring the students to head down the entrepreneurial path. In other words, science and engineering students already possess the TSE necessary to develop a business, but lack the ESE needed to resolve the attitude-intention challenge. This situation would be reversed in business and entrepreneurship students. These students already possess the ESE necessary to resolve the attitude-intention challenge but lack the technical knowledge and TSE required during the implementation phase. Even though an individual might possess the necessary skills to perform entrepreneurial activities, Chen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(1998) found that a lack of ESE can be used to identify reasons for entrepreneurial avoidance and keep individuals from pursuing an entrepreneurial path. The same could be true of TSE and any shortage in technology knowledge and TSE can operate as a barrier in pursuing any EI. </w:t>
      </w:r>
    </w:p>
    <w:p w:rsidR="00000000" w:rsidDel="00000000" w:rsidP="00000000" w:rsidRDefault="00000000" w:rsidRPr="00000000" w14:paraId="0000002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Attitudes are open to change and entrepreneurial attitudes may be influenced by educators and practitioners. By cultivating an attitude of innovation, educators can change student’s perception and feelings toward entrepreneurship (Wu and Wu, 2008). Exposure and access to digital manufacturing technology and the self-efficacy development mechanisms it provides could cultivate an attitude of innovation and serve to strengthen business and entrepreneurship students’ EI, removing TSE as a reason for entrepreneurial avoidance. Schelly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(2015) conducted a study in the application of 3D printing and found that learners are most engaged when they are able to actually do something, rather than just reading about it. Self-directed active participation fosters student empowerment. The production and testing of prototype models allow students to test their ideas with potential future customers and create minimum viable products. Programmers and designers that work with the students might also be entrepreneurs themselves and have years of entrepreneurial experience. By working directly with these mentors, students are exposed to the technology entrepreneurial lifestyle and receive mentoring and feedback, not only in the use of digital manufacturing, but also on entrepreneurship. All of these mechanisms provide experiences that students will ascribe to their skills and abilities, leading to increased technology self-efficacy. We thus hypothesize: </w:t>
      </w:r>
    </w:p>
    <w:p w:rsidR="00000000" w:rsidDel="00000000" w:rsidP="00000000" w:rsidRDefault="00000000" w:rsidRPr="00000000" w14:paraId="0000002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Hypothesis 1: Technology self-efficacy (TSE) is positively related to entrepreneurial intentions (EI).</w:t>
      </w:r>
    </w:p>
    <w:p w:rsidR="00000000" w:rsidDel="00000000" w:rsidP="00000000" w:rsidRDefault="00000000" w:rsidRPr="00000000" w14:paraId="0000002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If, as viewed by Kerr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(2014), entrepreneurship is experimentation, then any constraints on the ability to experiment will shape when entrepreneurial initiatives are likely to occur and how they will unfold. Digital technology and artifacts facilitate greater degrees of trial and experimentation in how entrepreneurs go about building their business models, developing and testing solutions and more broadly addressing new opportunities (Nambisan, 2017). This is why many strongly advocate for an increase in the use of these type of mastery experiences, to encourage entrepreneurship behavior (Aronsson, 2004). In the case of technology entrepreneurs, a formal education and prior knowledge of technology are vital to innovation outcomes (Marvel and Lumpkin, 2007), capabilities, and attitudes (Chen, 2014). However, in their study on education programs in technology entrepreneurship, Militaru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(2015) found that an engineering education by itself had no influence on the venturing rate of engineering students. It was the interaction between engineering and technology entrepreneurship education programs that lead to a significant improvement in the engineering students’ potential to launch a new venture. Learning about organizations outside their educational environment, at work for example, has also been shown to enhance venturing self-confidence in engineering students. Lucas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(2009) therefore propose that engineering education programs teach general entrepreneurship to students without needing to attend to technology venturing skills development. The authors posit that since their survey respondents where are all engineering students, an engineering education also develops some business venturing skills. One possible explanation is that acquisition and possession of technical skills leads to a higher sense of self-efficacy and this in turn leads to seeing more opportunities and to take more risks (Zhang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2014). </w:t>
      </w:r>
    </w:p>
    <w:p w:rsidR="00000000" w:rsidDel="00000000" w:rsidP="00000000" w:rsidRDefault="00000000" w:rsidRPr="00000000" w14:paraId="0000002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As mentioned previously, past studies (Boyd and Vozikis, 1994; Segal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2002; Krueger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2000) have validated the connection between ESE and EI and scholars have developed and tested theoretical models where ESE plays a mediating role between perceptions of formal learning and EI. Malebana and Zindiye (2017), working with a sample of South African university students, found that entrepreneurship education alone and in combination with different forms of prior entrepreneurial exposure were significantly related to ESE. Zhao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(2005) tested such a model, using structural equations, and found that the effects of perceived learning from entrepreneurship-related courses, previous entrepreneurial experience, and risk propensity on entrepreneurial intentions were fully mediated by ESE. Barba-Sanchez and Atienza-Sahuquillo (2018) looked at the role that entrepreneurship education plays on engineering students and found that computer engineering students have greater entrepreneurial intentions than industrial engineering students. They believe that entrepreneurship education has the strongest positive effect on intentions through the mediation of ESE. In a study of Brazilian university students, De Moraes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(2018) further investigated the claim by Fayolle and Liñán (2014) that it was necessary to investigate entrepreneurial education and its relationship with EI. They found that when university environments provide for the development of attitudinal characteristics, EI increases. Finally, Chen (2014) conducted a study in the information technology (IT) entrepreneurial context, to examine whether ESE mediated the connection between computer self-efficacy (CSE) and EI. His results demonstrate that CSE does influence EI, albeit indirectly, through ESE, revealing that technology skills play an important role in entrepreneurial behavior. Based on these results, we posit the following hypothesis:</w:t>
      </w:r>
    </w:p>
    <w:p w:rsidR="00000000" w:rsidDel="00000000" w:rsidP="00000000" w:rsidRDefault="00000000" w:rsidRPr="00000000" w14:paraId="0000002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ab/>
        <w:t xml:space="preserve">Hypothesis 2: Entrepreneurial self-efficacy (ESE) partially mediates the relationship between technology self-efficacy (TSE) and entrepreneurial intentions (EI).</w:t>
      </w:r>
    </w:p>
    <w:p w:rsidR="00000000" w:rsidDel="00000000" w:rsidP="00000000" w:rsidRDefault="00000000" w:rsidRPr="00000000" w14:paraId="0000002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E">
      <w:pPr>
        <w:spacing w:line="360" w:lineRule="auto"/>
        <w:jc w:val="both"/>
        <w:rPr>
          <w:rFonts w:ascii="Times" w:cs="Times" w:eastAsia="Times" w:hAnsi="Times"/>
          <w:sz w:val="20"/>
          <w:szCs w:val="20"/>
        </w:rPr>
      </w:pPr>
      <w:r w:rsidDel="00000000" w:rsidR="00000000" w:rsidRPr="00000000">
        <w:rPr>
          <w:rFonts w:ascii="Times" w:cs="Times" w:eastAsia="Times" w:hAnsi="Times"/>
          <w:sz w:val="20"/>
          <w:szCs w:val="20"/>
          <w:rtl w:val="0"/>
        </w:rPr>
        <w:t xml:space="preserve">Finally, social cognitive theory also tells us that self-efficacy not only influences our choice of activities and behavioral settings, but also our level of effort and persistence on a specific task. High self-efficacy expectations regarding performance in a specific behavioral setting lead us to approach that setting (Wood and Bandura, 1989). This signifies that individuals with higher levels of ESE would choose to join a university entrepreneurship program, take an entrepreneurship class and participate in activities that would help them get closer to their entrepreneurial goals. One possibility we’re interested in considering is that an individual’s EI could potentially decrease after being exposed to digital manufacturing technology. When presented with digital technology in their education program, students could encounter difficulties in their attempts to learn how to use the technology or could be made aware of its current limitations. This could cause a drop in their TSE and their confidence in their abilities to bring their ideas to life (ESE) and their interest to start a new venture (EI). Low levels of TSE would therefore serve to identify reasons for entrepreneurial avoidance (Chen </w:t>
      </w:r>
      <w:r w:rsidDel="00000000" w:rsidR="00000000" w:rsidRPr="00000000">
        <w:rPr>
          <w:rFonts w:ascii="Times" w:cs="Times" w:eastAsia="Times" w:hAnsi="Times"/>
          <w:i w:val="1"/>
          <w:sz w:val="20"/>
          <w:szCs w:val="20"/>
          <w:rtl w:val="0"/>
        </w:rPr>
        <w:t xml:space="preserve">et al.</w:t>
      </w:r>
      <w:r w:rsidDel="00000000" w:rsidR="00000000" w:rsidRPr="00000000">
        <w:rPr>
          <w:rFonts w:ascii="Times" w:cs="Times" w:eastAsia="Times" w:hAnsi="Times"/>
          <w:sz w:val="20"/>
          <w:szCs w:val="20"/>
          <w:rtl w:val="0"/>
        </w:rPr>
        <w:t xml:space="preserve">, 1998). In a previous study, Zhao </w:t>
      </w:r>
      <w:r w:rsidDel="00000000" w:rsidR="00000000" w:rsidRPr="00000000">
        <w:rPr>
          <w:rFonts w:ascii="Times" w:cs="Times" w:eastAsia="Times" w:hAnsi="Times"/>
          <w:i w:val="1"/>
          <w:sz w:val="20"/>
          <w:szCs w:val="20"/>
          <w:rtl w:val="0"/>
        </w:rPr>
        <w:t xml:space="preserve">et al.</w:t>
      </w:r>
      <w:r w:rsidDel="00000000" w:rsidR="00000000" w:rsidRPr="00000000">
        <w:rPr>
          <w:rFonts w:ascii="Times" w:cs="Times" w:eastAsia="Times" w:hAnsi="Times"/>
          <w:sz w:val="20"/>
          <w:szCs w:val="20"/>
          <w:rtl w:val="0"/>
        </w:rPr>
        <w:t xml:space="preserve">, (2005) tested the relationship between students’ EI at the beginning and end of their participation in an MBA program and found that this relationship was positive and significant. Based on this study, we hypothesize that exposure to digital manufacturing technology further increases and not decreases EI.</w:t>
      </w:r>
    </w:p>
    <w:p w:rsidR="00000000" w:rsidDel="00000000" w:rsidP="00000000" w:rsidRDefault="00000000" w:rsidRPr="00000000" w14:paraId="0000002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Hypothesis 3: Entrepreneurial intentions (EI-1) at the beginning of the program is positively related to entrepreneurial intentions (EI-2) at the end of the program.</w:t>
      </w:r>
    </w:p>
    <w:p w:rsidR="00000000" w:rsidDel="00000000" w:rsidP="00000000" w:rsidRDefault="00000000" w:rsidRPr="00000000" w14:paraId="0000003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Fonts w:ascii="Times" w:cs="Times" w:eastAsia="Times" w:hAnsi="Times"/>
          <w:b w:val="1"/>
          <w:i w:val="0"/>
          <w:smallCaps w:val="0"/>
          <w:strike w:val="0"/>
          <w:color w:val="000000"/>
          <w:sz w:val="20"/>
          <w:szCs w:val="20"/>
          <w:u w:val="none"/>
          <w:shd w:fill="auto" w:val="clear"/>
          <w:vertAlign w:val="baseline"/>
          <w:rtl w:val="0"/>
        </w:rPr>
        <w:t xml:space="preserve">Sample</w:t>
      </w:r>
    </w:p>
    <w:p w:rsidR="00000000" w:rsidDel="00000000" w:rsidP="00000000" w:rsidRDefault="00000000" w:rsidRPr="00000000" w14:paraId="0000003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Data was collected from 131 students enrolled in a business administration undergraduate program at a large Midwestern university in the United States. The university’s management department had recently purchased and introduced new digital manufacturing technology and made it available to all students and faculty, at no costs. This setting provided a unique opportunity to test our hypotheses, as many business schools’ students would potentially be introduced to, taught about and experiment with the technology as part of their courses. Our data reveals that the students had little to no prior experience with computer-aided design (65.7 %), rapid prototyping (89.7 %), 3D printing (89.7 %), laser cutting (95.3 %), web design (55.1 %), wire framing (89.6 %) and product design (72.0 %), further justifying the sample choice. Liñan and Chen (2009) defend the use of student populations in the study of entrepreneurial intentions. They argue that students are individuals currently involved in real career-choice processes and facilitate examination of the psychological processes prior to new venture creation. The use of student populations has also been adopted in a number of papers studying the impact that education programs have on entrepreneurial intentions (Souitaris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2007; Wu and Wu, 2008; Lucas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2009; Hassan and Wafa, 2012; Chen, 2014; Zhang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2014; Solesvik, 2013; Maresch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2016; Barba-Sánchez and Atienza-Sahuquillo, 2018). The mean age of participants was 22 with a range between 20 and 37 years. 36.4 % of them were female and 63.6 % male. They were mostly White (61.5 %), with Hispanics and Asians making up the remaining 27.5 %. Their main areas of study consisted of Finance (15.3 %), Marketing (15.3 %), Business (14.5 %) and Management (10.0 %). Individuals’ work experience was about 4.6 years and 18.7 % of them had started a business (52.4 % and 33.3 % of them once or twice, respectively) and almost a half of students’ parents (47.5 %) were entrepreneurs.</w:t>
      </w:r>
    </w:p>
    <w:p w:rsidR="00000000" w:rsidDel="00000000" w:rsidP="00000000" w:rsidRDefault="00000000" w:rsidRPr="00000000" w14:paraId="0000003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Faculty and students were asked to participate on a voluntary basis by completing a survey consisting of Likert scale items that measured their TSE, ESE, and EI before and after taking the course. These measures were developed and validated in previous research studies (Zhao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2005; Moberg, 2013; Gibcus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2012). An additional set of questions measured general demographic data such as education, gender, race, age and work experience. </w:t>
      </w:r>
    </w:p>
    <w:p w:rsidR="00000000" w:rsidDel="00000000" w:rsidP="00000000" w:rsidRDefault="00000000" w:rsidRPr="00000000" w14:paraId="0000003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Fonts w:ascii="Times" w:cs="Times" w:eastAsia="Times" w:hAnsi="Times"/>
          <w:b w:val="1"/>
          <w:i w:val="0"/>
          <w:smallCaps w:val="0"/>
          <w:strike w:val="0"/>
          <w:color w:val="000000"/>
          <w:sz w:val="20"/>
          <w:szCs w:val="20"/>
          <w:u w:val="none"/>
          <w:shd w:fill="auto" w:val="clear"/>
          <w:vertAlign w:val="baseline"/>
          <w:rtl w:val="0"/>
        </w:rPr>
        <w:t xml:space="preserve">Variables</w:t>
      </w:r>
    </w:p>
    <w:p w:rsidR="00000000" w:rsidDel="00000000" w:rsidP="00000000" w:rsidRDefault="00000000" w:rsidRPr="00000000" w14:paraId="0000003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Technology Self-Efficacy.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For this study, technology self-efficacy represents the user’s personal confidence toward successfully and purposefully using the technology itself. Our TSE construct is based on the items proposed by Holden and Rada (2011) where the researchers evaluated general computer self-efficacy and technology-specific self-efficacy to identify the influential differences of both. For this paper, the wording of the measures was slightly modified so they would assess the confidence of using a 3D printer, a specific digital manufacturing technology that is usually available in universities and maker spaces worldwide.</w:t>
      </w:r>
    </w:p>
    <w:p w:rsidR="00000000" w:rsidDel="00000000" w:rsidP="00000000" w:rsidRDefault="00000000" w:rsidRPr="00000000" w14:paraId="0000003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Entrepreneurial Self-Efficacy</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Our measure of ESE is based on Moberg’s (2013) five ESE-constructs, which consists of a multidimensional scale, built on three priorly established scales. Moberg’s scale was tested in a large survey that included 445 students from twelve different programs at three universities and provides improved reliability from prior scales.</w:t>
      </w:r>
    </w:p>
    <w:p w:rsidR="00000000" w:rsidDel="00000000" w:rsidP="00000000" w:rsidRDefault="00000000" w:rsidRPr="00000000" w14:paraId="0000003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Entrepreneurial Intention.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To measure EI, we adopted a four-item scale that was developed and tested by Zhao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(2005). The questions asked students how interested they were in engaging in prototypical entrepreneurial activities such as starting a business, acquiring a small business, starting and building a high-growth business, and acquiring and building a company into a high-growth business in the next 5 to 10 years. A 5-point Likert scale was used, ranging from 1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very little</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to 5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a great deal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Data was collected before students were exposed to the digital manufacturing technology (Time 1) as part of their class and at the end of the class (Time 2). This measure at Time 1 was included as a control variable in the model.</w:t>
      </w:r>
    </w:p>
    <w:p w:rsidR="00000000" w:rsidDel="00000000" w:rsidP="00000000" w:rsidRDefault="00000000" w:rsidRPr="00000000" w14:paraId="0000003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Fonts w:ascii="Times" w:cs="Times" w:eastAsia="Times" w:hAnsi="Times"/>
          <w:b w:val="1"/>
          <w:i w:val="0"/>
          <w:smallCaps w:val="0"/>
          <w:strike w:val="0"/>
          <w:color w:val="000000"/>
          <w:sz w:val="20"/>
          <w:szCs w:val="20"/>
          <w:u w:val="none"/>
          <w:shd w:fill="auto" w:val="clear"/>
          <w:vertAlign w:val="baseline"/>
          <w:rtl w:val="0"/>
        </w:rPr>
        <w:t xml:space="preserve">Analysis</w:t>
      </w:r>
    </w:p>
    <w:p w:rsidR="00000000" w:rsidDel="00000000" w:rsidP="00000000" w:rsidRDefault="00000000" w:rsidRPr="00000000" w14:paraId="0000003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We conducted a confirmatory factor analysis (CFA) and a structural equation modeling (SEM) using Stata 15. Measurement models for each construct in the model were first estimated separately step by step, and then the whole structural model was tested (Anderson and Gerbing, 1988; Jöroskog and Sörbom, 1993). We also compared our model with alternative models to assess whether ESE is a partial instead of a full mediator of the relationship between TSE and EI (Kelloway, 1998).  We conducted the CFA to establish the discriminant validity among our perceptual variables. CFA is frequently used as a first step to assess a proposed measurement model in SEM and verify that the relations in observed variables are caused by the presence of an unmeasured variable thus ensuring the plausibility of the theoretical model (McNeish, 2017). Regarding the use of SEM, four main reasons support our decision for its use. First, SEM enables the analysis of causal patterns among unobserved variables or latent constructs represented by multiple measures (Fassinger, 1987). Second, the chance of Type I errors is reduced (Claessens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2004). Third, SEM is a well-established statistical method for mediation analysis (MacKinnon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2007), allowing for the simultaneous evaluation of a system of regression equations that are essential for this type of hypothesized models. In this sense, even though multiple regression analysis is a common method to demonstrate mediation (Baron and Kenny, 1986), structural equation modeling facilitates testing the whole model at once, with the benefit of including all the variables simultaneously and accounting for all other effects of the variables. Finally, SEM is a well-established methodology that has been widely used in education research. For example, Sánchez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(2014) applied SEM to identify the factors that may motivate students to adopt and use social network tools for educational purposes; Celik and Yesilyurt (2013) analyzed the correlation between computer supported education, perceived computer self-efficacy, computer anxiety and attitude to technology; Merchant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(2014) have studied the effectiveness of virtual reality-based instruction while Makransky and Lilleholt (2018) and Makransky and Petersen (2019) studied its emotional value and the affective and cognitive factors that play a role in learning with a desktop virtual reality simulation respectively; and Schmid and Petko (2019) investigated the in-school use of digital technologies for personalized learning in connection with students’ self-assessed digital skills and beliefs about the usefulness of information and communication technologies in learning.</w:t>
      </w:r>
    </w:p>
    <w:p w:rsidR="00000000" w:rsidDel="00000000" w:rsidP="00000000" w:rsidRDefault="00000000" w:rsidRPr="00000000" w14:paraId="00000040">
      <w:pPr>
        <w:spacing w:line="360"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041">
      <w:pPr>
        <w:spacing w:line="360" w:lineRule="auto"/>
        <w:jc w:val="both"/>
        <w:rPr>
          <w:rFonts w:ascii="Times" w:cs="Times" w:eastAsia="Times" w:hAnsi="Times"/>
          <w:sz w:val="20"/>
          <w:szCs w:val="20"/>
        </w:rPr>
      </w:pPr>
      <w:r w:rsidDel="00000000" w:rsidR="00000000" w:rsidRPr="00000000">
        <w:rPr>
          <w:rFonts w:ascii="Times" w:cs="Times" w:eastAsia="Times" w:hAnsi="Times"/>
          <w:sz w:val="20"/>
          <w:szCs w:val="20"/>
          <w:rtl w:val="0"/>
        </w:rPr>
        <w:t xml:space="preserve">All assumptions required for SEM were analysed before testing the hypothesized model. Although determination of appropriate sample size is a critical issue in SEM, there is no consensus in the literature regarding what would be the appropriate sample size. Some evidence exists that simple SEM models could be meaningfully tested even if sample size is quite small (Hoyle, 1999; Hoyle and Kenny, 1999; Marsh and Hau, 1999), but usually </w:t>
      </w:r>
      <w:r w:rsidDel="00000000" w:rsidR="00000000" w:rsidRPr="00000000">
        <w:rPr>
          <w:rFonts w:ascii="Times" w:cs="Times" w:eastAsia="Times" w:hAnsi="Times"/>
          <w:i w:val="1"/>
          <w:sz w:val="20"/>
          <w:szCs w:val="20"/>
          <w:rtl w:val="0"/>
        </w:rPr>
        <w:t xml:space="preserve">N</w:t>
      </w:r>
      <w:r w:rsidDel="00000000" w:rsidR="00000000" w:rsidRPr="00000000">
        <w:rPr>
          <w:rFonts w:ascii="Times" w:cs="Times" w:eastAsia="Times" w:hAnsi="Times"/>
          <w:sz w:val="20"/>
          <w:szCs w:val="20"/>
          <w:rtl w:val="0"/>
        </w:rPr>
        <w:t xml:space="preserve"> = 100 – 150 is considered the minimum sample size (Tinsley and Tinsley, 1987; Anderson and Gerbing, 1988; Ding </w:t>
      </w:r>
      <w:r w:rsidDel="00000000" w:rsidR="00000000" w:rsidRPr="00000000">
        <w:rPr>
          <w:rFonts w:ascii="Times" w:cs="Times" w:eastAsia="Times" w:hAnsi="Times"/>
          <w:i w:val="1"/>
          <w:sz w:val="20"/>
          <w:szCs w:val="20"/>
          <w:rtl w:val="0"/>
        </w:rPr>
        <w:t xml:space="preserve">et al.</w:t>
      </w:r>
      <w:r w:rsidDel="00000000" w:rsidR="00000000" w:rsidRPr="00000000">
        <w:rPr>
          <w:rFonts w:ascii="Times" w:cs="Times" w:eastAsia="Times" w:hAnsi="Times"/>
          <w:sz w:val="20"/>
          <w:szCs w:val="20"/>
          <w:rtl w:val="0"/>
        </w:rPr>
        <w:t xml:space="preserve">, 1995). S</w:t>
      </w:r>
      <w:r w:rsidDel="00000000" w:rsidR="00000000" w:rsidRPr="00000000">
        <w:rPr>
          <w:rFonts w:ascii="Times" w:cs="Times" w:eastAsia="Times" w:hAnsi="Times"/>
          <w:color w:val="000000"/>
          <w:sz w:val="20"/>
          <w:szCs w:val="20"/>
          <w:rtl w:val="0"/>
        </w:rPr>
        <w:t xml:space="preserve">maller samples are also common in general education and entrepreneurial intentions research (McNeish, 2017; Wu and Wu, 2008; Chen, 2014)</w:t>
      </w:r>
      <w:r w:rsidDel="00000000" w:rsidR="00000000" w:rsidRPr="00000000">
        <w:rPr>
          <w:rFonts w:ascii="Times" w:cs="Times" w:eastAsia="Times" w:hAnsi="Times"/>
          <w:sz w:val="20"/>
          <w:szCs w:val="20"/>
          <w:rtl w:val="0"/>
        </w:rPr>
        <w:t xml:space="preserve">, therefore we consider the sample size of our study as satisfactory to conduct reliable SEM analysis considering thresholds suggested by Tabachnick and Fidell (2001), Barrett (2007), Schreiber </w:t>
      </w:r>
      <w:r w:rsidDel="00000000" w:rsidR="00000000" w:rsidRPr="00000000">
        <w:rPr>
          <w:rFonts w:ascii="Times" w:cs="Times" w:eastAsia="Times" w:hAnsi="Times"/>
          <w:i w:val="1"/>
          <w:sz w:val="20"/>
          <w:szCs w:val="20"/>
          <w:rtl w:val="0"/>
        </w:rPr>
        <w:t xml:space="preserve">et al.</w:t>
      </w:r>
      <w:r w:rsidDel="00000000" w:rsidR="00000000" w:rsidRPr="00000000">
        <w:rPr>
          <w:rFonts w:ascii="Times" w:cs="Times" w:eastAsia="Times" w:hAnsi="Times"/>
          <w:sz w:val="20"/>
          <w:szCs w:val="20"/>
          <w:rtl w:val="0"/>
        </w:rPr>
        <w:t xml:space="preserve">, (2006), Stevens (2002), and Weston and Gore (2006).</w:t>
      </w:r>
    </w:p>
    <w:p w:rsidR="00000000" w:rsidDel="00000000" w:rsidP="00000000" w:rsidRDefault="00000000" w:rsidRPr="00000000" w14:paraId="0000004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Fonts w:ascii="Times" w:cs="Times" w:eastAsia="Times" w:hAnsi="Times"/>
          <w:b w:val="1"/>
          <w:i w:val="0"/>
          <w:smallCaps w:val="0"/>
          <w:strike w:val="0"/>
          <w:color w:val="000000"/>
          <w:sz w:val="20"/>
          <w:szCs w:val="20"/>
          <w:u w:val="none"/>
          <w:shd w:fill="auto" w:val="clear"/>
          <w:vertAlign w:val="baseline"/>
          <w:rtl w:val="0"/>
        </w:rPr>
        <w:t xml:space="preserve">Results </w:t>
      </w:r>
    </w:p>
    <w:p w:rsidR="00000000" w:rsidDel="00000000" w:rsidP="00000000" w:rsidRDefault="00000000" w:rsidRPr="00000000" w14:paraId="0000004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Our results of the structural equation modeling analysis, provided in Table 1, display a good fit of our hypothesized model: Comparative Fit Index (CFI) = 0.924, Root Mean Square Error of approximation = 0.065 and Coefficient of Determination = 0.993, meeting the goodness of fit criteria suggested by Hu and Bentler (1999). The Comparative Fit Index (Bentler 1990) considers sample size (Byrne 1998) and performs well even when it is small (Tabachnick and Fidell, 2001).</w:t>
      </w:r>
    </w:p>
    <w:p w:rsidR="00000000" w:rsidDel="00000000" w:rsidP="00000000" w:rsidRDefault="00000000" w:rsidRPr="00000000" w14:paraId="0000004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Insert Table 1 Here</w:t>
      </w:r>
    </w:p>
    <w:p w:rsidR="00000000" w:rsidDel="00000000" w:rsidP="00000000" w:rsidRDefault="00000000" w:rsidRPr="00000000" w14:paraId="0000004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Our model (see Figure 2) shows the existence of a direct, positive effect of TSE on EI at Time 2 (β = 0.21, p &lt; 0.1), in support of Hypothesis 1. Moreover, an individual’s perceived TSE is positively related to ESE (β = 0.34, p &lt; 0.01), and a statistically significant relation (β = 0.32, p &lt; 0.05) was found between ESE</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and EI at Time 2. Since the value of the regression coefficients is greater than 0.30, the effect size for these relations is moderate (Kline 1998), where approximately 12% (square of 0.34) of the variance of ESE is explained by TSE, and 10% of the variance of EI at Time 2 (square of β, which is 0.32) is explained by ESE. Thus, these findings provide support for Hypothesis 2, and ESE serves as a partial mediator between TSE and EI at Time 2. Additionally, we found a significant but small (Kline, 1998) indirect effect of TSE on EI at Time 2 (β = 0.11, p = 0.07), leading to a significant total effect of TSE on EI at Time 2 (β = 0.32, p &lt; 0.05).</w:t>
      </w:r>
    </w:p>
    <w:p w:rsidR="00000000" w:rsidDel="00000000" w:rsidP="00000000" w:rsidRDefault="00000000" w:rsidRPr="00000000" w14:paraId="0000004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Finally, we also included the construct of EI at Time 1 as a control variable. A significant positive relationship (β = 0.86, p &lt; 0.001) was also observed between students’ intentions at Time 1 and those at Time 2, in support of Hypothesis 3. Since the value of the regression coefficient is greater than 0.50, the effect size for this relation can be considered large according to Kline (1998). Thus, EI at Time 1 explains 73% of the variance (square of β, which is 0.86) of EI at Time 2. We let the error terms for Entrepreneurial Intention (EI) at Time 1 and Time 2 correlate in the model since the same variable is measured in two waves. In this sense, non-observed variables influencing EI at Time 1 would be related to non-observed variables influencing EI at Time 2 (e.g., feelings, emotions, attitudes toward risk). </w:t>
      </w:r>
    </w:p>
    <w:p w:rsidR="00000000" w:rsidDel="00000000" w:rsidP="00000000" w:rsidRDefault="00000000" w:rsidRPr="00000000" w14:paraId="0000004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Insert Table 2 Here</w:t>
      </w:r>
    </w:p>
    <w:p w:rsidR="00000000" w:rsidDel="00000000" w:rsidP="00000000" w:rsidRDefault="00000000" w:rsidRPr="00000000" w14:paraId="0000004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We also tested two (2) additional models to ascertain that our model provided the best fit. Fit statistics are shown in Table 3. In Model 2 (See Figure 3 in the Appendix), we eliminated the direct effect of TSE to EI at Time 2, thus ESE serves as a full mediator variable. In Model 3 (see Figure 4 in the Appendix), we consider only direct effects of both TSE and ESE on EI at Time 2. In contrast to our hypothesized model, the total effect of TSE on EI at Time 2 when we consider the full mediation of ESE is smaller (β = 0.13, p &lt; 0.05), resulting in a worse model fit (CFI = 0.923). The same occurs if we only consider a direct effect of TSE on EI at Time 2, without the mediation effect of ESE (CFI = 0.917).</w:t>
      </w:r>
    </w:p>
    <w:p w:rsidR="00000000" w:rsidDel="00000000" w:rsidP="00000000" w:rsidRDefault="00000000" w:rsidRPr="00000000" w14:paraId="0000004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Insert Table 3 Here</w:t>
      </w:r>
    </w:p>
    <w:p w:rsidR="00000000" w:rsidDel="00000000" w:rsidP="00000000" w:rsidRDefault="00000000" w:rsidRPr="00000000" w14:paraId="0000005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Fonts w:ascii="Times" w:cs="Times" w:eastAsia="Times" w:hAnsi="Times"/>
          <w:b w:val="1"/>
          <w:i w:val="0"/>
          <w:smallCaps w:val="0"/>
          <w:strike w:val="0"/>
          <w:color w:val="000000"/>
          <w:sz w:val="20"/>
          <w:szCs w:val="20"/>
          <w:u w:val="none"/>
          <w:shd w:fill="auto" w:val="clear"/>
          <w:vertAlign w:val="baseline"/>
          <w:rtl w:val="0"/>
        </w:rPr>
        <w:t xml:space="preserve">Discussion and Conclusion</w:t>
      </w:r>
    </w:p>
    <w:p w:rsidR="00000000" w:rsidDel="00000000" w:rsidP="00000000" w:rsidRDefault="00000000" w:rsidRPr="00000000" w14:paraId="00000055">
      <w:pPr>
        <w:spacing w:line="360" w:lineRule="auto"/>
        <w:jc w:val="both"/>
        <w:rPr>
          <w:rFonts w:ascii="Times" w:cs="Times" w:eastAsia="Times" w:hAnsi="Times"/>
          <w:color w:val="000000"/>
          <w:sz w:val="20"/>
          <w:szCs w:val="20"/>
        </w:rPr>
      </w:pPr>
      <w:r w:rsidDel="00000000" w:rsidR="00000000" w:rsidRPr="00000000">
        <w:rPr>
          <w:rFonts w:ascii="Times" w:cs="Times" w:eastAsia="Times" w:hAnsi="Times"/>
          <w:color w:val="000000"/>
          <w:sz w:val="20"/>
          <w:szCs w:val="20"/>
          <w:rtl w:val="0"/>
        </w:rPr>
        <w:t xml:space="preserve">Existing research in entrepreneurship has largely neglected the role digital technology plays in entrepreneurial pursuits. This situation prompted Nambisan (2017) to challenge the field to start “theorizing the role of specific aspects of digital technologies in shaping entrepreneurial opportunities, decisions, actions, and outcomes” (p. 2). Our model, grounded in social-learning theory (Bandura, 1986), heeds this call and places a fine-grained focus on specific aspects and characteristics of entrepreneurial education that may offer a promising path toward developing more accurate theoretical explanations of the phenomenon.</w:t>
      </w:r>
      <w:r w:rsidDel="00000000" w:rsidR="00000000" w:rsidRPr="00000000">
        <w:rPr>
          <w:rFonts w:ascii="Times" w:cs="Times" w:eastAsia="Times" w:hAnsi="Times"/>
          <w:sz w:val="20"/>
          <w:szCs w:val="20"/>
          <w:rtl w:val="0"/>
        </w:rPr>
        <w:t xml:space="preserve"> Results from our analysis provide </w:t>
      </w:r>
      <w:r w:rsidDel="00000000" w:rsidR="00000000" w:rsidRPr="00000000">
        <w:rPr>
          <w:rFonts w:ascii="Times" w:cs="Times" w:eastAsia="Times" w:hAnsi="Times"/>
          <w:color w:val="000000"/>
          <w:sz w:val="20"/>
          <w:szCs w:val="20"/>
          <w:rtl w:val="0"/>
        </w:rPr>
        <w:t xml:space="preserve">preliminary </w:t>
      </w:r>
      <w:r w:rsidDel="00000000" w:rsidR="00000000" w:rsidRPr="00000000">
        <w:rPr>
          <w:rFonts w:ascii="Times" w:cs="Times" w:eastAsia="Times" w:hAnsi="Times"/>
          <w:sz w:val="20"/>
          <w:szCs w:val="20"/>
          <w:rtl w:val="0"/>
        </w:rPr>
        <w:t xml:space="preserve">evidence that exposure to and hands on experience with digital technology </w:t>
      </w:r>
      <w:r w:rsidDel="00000000" w:rsidR="00000000" w:rsidRPr="00000000">
        <w:rPr>
          <w:rFonts w:ascii="Times" w:cs="Times" w:eastAsia="Times" w:hAnsi="Times"/>
          <w:color w:val="000000"/>
          <w:sz w:val="20"/>
          <w:szCs w:val="20"/>
          <w:rtl w:val="0"/>
        </w:rPr>
        <w:t xml:space="preserve">in entrepreneurship education programs </w:t>
      </w:r>
      <w:r w:rsidDel="00000000" w:rsidR="00000000" w:rsidRPr="00000000">
        <w:rPr>
          <w:rFonts w:ascii="Times" w:cs="Times" w:eastAsia="Times" w:hAnsi="Times"/>
          <w:sz w:val="20"/>
          <w:szCs w:val="20"/>
          <w:rtl w:val="0"/>
        </w:rPr>
        <w:t xml:space="preserve">has a positive impact on students’ intentions to become entrepreneurs.</w:t>
      </w:r>
      <w:r w:rsidDel="00000000" w:rsidR="00000000" w:rsidRPr="00000000">
        <w:rPr>
          <w:rFonts w:ascii="Times" w:cs="Times" w:eastAsia="Times" w:hAnsi="Times"/>
          <w:color w:val="000000"/>
          <w:sz w:val="20"/>
          <w:szCs w:val="20"/>
          <w:rtl w:val="0"/>
        </w:rPr>
        <w:t xml:space="preserve"> Prior studies of entrepreneurial education in engineering and science programs (Wu and Wu, 2008; Hassan and Wafer, 2012; Barba-Sanchez and Atienza-Sahuquillo, 2018; </w:t>
      </w:r>
      <w:r w:rsidDel="00000000" w:rsidR="00000000" w:rsidRPr="00000000">
        <w:rPr>
          <w:rFonts w:ascii="Times" w:cs="Times" w:eastAsia="Times" w:hAnsi="Times"/>
          <w:sz w:val="20"/>
          <w:szCs w:val="20"/>
          <w:rtl w:val="0"/>
        </w:rPr>
        <w:t xml:space="preserve">Souitaris </w:t>
      </w:r>
      <w:r w:rsidDel="00000000" w:rsidR="00000000" w:rsidRPr="00000000">
        <w:rPr>
          <w:rFonts w:ascii="Times" w:cs="Times" w:eastAsia="Times" w:hAnsi="Times"/>
          <w:i w:val="1"/>
          <w:sz w:val="20"/>
          <w:szCs w:val="20"/>
          <w:rtl w:val="0"/>
        </w:rPr>
        <w:t xml:space="preserve">et al.</w:t>
      </w:r>
      <w:r w:rsidDel="00000000" w:rsidR="00000000" w:rsidRPr="00000000">
        <w:rPr>
          <w:rFonts w:ascii="Times" w:cs="Times" w:eastAsia="Times" w:hAnsi="Times"/>
          <w:sz w:val="20"/>
          <w:szCs w:val="20"/>
          <w:rtl w:val="0"/>
        </w:rPr>
        <w:t xml:space="preserve">, 2007</w:t>
      </w:r>
      <w:r w:rsidDel="00000000" w:rsidR="00000000" w:rsidRPr="00000000">
        <w:rPr>
          <w:rFonts w:ascii="Times" w:cs="Times" w:eastAsia="Times" w:hAnsi="Times"/>
          <w:color w:val="000000"/>
          <w:sz w:val="20"/>
          <w:szCs w:val="20"/>
          <w:rtl w:val="0"/>
        </w:rPr>
        <w:t xml:space="preserve">) hinted at the fact that technology education influenced entrepreneurial attitudes and behaviors, but unlike these studies, this paper peers inside the black box that obscured this relationship. We find that exposure to digital technology in an entrepreneurship program, through its effect on TSE, has a direct impact on EI and this relationship is partially mediated by ESE. Students with high levels of TSE or that acquire it through any of Bandura’s (1986) four mechanisms (mastery experiences, role modeling, social persuasion, and physiological states) benefit by increases to their ESE, leading to higher EI. These results are compatible with the conditions for mediation analysis proposed by Baron and Kenny (1986).</w:t>
      </w:r>
    </w:p>
    <w:p w:rsidR="00000000" w:rsidDel="00000000" w:rsidP="00000000" w:rsidRDefault="00000000" w:rsidRPr="00000000" w14:paraId="00000056">
      <w:pPr>
        <w:spacing w:line="360" w:lineRule="auto"/>
        <w:jc w:val="both"/>
        <w:rPr>
          <w:rFonts w:ascii="Times" w:cs="Times" w:eastAsia="Times" w:hAnsi="Times"/>
          <w:color w:val="000000"/>
          <w:sz w:val="20"/>
          <w:szCs w:val="20"/>
        </w:rPr>
      </w:pPr>
      <w:r w:rsidDel="00000000" w:rsidR="00000000" w:rsidRPr="00000000">
        <w:rPr>
          <w:rtl w:val="0"/>
        </w:rPr>
      </w:r>
    </w:p>
    <w:p w:rsidR="00000000" w:rsidDel="00000000" w:rsidP="00000000" w:rsidRDefault="00000000" w:rsidRPr="00000000" w14:paraId="0000005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Results of our structural equation model analysis make an additional important theoretical contribution by helping unravel the causal relationships between TSE, ESE and EI. By comparing various differing conceptual models, we help determine whether ESE mediates the relationship between TSE and EI or whether TSE mediates the relationship between ESE and EI. In other words, do students make use of maker spaces because they have confidence in their ability to use digital technology and want to raise their confidence in performing as entrepreneurs? Or do they make use of the space because they have confidence in their ability to perform as entrepreneurs, but need to learn about and raise their confidence in their ability to utilize digital technology? Unlike engineering students, who might already possess the skills and knowledge to exploit the benefits of digital manufacturing technology (Souitaris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2007), business students lack or might believe they lack these skills and knowledge and the confidence to even attempt learning and using it. Our sample validates this statement, as most respondents indicated they had little to no previous experience with computer-aided design (65.7 %), rapid prototyping (89.7 %), 3D printing (89.7 %), laser cutting (95.3 %), web design (55.1 %), wire framing (89.6 %) and product design (72.0 %). Chen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(1998) posit that ESE can be used to identify reasons for entrepreneurial avoidance. Individuals might actually eschew partaking in entrepreneurial activities not because they lack the necessary skills to do so, but because they simply believe they do. We argue that this would be especially true for business students who perceived they lack the technological skills to contribute in today’s technologically driven enterprises startups. Future research could focus on whether low levels of TSE is a source of entrepreneurial avoidance which would further support the inclusion and availability of these technologies to students.</w:t>
      </w:r>
    </w:p>
    <w:p w:rsidR="00000000" w:rsidDel="00000000" w:rsidP="00000000" w:rsidRDefault="00000000" w:rsidRPr="00000000" w14:paraId="0000005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Practical implications stem from this research. While prior studies have demonstrated the benefits of entrepreneurial education in students to influence entrepreneurial attitudes and behavior, our work expands on this research and looks at how digital and technology education also benefits business students and entrepreneurship programs in general. Our study provides greater detail of pedagogical design and methods (Ghulam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2017; Martin et al, 2013) and broadens our understanding of how specific features of current education programs impact student entrepreneurial self-efficacy and intentions and exert positive effects (Gielnik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2017).  In this sense, results provide insights into the effectiveness of adding a digital technology component by universities in their entrepreneurship education, hoping to incite entrepreneurship (Drnovšek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2010).</w:t>
      </w:r>
    </w:p>
    <w:p w:rsidR="00000000" w:rsidDel="00000000" w:rsidP="00000000" w:rsidRDefault="00000000" w:rsidRPr="00000000" w14:paraId="0000005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University administrators need an evidence base to guide their resource allocation decisions to promote enterprise (Solesvik, 2013). Our results support current initiatives by business schools and entrepreneurship programs to invest in digital technology and establish maker spaces in their campuses. By doing so, students not only benefit from increased confidence in their technological abilities (TSE), but also from an increase in their entrepreneurial abilities (ESE), opening the door to a potential future as entrepreneurs (EI). Schools should also pay greater attention on how they can incorporate these technologies and spaces into their entrepreneurial education curricula, with particular attention to the mechanisms identified by social cognitive theory. As recommended by Zhao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et 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(2005): “entrepreneurship education programs do well to incorporate as many diverse types of learning experiences related to the promotion of greater entrepreneurial self-efficacy.” Practitioners can use these results to tailor their curriculum to meet student’s needs and behavior intentions. For example, in order to enhance EI, university business incubators can include digital technology and education programs so that participants can have enough technical skills and self-encouragement to handle various risks and situations in business future practices (Chen, 2014).</w:t>
      </w:r>
    </w:p>
    <w:p w:rsidR="00000000" w:rsidDel="00000000" w:rsidP="00000000" w:rsidRDefault="00000000" w:rsidRPr="00000000" w14:paraId="0000005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1"/>
          <w:i w:val="0"/>
          <w:smallCaps w:val="0"/>
          <w:strike w:val="0"/>
          <w:color w:val="000000"/>
          <w:sz w:val="20"/>
          <w:szCs w:val="20"/>
          <w:u w:val="none"/>
          <w:shd w:fill="auto" w:val="clear"/>
          <w:vertAlign w:val="baseline"/>
        </w:rPr>
      </w:pPr>
      <w:r w:rsidDel="00000000" w:rsidR="00000000" w:rsidRPr="00000000">
        <w:rPr>
          <w:rFonts w:ascii="Times" w:cs="Times" w:eastAsia="Times" w:hAnsi="Times"/>
          <w:b w:val="1"/>
          <w:i w:val="0"/>
          <w:smallCaps w:val="0"/>
          <w:strike w:val="0"/>
          <w:color w:val="000000"/>
          <w:sz w:val="20"/>
          <w:szCs w:val="20"/>
          <w:u w:val="none"/>
          <w:shd w:fill="auto" w:val="clear"/>
          <w:vertAlign w:val="baseline"/>
          <w:rtl w:val="0"/>
        </w:rPr>
        <w:t xml:space="preserve">Limitations and Future Research</w:t>
      </w:r>
    </w:p>
    <w:p w:rsidR="00000000" w:rsidDel="00000000" w:rsidP="00000000" w:rsidRDefault="00000000" w:rsidRPr="00000000" w14:paraId="0000005E">
      <w:pPr>
        <w:spacing w:line="360" w:lineRule="auto"/>
        <w:jc w:val="both"/>
        <w:rPr>
          <w:rFonts w:ascii="Times" w:cs="Times" w:eastAsia="Times" w:hAnsi="Times"/>
          <w:sz w:val="20"/>
          <w:szCs w:val="20"/>
        </w:rPr>
      </w:pPr>
      <w:r w:rsidDel="00000000" w:rsidR="00000000" w:rsidRPr="00000000">
        <w:rPr>
          <w:rFonts w:ascii="Times" w:cs="Times" w:eastAsia="Times" w:hAnsi="Times"/>
          <w:sz w:val="20"/>
          <w:szCs w:val="20"/>
          <w:rtl w:val="0"/>
        </w:rPr>
        <w:t xml:space="preserve">A limitation of our study is the sample size and its implications for our model’s goodness of fit indexes. </w:t>
      </w:r>
      <w:r w:rsidDel="00000000" w:rsidR="00000000" w:rsidRPr="00000000">
        <w:rPr>
          <w:rFonts w:ascii="Times" w:cs="Times" w:eastAsia="Times" w:hAnsi="Times"/>
          <w:color w:val="000000"/>
          <w:sz w:val="20"/>
          <w:szCs w:val="20"/>
          <w:rtl w:val="0"/>
        </w:rPr>
        <w:t xml:space="preserve">While financial limitations and logistical challenges make smaller samples common in general education (McNeish, 2017) and entrepreneurial intentions (Wu and Wu, 2008; Chen, 2014) research, future studies </w:t>
      </w:r>
      <w:r w:rsidDel="00000000" w:rsidR="00000000" w:rsidRPr="00000000">
        <w:rPr>
          <w:rFonts w:ascii="Times" w:cs="Times" w:eastAsia="Times" w:hAnsi="Times"/>
          <w:sz w:val="20"/>
          <w:szCs w:val="20"/>
          <w:rtl w:val="0"/>
        </w:rPr>
        <w:t xml:space="preserve">that utilize larger samples would be fruitful. This would help avoid any potential effects on the normal distribution of the observed variables, which are not frequently satisfied in Likert scales. This is due to a certain degree of skewness, which can often be found in the distribution of observed </w:t>
      </w:r>
      <w:r w:rsidDel="00000000" w:rsidR="00000000" w:rsidRPr="00000000">
        <w:rPr>
          <w:rFonts w:ascii="Times" w:cs="Times" w:eastAsia="Times" w:hAnsi="Times"/>
          <w:color w:val="000000"/>
          <w:sz w:val="20"/>
          <w:szCs w:val="20"/>
          <w:rtl w:val="0"/>
        </w:rPr>
        <w:t xml:space="preserve">variables and can lead to non-normal multivariate distribution (Newsom, 2018).</w:t>
      </w:r>
      <w:r w:rsidDel="00000000" w:rsidR="00000000" w:rsidRPr="00000000">
        <w:rPr>
          <w:rtl w:val="0"/>
        </w:rPr>
      </w:r>
    </w:p>
    <w:p w:rsidR="00000000" w:rsidDel="00000000" w:rsidP="00000000" w:rsidRDefault="00000000" w:rsidRPr="00000000" w14:paraId="0000005F">
      <w:pPr>
        <w:spacing w:line="360"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06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Another limitation lies in the use of EI as a dependent variable. While the connection between behavioral intentions and action has been established in the past and is supported by empirical research (Ajzen, 1991), other factors may exist that prevent turning intentions to action. Future research could include longitudinal data that follows students and observes which of them actually become entrepreneurs. This data could also compare their levels of success to further validate and enhance our results.</w:t>
      </w:r>
    </w:p>
    <w:p w:rsidR="00000000" w:rsidDel="00000000" w:rsidP="00000000" w:rsidRDefault="00000000" w:rsidRPr="00000000" w14:paraId="00000061">
      <w:pPr>
        <w:spacing w:line="360"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062">
      <w:pPr>
        <w:spacing w:line="360" w:lineRule="auto"/>
        <w:jc w:val="both"/>
        <w:rPr>
          <w:rFonts w:ascii="Times" w:cs="Times" w:eastAsia="Times" w:hAnsi="Times"/>
          <w:sz w:val="20"/>
          <w:szCs w:val="20"/>
        </w:rPr>
      </w:pPr>
      <w:r w:rsidDel="00000000" w:rsidR="00000000" w:rsidRPr="00000000">
        <w:rPr>
          <w:rFonts w:ascii="Times" w:cs="Times" w:eastAsia="Times" w:hAnsi="Times"/>
          <w:sz w:val="20"/>
          <w:szCs w:val="20"/>
          <w:rtl w:val="0"/>
        </w:rPr>
        <w:t xml:space="preserve">Moreover, while our data was collected from students participating in entrepreneurship classes in a university that provided them with access to digital manufacturing technology, the specific details of the content, design and delivery of the program was not considered in our study. This information could be potentially valuable in determining specific differences in content and the tools utilized that would further increase TSE, ESE and EI. The use of experimental designs to completely capture the impact of these differences is a potential avenue to be considered. Finally, because our instruments were only based on perceptual measures, our study is only able to capture perceived learning of the technology by the students. Future studies could be conducted where the model tests whether there’s a relationship between higher levels of actual learning in using digital manufacturing technology and EI and whether this relationship is also mediated by ESE.</w:t>
      </w:r>
    </w:p>
    <w:p w:rsidR="00000000" w:rsidDel="00000000" w:rsidP="00000000" w:rsidRDefault="00000000" w:rsidRPr="00000000" w14:paraId="0000006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64">
      <w:pPr>
        <w:spacing w:line="360" w:lineRule="auto"/>
        <w:jc w:val="both"/>
        <w:rPr>
          <w:rFonts w:ascii="Times" w:cs="Times" w:eastAsia="Times" w:hAnsi="Times"/>
          <w:b w:val="1"/>
          <w:sz w:val="20"/>
          <w:szCs w:val="20"/>
        </w:rPr>
      </w:pPr>
      <w:r w:rsidDel="00000000" w:rsidR="00000000" w:rsidRPr="00000000">
        <w:rPr>
          <w:rFonts w:ascii="Times" w:cs="Times" w:eastAsia="Times" w:hAnsi="Times"/>
          <w:b w:val="1"/>
          <w:sz w:val="20"/>
          <w:szCs w:val="20"/>
          <w:rtl w:val="0"/>
        </w:rPr>
        <w:t xml:space="preserve">References</w:t>
      </w:r>
    </w:p>
    <w:p w:rsidR="00000000" w:rsidDel="00000000" w:rsidP="00000000" w:rsidRDefault="00000000" w:rsidRPr="00000000" w14:paraId="0000006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Ardito, L., Petruzzelli, A. M., Panniello, U. and Garavelli, A. C. (2019), “Towards Industry 4.0: Mapping digital technologies for supply chain management-marketing integration”,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Business Process Management Journal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25 No. 2, pp. 323-346.</w:t>
      </w:r>
    </w:p>
    <w:p w:rsidR="00000000" w:rsidDel="00000000" w:rsidP="00000000" w:rsidRDefault="00000000" w:rsidRPr="00000000" w14:paraId="0000006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Ardito, L., D'Adda, D., &amp; Petruzzelli, A. M. (2018). “Mapping innovation dynamics in the Internet of Things domain: Evidence from patent analysis”,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Technological Forecasting and Social Change</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136, pp. 317-330.</w:t>
      </w:r>
    </w:p>
    <w:p w:rsidR="00000000" w:rsidDel="00000000" w:rsidP="00000000" w:rsidRDefault="00000000" w:rsidRPr="00000000" w14:paraId="0000006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Aldrich, H.E., (2014), The democratization of entrepreneurship? Hackers, makerspaces, and crowdfunding,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In Annual Meeting of the Academy of Management</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w:t>
      </w:r>
    </w:p>
    <w:p w:rsidR="00000000" w:rsidDel="00000000" w:rsidP="00000000" w:rsidRDefault="00000000" w:rsidRPr="00000000" w14:paraId="0000006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Ajzen, I. (1991), “The theory of planned behavior”,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Organizational Behavior and Human Decision Processes</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50, No. 2, pp. 179-211.</w:t>
      </w:r>
    </w:p>
    <w:p w:rsidR="00000000" w:rsidDel="00000000" w:rsidP="00000000" w:rsidRDefault="00000000" w:rsidRPr="00000000" w14:paraId="0000006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Anderson, J. C., and Gerbing, D. W. (1988), “Structural equation modeling in practice: A review and recommended two-step approach”.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Psychological Bulletin,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Vol. 103, No. 3, pp. 411.</w:t>
      </w:r>
    </w:p>
    <w:p w:rsidR="00000000" w:rsidDel="00000000" w:rsidP="00000000" w:rsidRDefault="00000000" w:rsidRPr="00000000" w14:paraId="0000006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Aronsson, M. (2004), “Education matters—but does entrepreneurship education? An interview with David Birch”,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Academy of Management Learning &amp; Education</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3 No. 3, pp. 289-292.</w:t>
      </w:r>
    </w:p>
    <w:p w:rsidR="00000000" w:rsidDel="00000000" w:rsidP="00000000" w:rsidRDefault="00000000" w:rsidRPr="00000000" w14:paraId="0000006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Bakker, R. M., &amp; Shepherd, D. A. (2017), “Pull the plug or take the plunge: Multiple opportunities and the speed of venturing decisions in the Australian mining industry”, </w:t>
      </w:r>
      <w:r w:rsidDel="00000000" w:rsidR="00000000" w:rsidRPr="00000000">
        <w:rPr>
          <w:rFonts w:ascii="Times New Roman" w:cs="Times New Roman" w:eastAsia="Times New Roman" w:hAnsi="Times New Roman"/>
          <w:b w:val="0"/>
          <w:i w:val="1"/>
          <w:smallCaps w:val="0"/>
          <w:strike w:val="0"/>
          <w:color w:val="000000"/>
          <w:sz w:val="20"/>
          <w:szCs w:val="20"/>
          <w:u w:val="none"/>
          <w:shd w:fill="auto" w:val="clear"/>
          <w:vertAlign w:val="baseline"/>
          <w:rtl w:val="0"/>
        </w:rPr>
        <w:t xml:space="preserve">Academy of Management Journal</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Vol. 60, No. 1, pp. 130–155. </w:t>
      </w:r>
    </w:p>
    <w:p w:rsidR="00000000" w:rsidDel="00000000" w:rsidP="00000000" w:rsidRDefault="00000000" w:rsidRPr="00000000" w14:paraId="0000006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Bandura, A. (1977), “Self-efficacy: toward a unifying theory of behavioral change”, </w:t>
      </w:r>
      <w:r w:rsidDel="00000000" w:rsidR="00000000" w:rsidRPr="00000000">
        <w:rPr>
          <w:rFonts w:ascii="Times New Roman" w:cs="Times New Roman" w:eastAsia="Times New Roman" w:hAnsi="Times New Roman"/>
          <w:b w:val="0"/>
          <w:i w:val="1"/>
          <w:smallCaps w:val="0"/>
          <w:strike w:val="0"/>
          <w:color w:val="000000"/>
          <w:sz w:val="20"/>
          <w:szCs w:val="20"/>
          <w:u w:val="none"/>
          <w:shd w:fill="auto" w:val="clear"/>
          <w:vertAlign w:val="baseline"/>
          <w:rtl w:val="0"/>
        </w:rPr>
        <w:t xml:space="preserve">Psychological Review</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Vol. 84, No.2, pp.191.</w:t>
      </w:r>
    </w:p>
    <w:p w:rsidR="00000000" w:rsidDel="00000000" w:rsidP="00000000" w:rsidRDefault="00000000" w:rsidRPr="00000000" w14:paraId="0000006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Bandura, A. (1978), “The self system in reciprocal determinism”,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American Psychological Association</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33, No. 4, pp. 344.</w:t>
      </w:r>
    </w:p>
    <w:p w:rsidR="00000000" w:rsidDel="00000000" w:rsidP="00000000" w:rsidRDefault="00000000" w:rsidRPr="00000000" w14:paraId="0000006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Bandura, A. (1982), “Self-efficacy mechanism in human agency”,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American Psychologist</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37</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 2, p. 122.</w:t>
      </w:r>
    </w:p>
    <w:p w:rsidR="00000000" w:rsidDel="00000000" w:rsidP="00000000" w:rsidRDefault="00000000" w:rsidRPr="00000000" w14:paraId="0000006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Bandura, A., 1986.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Social Foundation of Thought and Action: A Social Cognitive Theory</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Prentice-Hall, New Jersey.</w:t>
      </w:r>
    </w:p>
    <w:p w:rsidR="00000000" w:rsidDel="00000000" w:rsidP="00000000" w:rsidRDefault="00000000" w:rsidRPr="00000000" w14:paraId="0000007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Bandura, A. (1989), “Human agency in social cognitive theory”,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American Psychological Association,</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44, No.9, pp. 1175-1184.</w:t>
      </w:r>
    </w:p>
    <w:p w:rsidR="00000000" w:rsidDel="00000000" w:rsidP="00000000" w:rsidRDefault="00000000" w:rsidRPr="00000000" w14:paraId="0000007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Bandura, A. (1992), “Self-efficacy mechanism in psychobiologic functioning”, in R. Schwarzer, R. (Ed.),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Self-efficacy: Thought control of action</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Hemisphere Publishing Corp., Washington, DC.</w:t>
      </w:r>
    </w:p>
    <w:p w:rsidR="00000000" w:rsidDel="00000000" w:rsidP="00000000" w:rsidRDefault="00000000" w:rsidRPr="00000000" w14:paraId="0000007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Bandura, A. (1997),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Self-efficacy: The exercise of control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Macmillan.</w:t>
      </w:r>
    </w:p>
    <w:p w:rsidR="00000000" w:rsidDel="00000000" w:rsidP="00000000" w:rsidRDefault="00000000" w:rsidRPr="00000000" w14:paraId="0000007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Barba-Sánchez, V., &amp; Atienza-Sahuquillo, C. (2018), “Entrepreneurial intention among engineering students: The role of entrepreneurship education”,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European Research on Management and Business Economics</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24, No. 1, pp. 53-61.</w:t>
      </w:r>
    </w:p>
    <w:p w:rsidR="00000000" w:rsidDel="00000000" w:rsidP="00000000" w:rsidRDefault="00000000" w:rsidRPr="00000000" w14:paraId="0000007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Baron, R. M., and Kenny, D. A. (1986), “The moderator–mediator variable distinction in social psychological research: Conceptual, strategic, and statistical considerations”,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Personality and Social Psychology,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Vol. 51 No. 6, pp. 1173-1182.</w:t>
      </w:r>
    </w:p>
    <w:p w:rsidR="00000000" w:rsidDel="00000000" w:rsidP="00000000" w:rsidRDefault="00000000" w:rsidRPr="00000000" w14:paraId="0000007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Barrett, P. (2007), “Structural equation modeling: Adjudging model fit”,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Personality and Individual Differences</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42, No. 5, pp. 815-824.</w:t>
      </w:r>
    </w:p>
    <w:p w:rsidR="00000000" w:rsidDel="00000000" w:rsidP="00000000" w:rsidRDefault="00000000" w:rsidRPr="00000000" w14:paraId="0000007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Bentler, P. M. (1990), “Comparative fit indexes in structural models”,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Psychological Bulletin,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Vol. 107, No. 2, pp. 238.</w:t>
      </w:r>
    </w:p>
    <w:p w:rsidR="00000000" w:rsidDel="00000000" w:rsidP="00000000" w:rsidRDefault="00000000" w:rsidRPr="00000000" w14:paraId="0000007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Betz, N. E., and Hackett, G. (1981), “The relationship of career-related self-efficacy expectations to perceived career options in college women and men”,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Counseling Psychology,</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28, No. 5, pp. 399.</w:t>
      </w:r>
    </w:p>
    <w:p w:rsidR="00000000" w:rsidDel="00000000" w:rsidP="00000000" w:rsidRDefault="00000000" w:rsidRPr="00000000" w14:paraId="0000007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Betz, N. E., and Hackett, G. (1983), “The relationship of mathematics self-efficacy expectations to the selection of science-based college majors”,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Vocational Behavior</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23, No. 3, pp. 329-345.</w:t>
      </w:r>
    </w:p>
    <w:p w:rsidR="00000000" w:rsidDel="00000000" w:rsidP="00000000" w:rsidRDefault="00000000" w:rsidRPr="00000000" w14:paraId="0000007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Birtchnell, T., Böhme, T., &amp; Gorkin, R. (2017), “3D printing and the third mission: The university in the materialization of intellectual capital”,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Technological Forecasting and Social Change,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Vol. 123, pp. 240-249.</w:t>
      </w:r>
    </w:p>
    <w:p w:rsidR="00000000" w:rsidDel="00000000" w:rsidP="00000000" w:rsidRDefault="00000000" w:rsidRPr="00000000" w14:paraId="0000007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Blikstein, P. (2013). Digital Fabrication and ’Making’ in Education: The Democratization of Invention. In J. Walter-Herrmann &amp; C. Büching (Eds.),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FabLabs: Of Machines, Makers and Inventors.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Bielefeld: Transcript Publishers. </w:t>
      </w:r>
    </w:p>
    <w:p w:rsidR="00000000" w:rsidDel="00000000" w:rsidP="00000000" w:rsidRDefault="00000000" w:rsidRPr="00000000" w14:paraId="0000007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Boyd, N. G., and Vozikis, G. S. (1994), “The influence of self-efficacy on the development of entrepreneurial intentions and actions”,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Entrepreneurship Theory and Practice,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Vol. 18, No. 4, pp. 63-77.</w:t>
      </w:r>
    </w:p>
    <w:p w:rsidR="00000000" w:rsidDel="00000000" w:rsidP="00000000" w:rsidRDefault="00000000" w:rsidRPr="00000000" w14:paraId="0000007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Byrne, B.M., 2013.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Structural equation modeling with LISREL, PRELIS, and SIMPLIS: Basic concepts, applications, and programming</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Psychology Press.</w:t>
      </w:r>
    </w:p>
    <w:p w:rsidR="00000000" w:rsidDel="00000000" w:rsidP="00000000" w:rsidRDefault="00000000" w:rsidRPr="00000000" w14:paraId="0000007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Davidsson, P. (2015), “Entrepreneurial opportunities and the entrepreneurship nexus: A re-conceptualization”,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Business Venturing</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30</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 5, pp. 674-695.</w:t>
      </w:r>
    </w:p>
    <w:p w:rsidR="00000000" w:rsidDel="00000000" w:rsidP="00000000" w:rsidRDefault="00000000" w:rsidRPr="00000000" w14:paraId="0000007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Del Vecchio, P., Di Minin, A., Petruzzelli, A. M., Panniello, U., &amp; Pirri, S. (2018), “Big data for open innovation in SMEs and large corporations: Trends, opportunities, and challenges”,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Creativity and Innovation Management</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27</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 1, pp. 6-22.</w:t>
      </w:r>
    </w:p>
    <w:p w:rsidR="00000000" w:rsidDel="00000000" w:rsidP="00000000" w:rsidRDefault="00000000" w:rsidRPr="00000000" w14:paraId="0000007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Celik, V., &amp; Yesilyurt, E. (2013), “Attitudes to technology, perceived computer self-efficacy and computer anxiety as predictors of computer supported education”,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Computers &amp; Education</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60</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 1, pp. 148-158.</w:t>
      </w:r>
    </w:p>
    <w:p w:rsidR="00000000" w:rsidDel="00000000" w:rsidP="00000000" w:rsidRDefault="00000000" w:rsidRPr="00000000" w14:paraId="0000008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Chen, C. C., Greene, P. G., and Crick, A. (1998), “Does entrepreneurial self-efficacy distinguish entrepreneurs from managers?”,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Business Venturing,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Vol. 13, No. 4, pp. 295-316.</w:t>
      </w:r>
    </w:p>
    <w:p w:rsidR="00000000" w:rsidDel="00000000" w:rsidP="00000000" w:rsidRDefault="00000000" w:rsidRPr="00000000" w14:paraId="0000008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Chen, L. (2014), “Understanding IT entrepreneurial intention: An information systems view”,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Computer Information Systems</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55, No. 1, pp. 2-12.</w:t>
      </w:r>
    </w:p>
    <w:p w:rsidR="00000000" w:rsidDel="00000000" w:rsidP="00000000" w:rsidRDefault="00000000" w:rsidRPr="00000000" w14:paraId="0000008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Claessens, B. J., Van Eerde, W., Rutte, C. G., &amp; Roe, R. A. (2004), “Planning behavior and perceived control of time at work”,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Organizational Behavior: The International Journal of Industrial, Occupational and Organizational Psychology and Behavior</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25</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 8, pp. 937-950.</w:t>
      </w:r>
    </w:p>
    <w:p w:rsidR="00000000" w:rsidDel="00000000" w:rsidP="00000000" w:rsidRDefault="00000000" w:rsidRPr="00000000" w14:paraId="0000008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Cox, L. W., Mueller, S. L., and Moss, S. E. (2002), “The impact of entrepreneurship education on entrepreneurial self-efficacy”,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International Journal of Entrepreneurship Education,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Vol. 1, No.2, pp. 229-245.</w:t>
      </w:r>
    </w:p>
    <w:p w:rsidR="00000000" w:rsidDel="00000000" w:rsidP="00000000" w:rsidRDefault="00000000" w:rsidRPr="00000000" w14:paraId="0000008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Despeisse, M., Baumers, M., Brown, P., Charnley, F., Ford, S. J., Garmulewicz, A., and Rowley, J. (2017), “Unlocking value for a circular economy through 3D printing: A research agenda”.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Technological Forecasting and Social Change,</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115, pp. 75-84.</w:t>
      </w:r>
    </w:p>
    <w:p w:rsidR="00000000" w:rsidDel="00000000" w:rsidP="00000000" w:rsidRDefault="00000000" w:rsidRPr="00000000" w14:paraId="0000008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De Moraes, G. H. S. M., Iizuka, E. S., and Pedro, M. (2018), “Effects of Entrepreneurial Characteristics and University Environment on Entrepreneurial Intention”,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RAC-Revista de Administração Contemporânea,</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22 No. 2, pp. 226-248. </w:t>
      </w:r>
    </w:p>
    <w:p w:rsidR="00000000" w:rsidDel="00000000" w:rsidP="00000000" w:rsidRDefault="00000000" w:rsidRPr="00000000" w14:paraId="0000008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Dewey, J. (1902),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The Child and Curriculum</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University of Chicago Press, Chicago, IL.</w:t>
      </w:r>
    </w:p>
    <w:p w:rsidR="00000000" w:rsidDel="00000000" w:rsidP="00000000" w:rsidRDefault="00000000" w:rsidRPr="00000000" w14:paraId="0000008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Ding, L., Velicer, W. F., and Harlow, L. L. (1995), “Effects of estimation methods, number of indicators per factor, and improper solutions on structural equation modeling fit indices”,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Structural Equation Modeling: A Multidisciplinary Journal,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Vol. 2, No. 2, pp. 119-143.</w:t>
      </w:r>
    </w:p>
    <w:p w:rsidR="00000000" w:rsidDel="00000000" w:rsidP="00000000" w:rsidRDefault="00000000" w:rsidRPr="00000000" w14:paraId="0000008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Drnovšek, M., Wincent, J., and Cardon, M. S. (2010), “Entrepreneurial self-efficacy and business start-up: developing a multi-dimensional definition”,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International Journal of Entrepreneurial Behavior &amp; Research</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16, No. 4, pp. 329-348.</w:t>
      </w:r>
    </w:p>
    <w:p w:rsidR="00000000" w:rsidDel="00000000" w:rsidP="00000000" w:rsidRDefault="00000000" w:rsidRPr="00000000" w14:paraId="0000008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Eccles, T. (1994),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Succeeding with change: Implementing action-driven strategies</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McGraw-Hill Book Company.</w:t>
      </w:r>
    </w:p>
    <w:p w:rsidR="00000000" w:rsidDel="00000000" w:rsidP="00000000" w:rsidRDefault="00000000" w:rsidRPr="00000000" w14:paraId="0000008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Economist, (2011), “3D printing: The printed world”, available at http://www.economist.com/node/18114221 (accessed 24 October 2019).</w:t>
      </w:r>
    </w:p>
    <w:p w:rsidR="00000000" w:rsidDel="00000000" w:rsidP="00000000" w:rsidRDefault="00000000" w:rsidRPr="00000000" w14:paraId="0000008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Fassinger, R. E. (1987), “Use of structural equation modeling in counseling psychology research”,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Counseling Psychology</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34</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 4, pp. 425.</w:t>
      </w:r>
    </w:p>
    <w:p w:rsidR="00000000" w:rsidDel="00000000" w:rsidP="00000000" w:rsidRDefault="00000000" w:rsidRPr="00000000" w14:paraId="0000008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Fayolle, A., and Liñán, F. (2014), “The future of research on entrepreneurial intentions”,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Business Research,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Vol. 67, No. 5, pp. 663-666.</w:t>
      </w:r>
    </w:p>
    <w:p w:rsidR="00000000" w:rsidDel="00000000" w:rsidP="00000000" w:rsidRDefault="00000000" w:rsidRPr="00000000" w14:paraId="0000008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Freudenthal, H., 2012.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Mathematics as an educational task</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Springer Science &amp; Business Media.</w:t>
      </w:r>
    </w:p>
    <w:p w:rsidR="00000000" w:rsidDel="00000000" w:rsidP="00000000" w:rsidRDefault="00000000" w:rsidRPr="00000000" w14:paraId="0000008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Fröbel, F., and Hailmann, W. N. (1901),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The education of ma</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n, New York: D. Appleton.</w:t>
      </w:r>
    </w:p>
    <w:p w:rsidR="00000000" w:rsidDel="00000000" w:rsidP="00000000" w:rsidRDefault="00000000" w:rsidRPr="00000000" w14:paraId="0000008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Ghezzi, A., &amp; Cavallo, A. (2018), “Agile business model innovation in digital entrepreneurship: Lean Startup approaches”,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business research, In Press</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w:t>
      </w:r>
    </w:p>
    <w:p w:rsidR="00000000" w:rsidDel="00000000" w:rsidP="00000000" w:rsidRDefault="00000000" w:rsidRPr="00000000" w14:paraId="0000009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Ghulam, N., Liñán, F., Fayolle, A., Krueger, N., &amp; Walmsley, A. (2017), “The Impact of Entrepreneurship Education in Higher Education: A Systematic Review and Research Agenda”,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Academy of Management Learning and Education</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16, No. 2, pp. 277-299.</w:t>
      </w:r>
    </w:p>
    <w:p w:rsidR="00000000" w:rsidDel="00000000" w:rsidP="00000000" w:rsidRDefault="00000000" w:rsidRPr="00000000" w14:paraId="0000009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Gibcus, P., De Kok, J., Snijders, J., Smit, L. and Van der Linden, B., 2012. Effects and impact of entrepreneurship programmes in higher education.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Directorate-General for Enterprise and Industry, Brussels: European Commission</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w:t>
      </w:r>
    </w:p>
    <w:p w:rsidR="00000000" w:rsidDel="00000000" w:rsidP="00000000" w:rsidRDefault="00000000" w:rsidRPr="00000000" w14:paraId="0000009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Gielnik, M. M., Zacher, H., and Schmitt, A. (2017), “How small business managers’ age and focus on opportunities affect business growth: a mediated moderation growth model”,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Small Business Management,</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55, No. 3, pp. 460-483.</w:t>
      </w:r>
    </w:p>
    <w:p w:rsidR="00000000" w:rsidDel="00000000" w:rsidP="00000000" w:rsidRDefault="00000000" w:rsidRPr="00000000" w14:paraId="0000009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Giones, F., &amp; Brem, A. (2017), “Digital technology entrepreneurship: A definition and research agenda”,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Technology Innovation Management Review</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7</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 5.</w:t>
      </w:r>
    </w:p>
    <w:p w:rsidR="00000000" w:rsidDel="00000000" w:rsidP="00000000" w:rsidRDefault="00000000" w:rsidRPr="00000000" w14:paraId="0000009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Hackett, G., and Betz, N. E. (1981), “A self-efficacy approach to the career development of women”,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Vocational Behavior,</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18, No. 3, pp. 326-339.</w:t>
      </w:r>
    </w:p>
    <w:p w:rsidR="00000000" w:rsidDel="00000000" w:rsidP="00000000" w:rsidRDefault="00000000" w:rsidRPr="00000000" w14:paraId="0000009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Hassan, R. A., &amp; Wafa, S. A. (2012), “Predictors towards entrepreneurial intention: a Malaysian case study”,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Asian Journal of Business and Management Sciences</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1, No. 11, pp. 1–10</w:t>
      </w:r>
    </w:p>
    <w:p w:rsidR="00000000" w:rsidDel="00000000" w:rsidP="00000000" w:rsidRDefault="00000000" w:rsidRPr="00000000" w14:paraId="0000009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Holden, H., and Rada, R. (2011), “Understanding the influence of perceived usability and technology self-efficacy on teachers’ technology acceptance”,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Research on Technology in Education,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Vol. 43, No.4, pp. 343-367.</w:t>
      </w:r>
    </w:p>
    <w:p w:rsidR="00000000" w:rsidDel="00000000" w:rsidP="00000000" w:rsidRDefault="00000000" w:rsidRPr="00000000" w14:paraId="0000009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Hoy, M. (2013), “3D Printing: Making Things at the Library”,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Medical Reference Services Quarterly,</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32, No. 1, pp. 93-99.</w:t>
      </w:r>
    </w:p>
    <w:p w:rsidR="00000000" w:rsidDel="00000000" w:rsidP="00000000" w:rsidRDefault="00000000" w:rsidRPr="00000000" w14:paraId="0000009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Hoyle, R. H., and Kenny, D. A. (1999), “Statistical power and tests of mediation”,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Statistical strategies for small sample research,</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pp. 195-222.</w:t>
      </w:r>
    </w:p>
    <w:p w:rsidR="00000000" w:rsidDel="00000000" w:rsidP="00000000" w:rsidRDefault="00000000" w:rsidRPr="00000000" w14:paraId="0000009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Hoyle, R. H. (Ed.). (1999),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Statistical strategies for small sample research</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Sage.</w:t>
      </w:r>
    </w:p>
    <w:p w:rsidR="00000000" w:rsidDel="00000000" w:rsidP="00000000" w:rsidRDefault="00000000" w:rsidRPr="00000000" w14:paraId="0000009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Hu, L. T., &amp; Bentler, P. M. (1999), “Cutoff criteria for fit indexes in covariance structure analysis: Con- </w:t>
      </w:r>
    </w:p>
    <w:p w:rsidR="00000000" w:rsidDel="00000000" w:rsidP="00000000" w:rsidRDefault="00000000" w:rsidRPr="00000000" w14:paraId="0000009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ventional criteria versus new alternatives”,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Structural Equation Modeling, Vol. 6, pp.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1–55.</w:t>
      </w:r>
    </w:p>
    <w:p w:rsidR="00000000" w:rsidDel="00000000" w:rsidP="00000000" w:rsidRDefault="00000000" w:rsidRPr="00000000" w14:paraId="0000009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Huang, J., Henfridsson, O., Liu, M. J., &amp; Newell, S. (2017), “Growing on Steroids: Rapidly Scaling the User Base of Digital Ventures Through Innovation”,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MIS Quarterly</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41</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 1.</w:t>
      </w:r>
    </w:p>
    <w:p w:rsidR="00000000" w:rsidDel="00000000" w:rsidP="00000000" w:rsidRDefault="00000000" w:rsidRPr="00000000" w14:paraId="0000009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Jöreskog, K.G. and Sörbom, D., 1993.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LISREL 8: Structural equation modeling with the SIMPLIS command language</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Scientific Software International.</w:t>
      </w:r>
    </w:p>
    <w:p w:rsidR="00000000" w:rsidDel="00000000" w:rsidP="00000000" w:rsidRDefault="00000000" w:rsidRPr="00000000" w14:paraId="0000009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Kelestyn, B. &amp; Henfridsson, O. (2014), Everyday digital entrepreneurship: The inception, shifts, and scaling of future shaping practices, </w:t>
      </w:r>
      <w:r w:rsidDel="00000000" w:rsidR="00000000" w:rsidRPr="00000000">
        <w:rPr>
          <w:rFonts w:ascii="Times New Roman" w:cs="Times New Roman" w:eastAsia="Times New Roman" w:hAnsi="Times New Roman"/>
          <w:b w:val="0"/>
          <w:i w:val="1"/>
          <w:smallCaps w:val="0"/>
          <w:strike w:val="0"/>
          <w:color w:val="000000"/>
          <w:sz w:val="20"/>
          <w:szCs w:val="20"/>
          <w:u w:val="none"/>
          <w:shd w:fill="auto" w:val="clear"/>
          <w:vertAlign w:val="baseline"/>
          <w:rtl w:val="0"/>
        </w:rPr>
        <w:t xml:space="preserve">Proceedings of the International Conference on Information Systems, Auckland, NZ</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p w:rsidR="00000000" w:rsidDel="00000000" w:rsidP="00000000" w:rsidRDefault="00000000" w:rsidRPr="00000000" w14:paraId="0000009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Kelloway, E. K. (1998),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Using Lisrel for structural equation modeling: A researcher's guide</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Sage.</w:t>
      </w:r>
    </w:p>
    <w:p w:rsidR="00000000" w:rsidDel="00000000" w:rsidP="00000000" w:rsidRDefault="00000000" w:rsidRPr="00000000" w14:paraId="000000A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Kerr, W. R., Nanda, R., &amp; Rhodes-Kropf, M. (2014), “Entrepreneurship as experimentation”, </w:t>
      </w:r>
      <w:r w:rsidDel="00000000" w:rsidR="00000000" w:rsidRPr="00000000">
        <w:rPr>
          <w:rFonts w:ascii="Times New Roman" w:cs="Times New Roman" w:eastAsia="Times New Roman" w:hAnsi="Times New Roman"/>
          <w:b w:val="0"/>
          <w:i w:val="1"/>
          <w:smallCaps w:val="0"/>
          <w:strike w:val="0"/>
          <w:color w:val="000000"/>
          <w:sz w:val="20"/>
          <w:szCs w:val="20"/>
          <w:u w:val="none"/>
          <w:shd w:fill="auto" w:val="clear"/>
          <w:vertAlign w:val="baseline"/>
          <w:rtl w:val="0"/>
        </w:rPr>
        <w:t xml:space="preserve">Journal of Economic Perspectives</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Vol. </w:t>
      </w:r>
      <w:r w:rsidDel="00000000" w:rsidR="00000000" w:rsidRPr="00000000">
        <w:rPr>
          <w:rFonts w:ascii="Times New Roman" w:cs="Times New Roman" w:eastAsia="Times New Roman" w:hAnsi="Times New Roman"/>
          <w:b w:val="0"/>
          <w:i w:val="1"/>
          <w:smallCaps w:val="0"/>
          <w:strike w:val="0"/>
          <w:color w:val="000000"/>
          <w:sz w:val="20"/>
          <w:szCs w:val="20"/>
          <w:u w:val="none"/>
          <w:shd w:fill="auto" w:val="clear"/>
          <w:vertAlign w:val="baseline"/>
          <w:rtl w:val="0"/>
        </w:rPr>
        <w:t xml:space="preserve">28</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No. 3, pp. 25-48.</w:t>
      </w:r>
    </w:p>
    <w:p w:rsidR="00000000" w:rsidDel="00000000" w:rsidP="00000000" w:rsidRDefault="00000000" w:rsidRPr="00000000" w14:paraId="000000A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Kline, R. B. (1998), </w:t>
      </w:r>
      <w:r w:rsidDel="00000000" w:rsidR="00000000" w:rsidRPr="00000000">
        <w:rPr>
          <w:rFonts w:ascii="Times New Roman" w:cs="Times New Roman" w:eastAsia="Times New Roman" w:hAnsi="Times New Roman"/>
          <w:b w:val="0"/>
          <w:i w:val="1"/>
          <w:smallCaps w:val="0"/>
          <w:strike w:val="0"/>
          <w:color w:val="000000"/>
          <w:sz w:val="20"/>
          <w:szCs w:val="20"/>
          <w:u w:val="none"/>
          <w:shd w:fill="auto" w:val="clear"/>
          <w:vertAlign w:val="baseline"/>
          <w:rtl w:val="0"/>
        </w:rPr>
        <w:t xml:space="preserve">Principles and Practice of Structural Equation Modeling</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The Guilford Press, New York. </w:t>
      </w:r>
    </w:p>
    <w:p w:rsidR="00000000" w:rsidDel="00000000" w:rsidP="00000000" w:rsidRDefault="00000000" w:rsidRPr="00000000" w14:paraId="000000A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Koenig, L. S. (2016), “Integrating Entrepreneurial Self-Efficacy Into Education At Universities”,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Ekonomski vjesnik/Econviews-Review of Contemporary Business, Entrepreneurship and Economic Issues</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29, No.2, pp. 311-321.</w:t>
      </w:r>
    </w:p>
    <w:p w:rsidR="00000000" w:rsidDel="00000000" w:rsidP="00000000" w:rsidRDefault="00000000" w:rsidRPr="00000000" w14:paraId="000000A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Kraus, S., Palmer, C., Kailer, N., Kallinger, F. L., and Spitzer, J. (2018), “Digital entrepreneurship: A research agenda on new business models for the twenty-first century”,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International Journal of Entrepreneurial Behavior &amp; Research,</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25, No. 2, pp.353-375.</w:t>
      </w:r>
    </w:p>
    <w:p w:rsidR="00000000" w:rsidDel="00000000" w:rsidP="00000000" w:rsidRDefault="00000000" w:rsidRPr="00000000" w14:paraId="000000A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Krueger Jr, N. F., Reilly, M. D., &amp; Carsrud, A. L. (2000), “Competing models of entrepreneurial intentions”,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Business Venturing</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15</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 5-6, pp. 411-432.</w:t>
      </w:r>
    </w:p>
    <w:p w:rsidR="00000000" w:rsidDel="00000000" w:rsidP="00000000" w:rsidRDefault="00000000" w:rsidRPr="00000000" w14:paraId="000000A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Liñán, F., &amp; Chen, Y. W. (2009), “Development and cross–cultural application of a specific instrument to measure entrepreneurial intentions”.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Entrepreneurship Theory and Practice</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33</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 3, pp. 593-617.</w:t>
      </w:r>
    </w:p>
    <w:p w:rsidR="00000000" w:rsidDel="00000000" w:rsidP="00000000" w:rsidRDefault="00000000" w:rsidRPr="00000000" w14:paraId="000000A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Lucas, W. A., Cooper, S. Y., Ward, T., &amp; Cave, F. (2009), “Industry placement, authentic experience and the development of venturing and technology self-efficacy”,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Technovation</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29, No. 11, pp. 738-752.</w:t>
      </w:r>
    </w:p>
    <w:p w:rsidR="00000000" w:rsidDel="00000000" w:rsidP="00000000" w:rsidRDefault="00000000" w:rsidRPr="00000000" w14:paraId="000000A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MacKinnon, D. P., Fairchild, A. J., &amp; Fritz, M. S. (2007), “Mediation analysis”,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Annual Review of Psychology</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58</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pp. 593-614.</w:t>
      </w:r>
    </w:p>
    <w:p w:rsidR="00000000" w:rsidDel="00000000" w:rsidP="00000000" w:rsidRDefault="00000000" w:rsidRPr="00000000" w14:paraId="000000A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Makransky, G., &amp; Lilleholt, L. (2018), “A structural equation modeling investigation of the emotional value of immersive virtual reality in education”,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Educational Technology Research and Development</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66</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 5, pp. 1141-1164.</w:t>
      </w:r>
    </w:p>
    <w:p w:rsidR="00000000" w:rsidDel="00000000" w:rsidP="00000000" w:rsidRDefault="00000000" w:rsidRPr="00000000" w14:paraId="000000A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Makransky, G., &amp; Petersen, G. B. (2019), “Investigating the process of learning with desktop virtual reality: A structural equation modeling approach”,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Computers &amp; Education</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134</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pp. 15-30.</w:t>
      </w:r>
    </w:p>
    <w:p w:rsidR="00000000" w:rsidDel="00000000" w:rsidP="00000000" w:rsidRDefault="00000000" w:rsidRPr="00000000" w14:paraId="000000A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Malebana, M. J., and Zindiye, S. (2017), Relationship Between Entrepreneurship Education, Prior Entrepreneurial Exposure, Entrepreneurial Self-Efficacy and Entrepreneurial Intention,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In 12th European Conference on Innovation and Entrepreneurship ECIE 2017</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pp. 392.</w:t>
      </w:r>
    </w:p>
    <w:p w:rsidR="00000000" w:rsidDel="00000000" w:rsidP="00000000" w:rsidRDefault="00000000" w:rsidRPr="00000000" w14:paraId="000000A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Maresch, D., Harms, R., Kailer, N., &amp; Wimmer-Wurm, B. (2016), “The impact of entrepreneurship education on the entrepreneurial intention of students in science and engineering versus business studies university programs”,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Technological forecasting and social change</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104, pp. 172-179.</w:t>
      </w:r>
    </w:p>
    <w:p w:rsidR="00000000" w:rsidDel="00000000" w:rsidP="00000000" w:rsidRDefault="00000000" w:rsidRPr="00000000" w14:paraId="000000A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Marsh, H. W., and Hau, K. T. (1999), “Confirmatory factor analysis: Strategies for small sample sizes”,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Statistical Strategies for Small Sample Research,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Vol. 1, pp. 251-284.</w:t>
      </w:r>
    </w:p>
    <w:p w:rsidR="00000000" w:rsidDel="00000000" w:rsidP="00000000" w:rsidRDefault="00000000" w:rsidRPr="00000000" w14:paraId="000000A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Martin, B. C., McNally, J. J., &amp; Kay, M. J. 2013, “Examining the formation of human capital in entrepreneurship: A meta- analysis of entrepreneurship education outcomes”,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Business Venturing</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28, No. 2, pp. 211–224.</w:t>
      </w:r>
    </w:p>
    <w:p w:rsidR="00000000" w:rsidDel="00000000" w:rsidP="00000000" w:rsidRDefault="00000000" w:rsidRPr="00000000" w14:paraId="000000A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Marvel, M. R., &amp; Lumpkin, G. T. (2007), “Technology entrepreneurs’ human capital and its effects on innovation radicalness”,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Entrepreneurship Theory and Practice</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31</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 6, pp. 807-828.</w:t>
      </w:r>
    </w:p>
    <w:p w:rsidR="00000000" w:rsidDel="00000000" w:rsidP="00000000" w:rsidRDefault="00000000" w:rsidRPr="00000000" w14:paraId="000000A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McNeish, D. (2017), “Multilevel mediation with small samples: A cautionary note on the multilevel structural equation modeling framework”,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Structural Equation Modeling: A Multidisciplinary Journal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24</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 4, pp. 609-625.</w:t>
      </w:r>
    </w:p>
    <w:p w:rsidR="00000000" w:rsidDel="00000000" w:rsidP="00000000" w:rsidRDefault="00000000" w:rsidRPr="00000000" w14:paraId="000000B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Merchant, Z., Goetz, E. T., Cifuentes, L., Keeney-Kennicutt, W., &amp; Davis, T. J. (2014), “Effectiveness of virtual reality-based instruction on students' learning outcomes in K-12 and higher education: A meta-analysis”,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Computers &amp; Education</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70</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pp. 29-40.</w:t>
      </w:r>
    </w:p>
    <w:p w:rsidR="00000000" w:rsidDel="00000000" w:rsidP="00000000" w:rsidRDefault="00000000" w:rsidRPr="00000000" w14:paraId="000000B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Militaru, G., Pollifroni, M., and Niculescu, C. (2015), The Role of Technology Entrepreneurship Education in Encouraging to Launch New Ventures,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In Balkan Region Conference on Engineering and Business Education (Vol. 1, No. 1), De Gruyter Open</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w:t>
      </w:r>
    </w:p>
    <w:p w:rsidR="00000000" w:rsidDel="00000000" w:rsidP="00000000" w:rsidRDefault="00000000" w:rsidRPr="00000000" w14:paraId="000000B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Moberg SK (2013), An entrepreneurial self-efficacy scale with a neutral wording, In: Fayolle A, Kyrö P, Mets T, Venesaar U (Eds),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Conceptual richness and methodological diversity in entrepreneurship research: entrepreneurship research in Europe</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Edward Elgar, Cheltenham</w:t>
      </w:r>
    </w:p>
    <w:p w:rsidR="00000000" w:rsidDel="00000000" w:rsidP="00000000" w:rsidRDefault="00000000" w:rsidRPr="00000000" w14:paraId="000000B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Montessori, M. (1964),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The advanced Montessori method</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R. Bentley, Cambridge, Massachussets.</w:t>
      </w:r>
      <w:r w:rsidDel="00000000" w:rsidR="00000000" w:rsidRPr="00000000">
        <w:rPr>
          <w:rFonts w:ascii="MS Mincho" w:cs="MS Mincho" w:eastAsia="MS Mincho" w:hAnsi="MS Mincho"/>
          <w:b w:val="0"/>
          <w:i w:val="0"/>
          <w:smallCaps w:val="0"/>
          <w:strike w:val="0"/>
          <w:color w:val="000000"/>
          <w:sz w:val="20"/>
          <w:szCs w:val="20"/>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B4">
      <w:pPr>
        <w:keepNext w:val="0"/>
        <w:keepLines w:val="0"/>
        <w:widowControl w:val="1"/>
        <w:pBdr>
          <w:top w:space="0" w:sz="0" w:val="nil"/>
          <w:left w:space="0" w:sz="0" w:val="nil"/>
          <w:bottom w:space="0" w:sz="0" w:val="nil"/>
          <w:right w:space="0" w:sz="0" w:val="nil"/>
          <w:between w:space="0" w:sz="0" w:val="nil"/>
        </w:pBdr>
        <w:shd w:fill="auto" w:val="clear"/>
        <w:tabs>
          <w:tab w:val="left" w:pos="8529"/>
        </w:tabs>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Montessori, M. (1965),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Spontaneous activity in education</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Schocken Books, New York.</w:t>
      </w:r>
    </w:p>
    <w:p w:rsidR="00000000" w:rsidDel="00000000" w:rsidP="00000000" w:rsidRDefault="00000000" w:rsidRPr="00000000" w14:paraId="000000B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Mortara, L., &amp; Parisot, N. (2016), “How Do Fab-Spaces Enable Entrepreneurship? Case Studies of ‘Makers' Entrepreneurs”,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International Journal of Manufacturing Technology Management</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Forthcoming.</w:t>
      </w:r>
    </w:p>
    <w:p w:rsidR="00000000" w:rsidDel="00000000" w:rsidP="00000000" w:rsidRDefault="00000000" w:rsidRPr="00000000" w14:paraId="000000B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Nambisan, S. (2017), “Digital entrepreneurship: Toward a digital technology perspective of entrepreneurship”,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Entrepreneurship Theory and Practice,</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41, No. 6, pp. 1029–1055.   </w:t>
      </w:r>
    </w:p>
    <w:p w:rsidR="00000000" w:rsidDel="00000000" w:rsidP="00000000" w:rsidRDefault="00000000" w:rsidRPr="00000000" w14:paraId="000000B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Newsom, R.K., W. (2018), “Response of the land-atmosphere system over north-central Oklahoma during the 2017 eclipse</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 Geophys,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Vol. 45, pp. 1668–1675.</w:t>
      </w:r>
    </w:p>
    <w:p w:rsidR="00000000" w:rsidDel="00000000" w:rsidP="00000000" w:rsidRDefault="00000000" w:rsidRPr="00000000" w14:paraId="000000B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Petrick, I. J., and Simpson, T. W. (2013), “3D printing disrupts manufacturing: how economies of one create new rules of competition”,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Research-Technology Management,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Vol. 56, No. 6, pp. 12-16.</w:t>
      </w:r>
    </w:p>
    <w:p w:rsidR="00000000" w:rsidDel="00000000" w:rsidP="00000000" w:rsidRDefault="00000000" w:rsidRPr="00000000" w14:paraId="000000B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Pryor, S. (2014), “Implementing a 3D printing service in an academic library”,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Library Administration,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Vol. 54, No. 1, pp. 1-10.</w:t>
      </w:r>
    </w:p>
    <w:p w:rsidR="00000000" w:rsidDel="00000000" w:rsidP="00000000" w:rsidRDefault="00000000" w:rsidRPr="00000000" w14:paraId="000000B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Ramoglou, S., &amp; Tsang, E. W. (2016), “A realist perspective of entrepreneurship: Opportunities as propensities”,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Academy of Management Review</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41</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 3, pp. 410-434. </w:t>
      </w:r>
    </w:p>
    <w:p w:rsidR="00000000" w:rsidDel="00000000" w:rsidP="00000000" w:rsidRDefault="00000000" w:rsidRPr="00000000" w14:paraId="000000B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Ries, E. (2011),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The lean startup: How today's entrepreneurs use continuous innovation to create radically successful businesses</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Crown Books.</w:t>
      </w:r>
    </w:p>
    <w:p w:rsidR="00000000" w:rsidDel="00000000" w:rsidP="00000000" w:rsidRDefault="00000000" w:rsidRPr="00000000" w14:paraId="000000B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Rippa, P., and Secundo, G. (2018), Digital academic entrepreneurship: The potential of digital technologies on academic entrepreneurship,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Technological Forecasting and Social Change</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w:t>
      </w:r>
    </w:p>
    <w:p w:rsidR="00000000" w:rsidDel="00000000" w:rsidP="00000000" w:rsidRDefault="00000000" w:rsidRPr="00000000" w14:paraId="000000B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Rousseau, J.J. (1961),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Emile</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New York: Dutton.</w:t>
      </w:r>
    </w:p>
    <w:p w:rsidR="00000000" w:rsidDel="00000000" w:rsidP="00000000" w:rsidRDefault="00000000" w:rsidRPr="00000000" w14:paraId="000000B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Sánchez, R. A., Cortijo, V., &amp; Javed, U. (2014), “Students' perceptions of Facebook for academic purposes”, </w:t>
      </w:r>
      <w:r w:rsidDel="00000000" w:rsidR="00000000" w:rsidRPr="00000000">
        <w:rPr>
          <w:rFonts w:ascii="Times New Roman" w:cs="Times New Roman" w:eastAsia="Times New Roman" w:hAnsi="Times New Roman"/>
          <w:b w:val="0"/>
          <w:i w:val="1"/>
          <w:smallCaps w:val="0"/>
          <w:strike w:val="0"/>
          <w:color w:val="000000"/>
          <w:sz w:val="20"/>
          <w:szCs w:val="20"/>
          <w:u w:val="none"/>
          <w:shd w:fill="auto" w:val="clear"/>
          <w:vertAlign w:val="baseline"/>
          <w:rtl w:val="0"/>
        </w:rPr>
        <w:t xml:space="preserve">Computers &amp; Education</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Vol. </w:t>
      </w:r>
      <w:r w:rsidDel="00000000" w:rsidR="00000000" w:rsidRPr="00000000">
        <w:rPr>
          <w:rFonts w:ascii="Times New Roman" w:cs="Times New Roman" w:eastAsia="Times New Roman" w:hAnsi="Times New Roman"/>
          <w:b w:val="0"/>
          <w:i w:val="1"/>
          <w:smallCaps w:val="0"/>
          <w:strike w:val="0"/>
          <w:color w:val="000000"/>
          <w:sz w:val="20"/>
          <w:szCs w:val="20"/>
          <w:u w:val="none"/>
          <w:shd w:fill="auto" w:val="clear"/>
          <w:vertAlign w:val="baseline"/>
          <w:rtl w:val="0"/>
        </w:rPr>
        <w:t xml:space="preserve">70</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pp. 138-149.</w:t>
      </w:r>
    </w:p>
    <w:p w:rsidR="00000000" w:rsidDel="00000000" w:rsidP="00000000" w:rsidRDefault="00000000" w:rsidRPr="00000000" w14:paraId="000000B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Schelly, C., Anzalone, G., Wijnen, B., and Pearce, J. M. (2015), “Open-source 3-D printing technologies for education: Bringing additive manufacturing to the classroom”,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Visual Languages &amp; Computing,</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28, pp. 226-237.</w:t>
      </w:r>
    </w:p>
    <w:p w:rsidR="00000000" w:rsidDel="00000000" w:rsidP="00000000" w:rsidRDefault="00000000" w:rsidRPr="00000000" w14:paraId="000000C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Schmid, R., &amp; Petko, D. (2019), “Does the use of educational technology in personalized learning environments correlate with self-reported digital skills and beliefs of secondary-school students?”,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Computers &amp; Education</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136</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pp. 75-86.</w:t>
      </w:r>
    </w:p>
    <w:p w:rsidR="00000000" w:rsidDel="00000000" w:rsidP="00000000" w:rsidRDefault="00000000" w:rsidRPr="00000000" w14:paraId="000000C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Schreiber, J. B., Nora, A., Stage, F. K., Barlow, E. A., and King, J. (2006), “Reporting structural equation modeling and confirmatory factor analysis results: A review”,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The Journal of Educational Research,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Vol. 99, No. 6, pp. 323-338.</w:t>
      </w:r>
    </w:p>
    <w:p w:rsidR="00000000" w:rsidDel="00000000" w:rsidP="00000000" w:rsidRDefault="00000000" w:rsidRPr="00000000" w14:paraId="000000C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Segal, G., Borgia, D., &amp; Schoenfeld, J. (2002), “Using social cognitive career theory to predict self-employment goals”,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New England Journal of Entrepreneurship</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5</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 2, pp. 47-56.</w:t>
      </w:r>
    </w:p>
    <w:p w:rsidR="00000000" w:rsidDel="00000000" w:rsidP="00000000" w:rsidRDefault="00000000" w:rsidRPr="00000000" w14:paraId="000000C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Shane, S. (2012), “Reflections on the 2010 AMR decade award: Delivering on the promise of entrepreneurship as a field of research”,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Academy of Management Review</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37</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 1, pp. 10-20.</w:t>
      </w:r>
    </w:p>
    <w:p w:rsidR="00000000" w:rsidDel="00000000" w:rsidP="00000000" w:rsidRDefault="00000000" w:rsidRPr="00000000" w14:paraId="000000C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Solesvik, M. Z. (2013), “Entrepreneurial motivations and intentions: investigating the role of education major”,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Education + Training</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55, No. 3, pp. 253-271.</w:t>
      </w:r>
    </w:p>
    <w:p w:rsidR="00000000" w:rsidDel="00000000" w:rsidP="00000000" w:rsidRDefault="00000000" w:rsidRPr="00000000" w14:paraId="000000C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Souitaris, V., Zerbinati, S., &amp; Al-Laham, A. (2007), “Do entrepreneurship programmes raise entrepreneurial intention of science and engineering students? The effect of learning, inspiration and resources”,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Business Venturing</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22, No. 4, pp. 566-591.</w:t>
      </w:r>
    </w:p>
    <w:p w:rsidR="00000000" w:rsidDel="00000000" w:rsidP="00000000" w:rsidRDefault="00000000" w:rsidRPr="00000000" w14:paraId="000000C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Stevens J. P. (2002),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Applied multivariate statistics for the social sciences</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Lawrence Erlbaum Associates, Mahwah, NJ. </w:t>
      </w:r>
    </w:p>
    <w:p w:rsidR="00000000" w:rsidDel="00000000" w:rsidP="00000000" w:rsidRDefault="00000000" w:rsidRPr="00000000" w14:paraId="000000C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Tabachnick, B. G., and Fidell, L. S. (2001),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Computer-assisted research design and analysis</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Allyn and Bacon, Boston.</w:t>
      </w:r>
    </w:p>
    <w:p w:rsidR="00000000" w:rsidDel="00000000" w:rsidP="00000000" w:rsidRDefault="00000000" w:rsidRPr="00000000" w14:paraId="000000C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Tinsley, H. E., and Tinsley, D. J. (1987), “Uses of factor analysis in counseling psychology research”,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Counseling Psychology,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Vol. 34, No. 4, pp. 414.</w:t>
      </w:r>
    </w:p>
    <w:p w:rsidR="00000000" w:rsidDel="00000000" w:rsidP="00000000" w:rsidRDefault="00000000" w:rsidRPr="00000000" w14:paraId="000000C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von Briel, F., Davidsson, P., &amp; Recker, J. (2018), “Digital technologies as external enablers of new venture creation in the IT hardware sector”,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Entrepreneurship Theory and Practice</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42</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 1, pp. 47-69.</w:t>
      </w:r>
    </w:p>
    <w:p w:rsidR="00000000" w:rsidDel="00000000" w:rsidP="00000000" w:rsidRDefault="00000000" w:rsidRPr="00000000" w14:paraId="000000C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von Glasersfeld, E. (1984),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An Introduction to Radical Constructivism. The Invented Reality</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Norton, New York, pp. 17-40.</w:t>
      </w:r>
    </w:p>
    <w:p w:rsidR="00000000" w:rsidDel="00000000" w:rsidP="00000000" w:rsidRDefault="00000000" w:rsidRPr="00000000" w14:paraId="000000C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Weston, R., and Gore Jr, P. A. (2006), “A brief guide to structural equation modeling”,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The counseling psychologist</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34, No. 5, pp. 719-751.</w:t>
      </w:r>
    </w:p>
    <w:p w:rsidR="00000000" w:rsidDel="00000000" w:rsidP="00000000" w:rsidRDefault="00000000" w:rsidRPr="00000000" w14:paraId="000000C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Wood, R., and Bandura, A. (1989), “Social cognitive theory of organizational management”,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Academy of Management Review, </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Vol. 14, No. 3, pp. 361-384.</w:t>
      </w:r>
    </w:p>
    <w:p w:rsidR="00000000" w:rsidDel="00000000" w:rsidP="00000000" w:rsidRDefault="00000000" w:rsidRPr="00000000" w14:paraId="000000C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Wu, S., &amp; Wu, L. (2008), “The impact of higher education on entrepreneurial intentions of university students in China”,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Small Business and Enterprise Development</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15, No. 4, pp. 752-774.</w:t>
      </w:r>
    </w:p>
    <w:p w:rsidR="00000000" w:rsidDel="00000000" w:rsidP="00000000" w:rsidRDefault="00000000" w:rsidRPr="00000000" w14:paraId="000000C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Zhang, Y., Duysters, G., &amp; Cloodt, M. (2014), “The role of entrepreneurship education as a predictor of university students’ entrepreneurial intention”,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International Entrepreneurship and Management Journal</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10, No. 3, pp. 623-641.</w:t>
      </w:r>
    </w:p>
    <w:p w:rsidR="00000000" w:rsidDel="00000000" w:rsidP="00000000" w:rsidRDefault="00000000" w:rsidRPr="00000000" w14:paraId="000000C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w:cs="Times" w:eastAsia="Times" w:hAnsi="Times"/>
          <w:b w:val="0"/>
          <w:i w:val="0"/>
          <w:smallCaps w:val="0"/>
          <w:strike w:val="0"/>
          <w:color w:val="000000"/>
          <w:sz w:val="20"/>
          <w:szCs w:val="20"/>
          <w:u w:val="none"/>
          <w:shd w:fill="auto" w:val="clear"/>
          <w:vertAlign w:val="baseline"/>
        </w:rPr>
      </w:pP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Zhao, H., Seibert, S. E., and Hills, G. E. (2005), “The mediating role of self-efficacy in the development of entrepreneurial intentions”,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Journal of Applied Psychology,</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 Vol. </w:t>
      </w:r>
      <w:r w:rsidDel="00000000" w:rsidR="00000000" w:rsidRPr="00000000">
        <w:rPr>
          <w:rFonts w:ascii="Times" w:cs="Times" w:eastAsia="Times" w:hAnsi="Times"/>
          <w:b w:val="0"/>
          <w:i w:val="1"/>
          <w:smallCaps w:val="0"/>
          <w:strike w:val="0"/>
          <w:color w:val="000000"/>
          <w:sz w:val="20"/>
          <w:szCs w:val="20"/>
          <w:u w:val="none"/>
          <w:shd w:fill="auto" w:val="clear"/>
          <w:vertAlign w:val="baseline"/>
          <w:rtl w:val="0"/>
        </w:rPr>
        <w:t xml:space="preserve">90, No.</w:t>
      </w:r>
      <w:r w:rsidDel="00000000" w:rsidR="00000000" w:rsidRPr="00000000">
        <w:rPr>
          <w:rFonts w:ascii="Times" w:cs="Times" w:eastAsia="Times" w:hAnsi="Times"/>
          <w:b w:val="0"/>
          <w:i w:val="0"/>
          <w:smallCaps w:val="0"/>
          <w:strike w:val="0"/>
          <w:color w:val="000000"/>
          <w:sz w:val="20"/>
          <w:szCs w:val="20"/>
          <w:u w:val="none"/>
          <w:shd w:fill="auto" w:val="clear"/>
          <w:vertAlign w:val="baseline"/>
          <w:rtl w:val="0"/>
        </w:rPr>
        <w:t xml:space="preserve">6, pp. 1265-1272.</w:t>
      </w:r>
    </w:p>
    <w:p w:rsidR="00000000" w:rsidDel="00000000" w:rsidP="00000000" w:rsidRDefault="00000000" w:rsidRPr="00000000" w14:paraId="000000D0">
      <w:pPr>
        <w:spacing w:line="360" w:lineRule="auto"/>
        <w:ind w:firstLine="708"/>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0D1">
      <w:pPr>
        <w:spacing w:line="360" w:lineRule="auto"/>
        <w:ind w:firstLine="708"/>
        <w:jc w:val="both"/>
        <w:rPr>
          <w:rFonts w:ascii="Times" w:cs="Times" w:eastAsia="Times" w:hAnsi="Times"/>
          <w:sz w:val="20"/>
          <w:szCs w:val="20"/>
        </w:rPr>
      </w:pPr>
      <w:r w:rsidDel="00000000" w:rsidR="00000000" w:rsidRPr="00000000">
        <w:br w:type="page"/>
      </w:r>
      <w:r w:rsidDel="00000000" w:rsidR="00000000" w:rsidRPr="00000000">
        <w:rPr>
          <w:rFonts w:ascii="Times" w:cs="Times" w:eastAsia="Times" w:hAnsi="Times"/>
          <w:sz w:val="20"/>
          <w:szCs w:val="20"/>
          <w:rtl w:val="0"/>
        </w:rPr>
        <w:t xml:space="preserve">Appendix</w:t>
      </w:r>
    </w:p>
    <w:p w:rsidR="00000000" w:rsidDel="00000000" w:rsidP="00000000" w:rsidRDefault="00000000" w:rsidRPr="00000000" w14:paraId="000000D2">
      <w:pPr>
        <w:rPr>
          <w:rFonts w:ascii="Cambria" w:cs="Cambria" w:eastAsia="Cambria" w:hAnsi="Cambria"/>
          <w:i w:val="1"/>
          <w:sz w:val="20"/>
          <w:szCs w:val="20"/>
        </w:rPr>
      </w:pPr>
      <w:r w:rsidDel="00000000" w:rsidR="00000000" w:rsidRPr="00000000">
        <w:rPr>
          <w:sz w:val="20"/>
          <w:szCs w:val="20"/>
          <w:rtl w:val="0"/>
        </w:rPr>
        <w:t xml:space="preserve">Table 1. Goodness-of-Fit Indexes - Hypothesized Model</w:t>
      </w:r>
      <w:r w:rsidDel="00000000" w:rsidR="00000000" w:rsidRPr="00000000">
        <w:rPr>
          <w:rtl w:val="0"/>
        </w:rPr>
      </w:r>
    </w:p>
    <w:tbl>
      <w:tblPr>
        <w:tblStyle w:val="Table1"/>
        <w:tblW w:w="8271.0" w:type="dxa"/>
        <w:jc w:val="center"/>
        <w:tblBorders>
          <w:top w:color="7f7f7f" w:space="0" w:sz="4" w:val="single"/>
          <w:left w:color="000000" w:space="0" w:sz="4" w:val="single"/>
          <w:bottom w:color="7f7f7f" w:space="0" w:sz="4" w:val="single"/>
          <w:right w:color="000000" w:space="0" w:sz="4" w:val="single"/>
          <w:insideH w:color="000000" w:space="0" w:sz="4" w:val="single"/>
          <w:insideV w:color="000000" w:space="0" w:sz="4" w:val="single"/>
        </w:tblBorders>
        <w:tblLayout w:type="fixed"/>
        <w:tblLook w:val="0400"/>
      </w:tblPr>
      <w:tblGrid>
        <w:gridCol w:w="2650"/>
        <w:gridCol w:w="1756"/>
        <w:gridCol w:w="3865"/>
        <w:tblGridChange w:id="0">
          <w:tblGrid>
            <w:gridCol w:w="2650"/>
            <w:gridCol w:w="1756"/>
            <w:gridCol w:w="3865"/>
          </w:tblGrid>
        </w:tblGridChange>
      </w:tblGrid>
      <w:tr>
        <w:trPr>
          <w:trHeight w:val="260" w:hRule="atLeast"/>
        </w:trPr>
        <w:tc>
          <w:tcPr>
            <w:tcBorders>
              <w:top w:color="000000" w:space="0" w:sz="4" w:val="single"/>
              <w:left w:color="000000" w:space="0" w:sz="0" w:val="nil"/>
              <w:right w:color="ffffff" w:space="0" w:sz="4" w:val="single"/>
            </w:tcBorders>
          </w:tcPr>
          <w:p w:rsidR="00000000" w:rsidDel="00000000" w:rsidP="00000000" w:rsidRDefault="00000000" w:rsidRPr="00000000" w14:paraId="000000D3">
            <w:pPr>
              <w:rPr>
                <w:rFonts w:ascii="Times" w:cs="Times" w:eastAsia="Times" w:hAnsi="Times"/>
                <w:sz w:val="20"/>
                <w:szCs w:val="20"/>
              </w:rPr>
            </w:pPr>
            <w:r w:rsidDel="00000000" w:rsidR="00000000" w:rsidRPr="00000000">
              <w:rPr>
                <w:rFonts w:ascii="Times" w:cs="Times" w:eastAsia="Times" w:hAnsi="Times"/>
                <w:sz w:val="20"/>
                <w:szCs w:val="20"/>
                <w:rtl w:val="0"/>
              </w:rPr>
              <w:t xml:space="preserve">Fit statistic</w:t>
            </w:r>
          </w:p>
        </w:tc>
        <w:tc>
          <w:tcPr>
            <w:tcBorders>
              <w:top w:color="000000" w:space="0" w:sz="4" w:val="single"/>
              <w:left w:color="ffffff" w:space="0" w:sz="4" w:val="single"/>
              <w:right w:color="ffffff" w:space="0" w:sz="4" w:val="single"/>
            </w:tcBorders>
          </w:tcPr>
          <w:p w:rsidR="00000000" w:rsidDel="00000000" w:rsidP="00000000" w:rsidRDefault="00000000" w:rsidRPr="00000000" w14:paraId="000000D4">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Value</w:t>
            </w:r>
          </w:p>
        </w:tc>
        <w:tc>
          <w:tcPr>
            <w:tcBorders>
              <w:top w:color="000000" w:space="0" w:sz="4" w:val="single"/>
              <w:left w:color="ffffff" w:space="0" w:sz="4" w:val="single"/>
              <w:right w:color="ffffff" w:space="0" w:sz="4" w:val="single"/>
            </w:tcBorders>
          </w:tcPr>
          <w:p w:rsidR="00000000" w:rsidDel="00000000" w:rsidP="00000000" w:rsidRDefault="00000000" w:rsidRPr="00000000" w14:paraId="000000D5">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Description</w:t>
            </w:r>
          </w:p>
        </w:tc>
      </w:tr>
      <w:tr>
        <w:trPr>
          <w:trHeight w:val="2800" w:hRule="atLeast"/>
        </w:trPr>
        <w:tc>
          <w:tcPr>
            <w:tcBorders>
              <w:left w:color="000000" w:space="0" w:sz="0" w:val="nil"/>
              <w:bottom w:color="000000" w:space="0" w:sz="4" w:val="single"/>
              <w:right w:color="ffffff" w:space="0" w:sz="4" w:val="single"/>
            </w:tcBorders>
          </w:tcPr>
          <w:p w:rsidR="00000000" w:rsidDel="00000000" w:rsidP="00000000" w:rsidRDefault="00000000" w:rsidRPr="00000000" w14:paraId="000000D6">
            <w:pPr>
              <w:rPr>
                <w:rFonts w:ascii="Times" w:cs="Times" w:eastAsia="Times" w:hAnsi="Times"/>
                <w:sz w:val="20"/>
                <w:szCs w:val="20"/>
              </w:rPr>
            </w:pPr>
            <w:r w:rsidDel="00000000" w:rsidR="00000000" w:rsidRPr="00000000">
              <w:rPr>
                <w:rFonts w:ascii="Times" w:cs="Times" w:eastAsia="Times" w:hAnsi="Times"/>
                <w:sz w:val="20"/>
                <w:szCs w:val="20"/>
                <w:rtl w:val="0"/>
              </w:rPr>
              <w:t xml:space="preserve">Likelihood ratio</w:t>
            </w:r>
          </w:p>
          <w:p w:rsidR="00000000" w:rsidDel="00000000" w:rsidP="00000000" w:rsidRDefault="00000000" w:rsidRPr="00000000" w14:paraId="000000D7">
            <w:pPr>
              <w:ind w:left="208"/>
              <w:rPr>
                <w:rFonts w:ascii="Times" w:cs="Times" w:eastAsia="Times" w:hAnsi="Times"/>
                <w:sz w:val="20"/>
                <w:szCs w:val="20"/>
              </w:rPr>
            </w:pPr>
            <w:r w:rsidDel="00000000" w:rsidR="00000000" w:rsidRPr="00000000">
              <w:rPr>
                <w:rFonts w:ascii="Times" w:cs="Times" w:eastAsia="Times" w:hAnsi="Times"/>
                <w:sz w:val="20"/>
                <w:szCs w:val="20"/>
                <w:rtl w:val="0"/>
              </w:rPr>
              <w:t xml:space="preserve">chi2_ms(212)</w:t>
            </w:r>
          </w:p>
          <w:p w:rsidR="00000000" w:rsidDel="00000000" w:rsidP="00000000" w:rsidRDefault="00000000" w:rsidRPr="00000000" w14:paraId="000000D8">
            <w:pPr>
              <w:ind w:left="208"/>
              <w:rPr>
                <w:rFonts w:ascii="Times" w:cs="Times" w:eastAsia="Times" w:hAnsi="Times"/>
                <w:sz w:val="20"/>
                <w:szCs w:val="20"/>
              </w:rPr>
            </w:pPr>
            <w:r w:rsidDel="00000000" w:rsidR="00000000" w:rsidRPr="00000000">
              <w:rPr>
                <w:rFonts w:ascii="Times" w:cs="Times" w:eastAsia="Times" w:hAnsi="Times"/>
                <w:sz w:val="20"/>
                <w:szCs w:val="20"/>
                <w:rtl w:val="0"/>
              </w:rPr>
              <w:t xml:space="preserve">p &gt; chi2</w:t>
            </w:r>
          </w:p>
          <w:p w:rsidR="00000000" w:rsidDel="00000000" w:rsidP="00000000" w:rsidRDefault="00000000" w:rsidRPr="00000000" w14:paraId="000000D9">
            <w:pPr>
              <w:ind w:left="208"/>
              <w:rPr>
                <w:rFonts w:ascii="Times" w:cs="Times" w:eastAsia="Times" w:hAnsi="Times"/>
                <w:sz w:val="20"/>
                <w:szCs w:val="20"/>
              </w:rPr>
            </w:pPr>
            <w:r w:rsidDel="00000000" w:rsidR="00000000" w:rsidRPr="00000000">
              <w:rPr>
                <w:rFonts w:ascii="Times" w:cs="Times" w:eastAsia="Times" w:hAnsi="Times"/>
                <w:sz w:val="20"/>
                <w:szCs w:val="20"/>
                <w:rtl w:val="0"/>
              </w:rPr>
              <w:t xml:space="preserve">chi2_bs(253)</w:t>
            </w:r>
          </w:p>
          <w:p w:rsidR="00000000" w:rsidDel="00000000" w:rsidP="00000000" w:rsidRDefault="00000000" w:rsidRPr="00000000" w14:paraId="000000DA">
            <w:pPr>
              <w:ind w:left="208"/>
              <w:rPr>
                <w:rFonts w:ascii="Times" w:cs="Times" w:eastAsia="Times" w:hAnsi="Times"/>
                <w:sz w:val="20"/>
                <w:szCs w:val="20"/>
              </w:rPr>
            </w:pPr>
            <w:r w:rsidDel="00000000" w:rsidR="00000000" w:rsidRPr="00000000">
              <w:rPr>
                <w:rFonts w:ascii="Times" w:cs="Times" w:eastAsia="Times" w:hAnsi="Times"/>
                <w:sz w:val="20"/>
                <w:szCs w:val="20"/>
                <w:rtl w:val="0"/>
              </w:rPr>
              <w:t xml:space="preserve">p &gt; chi2</w:t>
            </w:r>
          </w:p>
          <w:p w:rsidR="00000000" w:rsidDel="00000000" w:rsidP="00000000" w:rsidRDefault="00000000" w:rsidRPr="00000000" w14:paraId="000000DB">
            <w:pPr>
              <w:rPr>
                <w:rFonts w:ascii="Times" w:cs="Times" w:eastAsia="Times" w:hAnsi="Times"/>
                <w:sz w:val="20"/>
                <w:szCs w:val="20"/>
              </w:rPr>
            </w:pPr>
            <w:r w:rsidDel="00000000" w:rsidR="00000000" w:rsidRPr="00000000">
              <w:rPr>
                <w:rFonts w:ascii="Times" w:cs="Times" w:eastAsia="Times" w:hAnsi="Times"/>
                <w:sz w:val="20"/>
                <w:szCs w:val="20"/>
                <w:rtl w:val="0"/>
              </w:rPr>
              <w:t xml:space="preserve">Population error</w:t>
            </w:r>
          </w:p>
          <w:p w:rsidR="00000000" w:rsidDel="00000000" w:rsidP="00000000" w:rsidRDefault="00000000" w:rsidRPr="00000000" w14:paraId="000000DC">
            <w:pPr>
              <w:ind w:left="208"/>
              <w:rPr>
                <w:rFonts w:ascii="Times" w:cs="Times" w:eastAsia="Times" w:hAnsi="Times"/>
                <w:sz w:val="20"/>
                <w:szCs w:val="20"/>
              </w:rPr>
            </w:pPr>
            <w:r w:rsidDel="00000000" w:rsidR="00000000" w:rsidRPr="00000000">
              <w:rPr>
                <w:rFonts w:ascii="Times" w:cs="Times" w:eastAsia="Times" w:hAnsi="Times"/>
                <w:sz w:val="20"/>
                <w:szCs w:val="20"/>
                <w:rtl w:val="0"/>
              </w:rPr>
              <w:t xml:space="preserve">RMSEA</w:t>
            </w:r>
          </w:p>
          <w:p w:rsidR="00000000" w:rsidDel="00000000" w:rsidP="00000000" w:rsidRDefault="00000000" w:rsidRPr="00000000" w14:paraId="000000DD">
            <w:pPr>
              <w:ind w:left="208"/>
              <w:rPr>
                <w:rFonts w:ascii="Times" w:cs="Times" w:eastAsia="Times" w:hAnsi="Times"/>
                <w:sz w:val="20"/>
                <w:szCs w:val="20"/>
              </w:rPr>
            </w:pPr>
            <w:r w:rsidDel="00000000" w:rsidR="00000000" w:rsidRPr="00000000">
              <w:rPr>
                <w:rFonts w:ascii="Times" w:cs="Times" w:eastAsia="Times" w:hAnsi="Times"/>
                <w:sz w:val="20"/>
                <w:szCs w:val="20"/>
                <w:rtl w:val="0"/>
              </w:rPr>
              <w:t xml:space="preserve">90% CI, lower bound</w:t>
            </w:r>
          </w:p>
          <w:p w:rsidR="00000000" w:rsidDel="00000000" w:rsidP="00000000" w:rsidRDefault="00000000" w:rsidRPr="00000000" w14:paraId="000000DE">
            <w:pPr>
              <w:ind w:left="208"/>
              <w:rPr>
                <w:rFonts w:ascii="Times" w:cs="Times" w:eastAsia="Times" w:hAnsi="Times"/>
                <w:sz w:val="20"/>
                <w:szCs w:val="20"/>
              </w:rPr>
            </w:pPr>
            <w:r w:rsidDel="00000000" w:rsidR="00000000" w:rsidRPr="00000000">
              <w:rPr>
                <w:rFonts w:ascii="Times" w:cs="Times" w:eastAsia="Times" w:hAnsi="Times"/>
                <w:sz w:val="20"/>
                <w:szCs w:val="20"/>
                <w:rtl w:val="0"/>
              </w:rPr>
              <w:t xml:space="preserve">upper bound</w:t>
            </w:r>
          </w:p>
          <w:p w:rsidR="00000000" w:rsidDel="00000000" w:rsidP="00000000" w:rsidRDefault="00000000" w:rsidRPr="00000000" w14:paraId="000000DF">
            <w:pPr>
              <w:ind w:left="208"/>
              <w:rPr>
                <w:rFonts w:ascii="Times" w:cs="Times" w:eastAsia="Times" w:hAnsi="Times"/>
                <w:sz w:val="20"/>
                <w:szCs w:val="20"/>
              </w:rPr>
            </w:pPr>
            <w:r w:rsidDel="00000000" w:rsidR="00000000" w:rsidRPr="00000000">
              <w:rPr>
                <w:rFonts w:ascii="Times" w:cs="Times" w:eastAsia="Times" w:hAnsi="Times"/>
                <w:sz w:val="20"/>
                <w:szCs w:val="20"/>
                <w:rtl w:val="0"/>
              </w:rPr>
              <w:t xml:space="preserve">pclose</w:t>
            </w:r>
          </w:p>
          <w:p w:rsidR="00000000" w:rsidDel="00000000" w:rsidP="00000000" w:rsidRDefault="00000000" w:rsidRPr="00000000" w14:paraId="000000E0">
            <w:pPr>
              <w:rPr>
                <w:rFonts w:ascii="Times" w:cs="Times" w:eastAsia="Times" w:hAnsi="Times"/>
                <w:sz w:val="20"/>
                <w:szCs w:val="20"/>
              </w:rPr>
            </w:pPr>
            <w:r w:rsidDel="00000000" w:rsidR="00000000" w:rsidRPr="00000000">
              <w:rPr>
                <w:rFonts w:ascii="Times" w:cs="Times" w:eastAsia="Times" w:hAnsi="Times"/>
                <w:sz w:val="20"/>
                <w:szCs w:val="20"/>
                <w:rtl w:val="0"/>
              </w:rPr>
              <w:t xml:space="preserve">Information criteria</w:t>
            </w:r>
          </w:p>
          <w:p w:rsidR="00000000" w:rsidDel="00000000" w:rsidP="00000000" w:rsidRDefault="00000000" w:rsidRPr="00000000" w14:paraId="000000E1">
            <w:pPr>
              <w:ind w:left="202"/>
              <w:rPr>
                <w:rFonts w:ascii="Times" w:cs="Times" w:eastAsia="Times" w:hAnsi="Times"/>
                <w:sz w:val="20"/>
                <w:szCs w:val="20"/>
              </w:rPr>
            </w:pPr>
            <w:r w:rsidDel="00000000" w:rsidR="00000000" w:rsidRPr="00000000">
              <w:rPr>
                <w:rFonts w:ascii="Times" w:cs="Times" w:eastAsia="Times" w:hAnsi="Times"/>
                <w:sz w:val="20"/>
                <w:szCs w:val="20"/>
                <w:rtl w:val="0"/>
              </w:rPr>
              <w:t xml:space="preserve">AIC</w:t>
            </w:r>
          </w:p>
          <w:p w:rsidR="00000000" w:rsidDel="00000000" w:rsidP="00000000" w:rsidRDefault="00000000" w:rsidRPr="00000000" w14:paraId="000000E2">
            <w:pPr>
              <w:ind w:left="202"/>
              <w:rPr>
                <w:rFonts w:ascii="Times" w:cs="Times" w:eastAsia="Times" w:hAnsi="Times"/>
                <w:sz w:val="20"/>
                <w:szCs w:val="20"/>
              </w:rPr>
            </w:pPr>
            <w:r w:rsidDel="00000000" w:rsidR="00000000" w:rsidRPr="00000000">
              <w:rPr>
                <w:rFonts w:ascii="Times" w:cs="Times" w:eastAsia="Times" w:hAnsi="Times"/>
                <w:sz w:val="20"/>
                <w:szCs w:val="20"/>
                <w:rtl w:val="0"/>
              </w:rPr>
              <w:t xml:space="preserve">BIC</w:t>
            </w:r>
          </w:p>
          <w:p w:rsidR="00000000" w:rsidDel="00000000" w:rsidP="00000000" w:rsidRDefault="00000000" w:rsidRPr="00000000" w14:paraId="000000E3">
            <w:pPr>
              <w:rPr>
                <w:rFonts w:ascii="Times" w:cs="Times" w:eastAsia="Times" w:hAnsi="Times"/>
                <w:sz w:val="20"/>
                <w:szCs w:val="20"/>
              </w:rPr>
            </w:pPr>
            <w:r w:rsidDel="00000000" w:rsidR="00000000" w:rsidRPr="00000000">
              <w:rPr>
                <w:rFonts w:ascii="Times" w:cs="Times" w:eastAsia="Times" w:hAnsi="Times"/>
                <w:sz w:val="20"/>
                <w:szCs w:val="20"/>
                <w:rtl w:val="0"/>
              </w:rPr>
              <w:t xml:space="preserve">Baseline comparison</w:t>
            </w:r>
          </w:p>
          <w:p w:rsidR="00000000" w:rsidDel="00000000" w:rsidP="00000000" w:rsidRDefault="00000000" w:rsidRPr="00000000" w14:paraId="000000E4">
            <w:pPr>
              <w:ind w:left="202"/>
              <w:rPr>
                <w:rFonts w:ascii="Times" w:cs="Times" w:eastAsia="Times" w:hAnsi="Times"/>
                <w:sz w:val="20"/>
                <w:szCs w:val="20"/>
              </w:rPr>
            </w:pPr>
            <w:r w:rsidDel="00000000" w:rsidR="00000000" w:rsidRPr="00000000">
              <w:rPr>
                <w:rFonts w:ascii="Times" w:cs="Times" w:eastAsia="Times" w:hAnsi="Times"/>
                <w:sz w:val="20"/>
                <w:szCs w:val="20"/>
                <w:rtl w:val="0"/>
              </w:rPr>
              <w:t xml:space="preserve">CFI</w:t>
            </w:r>
          </w:p>
          <w:p w:rsidR="00000000" w:rsidDel="00000000" w:rsidP="00000000" w:rsidRDefault="00000000" w:rsidRPr="00000000" w14:paraId="000000E5">
            <w:pPr>
              <w:ind w:left="202"/>
              <w:rPr>
                <w:rFonts w:ascii="Times" w:cs="Times" w:eastAsia="Times" w:hAnsi="Times"/>
                <w:sz w:val="20"/>
                <w:szCs w:val="20"/>
              </w:rPr>
            </w:pPr>
            <w:r w:rsidDel="00000000" w:rsidR="00000000" w:rsidRPr="00000000">
              <w:rPr>
                <w:rFonts w:ascii="Times" w:cs="Times" w:eastAsia="Times" w:hAnsi="Times"/>
                <w:sz w:val="20"/>
                <w:szCs w:val="20"/>
                <w:rtl w:val="0"/>
              </w:rPr>
              <w:t xml:space="preserve">TLI</w:t>
            </w:r>
          </w:p>
          <w:p w:rsidR="00000000" w:rsidDel="00000000" w:rsidP="00000000" w:rsidRDefault="00000000" w:rsidRPr="00000000" w14:paraId="000000E6">
            <w:pPr>
              <w:rPr>
                <w:rFonts w:ascii="Times" w:cs="Times" w:eastAsia="Times" w:hAnsi="Times"/>
                <w:sz w:val="20"/>
                <w:szCs w:val="20"/>
              </w:rPr>
            </w:pPr>
            <w:r w:rsidDel="00000000" w:rsidR="00000000" w:rsidRPr="00000000">
              <w:rPr>
                <w:rFonts w:ascii="Times" w:cs="Times" w:eastAsia="Times" w:hAnsi="Times"/>
                <w:sz w:val="20"/>
                <w:szCs w:val="20"/>
                <w:rtl w:val="0"/>
              </w:rPr>
              <w:t xml:space="preserve">Size of residuals</w:t>
            </w:r>
          </w:p>
          <w:p w:rsidR="00000000" w:rsidDel="00000000" w:rsidP="00000000" w:rsidRDefault="00000000" w:rsidRPr="00000000" w14:paraId="000000E7">
            <w:pPr>
              <w:ind w:left="202"/>
              <w:rPr>
                <w:rFonts w:ascii="Times" w:cs="Times" w:eastAsia="Times" w:hAnsi="Times"/>
                <w:sz w:val="20"/>
                <w:szCs w:val="20"/>
              </w:rPr>
            </w:pPr>
            <w:r w:rsidDel="00000000" w:rsidR="00000000" w:rsidRPr="00000000">
              <w:rPr>
                <w:rFonts w:ascii="Times" w:cs="Times" w:eastAsia="Times" w:hAnsi="Times"/>
                <w:sz w:val="20"/>
                <w:szCs w:val="20"/>
                <w:rtl w:val="0"/>
              </w:rPr>
              <w:t xml:space="preserve">CD</w:t>
            </w:r>
          </w:p>
        </w:tc>
        <w:tc>
          <w:tcPr>
            <w:tcBorders>
              <w:left w:color="ffffff" w:space="0" w:sz="4" w:val="single"/>
              <w:bottom w:color="000000" w:space="0" w:sz="4" w:val="single"/>
              <w:right w:color="ffffff" w:space="0" w:sz="4" w:val="single"/>
            </w:tcBorders>
          </w:tcPr>
          <w:p w:rsidR="00000000" w:rsidDel="00000000" w:rsidP="00000000" w:rsidRDefault="00000000" w:rsidRPr="00000000" w14:paraId="000000E8">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0E9">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336.575</w:t>
            </w:r>
          </w:p>
          <w:p w:rsidR="00000000" w:rsidDel="00000000" w:rsidP="00000000" w:rsidRDefault="00000000" w:rsidRPr="00000000" w14:paraId="000000EA">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0.000</w:t>
            </w:r>
          </w:p>
          <w:p w:rsidR="00000000" w:rsidDel="00000000" w:rsidP="00000000" w:rsidRDefault="00000000" w:rsidRPr="00000000" w14:paraId="000000EB">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1834.466</w:t>
            </w:r>
          </w:p>
          <w:p w:rsidR="00000000" w:rsidDel="00000000" w:rsidP="00000000" w:rsidRDefault="00000000" w:rsidRPr="00000000" w14:paraId="000000EC">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0.000</w:t>
            </w:r>
          </w:p>
          <w:p w:rsidR="00000000" w:rsidDel="00000000" w:rsidP="00000000" w:rsidRDefault="00000000" w:rsidRPr="00000000" w14:paraId="000000ED">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0EE">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0.065</w:t>
            </w:r>
          </w:p>
          <w:p w:rsidR="00000000" w:rsidDel="00000000" w:rsidP="00000000" w:rsidRDefault="00000000" w:rsidRPr="00000000" w14:paraId="000000EF">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0.051</w:t>
            </w:r>
          </w:p>
          <w:p w:rsidR="00000000" w:rsidDel="00000000" w:rsidP="00000000" w:rsidRDefault="00000000" w:rsidRPr="00000000" w14:paraId="000000F0">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0.078</w:t>
            </w:r>
          </w:p>
          <w:p w:rsidR="00000000" w:rsidDel="00000000" w:rsidP="00000000" w:rsidRDefault="00000000" w:rsidRPr="00000000" w14:paraId="000000F1">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0.040</w:t>
            </w:r>
          </w:p>
          <w:p w:rsidR="00000000" w:rsidDel="00000000" w:rsidP="00000000" w:rsidRDefault="00000000" w:rsidRPr="00000000" w14:paraId="000000F2">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0F3">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5510.847</w:t>
            </w:r>
          </w:p>
          <w:p w:rsidR="00000000" w:rsidDel="00000000" w:rsidP="00000000" w:rsidRDefault="00000000" w:rsidRPr="00000000" w14:paraId="000000F4">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5746.613</w:t>
            </w:r>
          </w:p>
          <w:p w:rsidR="00000000" w:rsidDel="00000000" w:rsidP="00000000" w:rsidRDefault="00000000" w:rsidRPr="00000000" w14:paraId="000000F5">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0F6">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0.924</w:t>
            </w:r>
          </w:p>
          <w:p w:rsidR="00000000" w:rsidDel="00000000" w:rsidP="00000000" w:rsidRDefault="00000000" w:rsidRPr="00000000" w14:paraId="000000F7">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0.912</w:t>
            </w:r>
          </w:p>
          <w:p w:rsidR="00000000" w:rsidDel="00000000" w:rsidP="00000000" w:rsidRDefault="00000000" w:rsidRPr="00000000" w14:paraId="000000F8">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0F9">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0.993 </w:t>
            </w:r>
          </w:p>
        </w:tc>
        <w:tc>
          <w:tcPr>
            <w:tcBorders>
              <w:left w:color="ffffff" w:space="0" w:sz="4" w:val="single"/>
              <w:bottom w:color="000000" w:space="0" w:sz="4" w:val="single"/>
              <w:right w:color="ffffff" w:space="0" w:sz="4" w:val="single"/>
            </w:tcBorders>
          </w:tcPr>
          <w:p w:rsidR="00000000" w:rsidDel="00000000" w:rsidP="00000000" w:rsidRDefault="00000000" w:rsidRPr="00000000" w14:paraId="000000FA">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0FB">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Model vs. saturated</w:t>
            </w:r>
          </w:p>
          <w:p w:rsidR="00000000" w:rsidDel="00000000" w:rsidP="00000000" w:rsidRDefault="00000000" w:rsidRPr="00000000" w14:paraId="000000FC">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0FD">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Baseline vs. saturated</w:t>
            </w:r>
          </w:p>
          <w:p w:rsidR="00000000" w:rsidDel="00000000" w:rsidP="00000000" w:rsidRDefault="00000000" w:rsidRPr="00000000" w14:paraId="000000FE">
            <w:pPr>
              <w:jc w:val="right"/>
              <w:rPr>
                <w:rFonts w:ascii="Times" w:cs="Times" w:eastAsia="Times" w:hAnsi="Times"/>
                <w:b w:val="1"/>
                <w:sz w:val="20"/>
                <w:szCs w:val="20"/>
              </w:rPr>
            </w:pPr>
            <w:r w:rsidDel="00000000" w:rsidR="00000000" w:rsidRPr="00000000">
              <w:rPr>
                <w:rtl w:val="0"/>
              </w:rPr>
            </w:r>
          </w:p>
          <w:p w:rsidR="00000000" w:rsidDel="00000000" w:rsidP="00000000" w:rsidRDefault="00000000" w:rsidRPr="00000000" w14:paraId="000000FF">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00">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Root mean squared error of approximation</w:t>
            </w:r>
          </w:p>
          <w:p w:rsidR="00000000" w:rsidDel="00000000" w:rsidP="00000000" w:rsidRDefault="00000000" w:rsidRPr="00000000" w14:paraId="00000101">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02">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03">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Probability RMSEA &lt;= 0.05</w:t>
            </w:r>
          </w:p>
          <w:p w:rsidR="00000000" w:rsidDel="00000000" w:rsidP="00000000" w:rsidRDefault="00000000" w:rsidRPr="00000000" w14:paraId="00000104">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05">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Akaike’s information criterion</w:t>
            </w:r>
          </w:p>
          <w:p w:rsidR="00000000" w:rsidDel="00000000" w:rsidP="00000000" w:rsidRDefault="00000000" w:rsidRPr="00000000" w14:paraId="00000106">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Bayesian information criterion</w:t>
            </w:r>
          </w:p>
          <w:p w:rsidR="00000000" w:rsidDel="00000000" w:rsidP="00000000" w:rsidRDefault="00000000" w:rsidRPr="00000000" w14:paraId="00000107">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08">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Comparative fit index</w:t>
            </w:r>
          </w:p>
          <w:p w:rsidR="00000000" w:rsidDel="00000000" w:rsidP="00000000" w:rsidRDefault="00000000" w:rsidRPr="00000000" w14:paraId="00000109">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Tucker-Lewis index</w:t>
            </w:r>
          </w:p>
          <w:p w:rsidR="00000000" w:rsidDel="00000000" w:rsidP="00000000" w:rsidRDefault="00000000" w:rsidRPr="00000000" w14:paraId="0000010A">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0B">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Coefficient of determination</w:t>
            </w:r>
          </w:p>
        </w:tc>
      </w:tr>
    </w:tbl>
    <w:p w:rsidR="00000000" w:rsidDel="00000000" w:rsidP="00000000" w:rsidRDefault="00000000" w:rsidRPr="00000000" w14:paraId="0000010C">
      <w:pPr>
        <w:jc w:val="both"/>
        <w:rPr>
          <w:sz w:val="20"/>
          <w:szCs w:val="20"/>
        </w:rPr>
      </w:pPr>
      <w:r w:rsidDel="00000000" w:rsidR="00000000" w:rsidRPr="00000000">
        <w:rPr>
          <w:sz w:val="20"/>
          <w:szCs w:val="20"/>
          <w:rtl w:val="0"/>
        </w:rPr>
        <w:t xml:space="preserve">           Note: SRMR is not reported because of missing values.</w:t>
      </w:r>
    </w:p>
    <w:p w:rsidR="00000000" w:rsidDel="00000000" w:rsidP="00000000" w:rsidRDefault="00000000" w:rsidRPr="00000000" w14:paraId="0000010D">
      <w:pPr>
        <w:jc w:val="both"/>
        <w:rPr>
          <w:sz w:val="20"/>
          <w:szCs w:val="20"/>
        </w:rPr>
      </w:pPr>
      <w:r w:rsidDel="00000000" w:rsidR="00000000" w:rsidRPr="00000000">
        <w:rPr>
          <w:rtl w:val="0"/>
        </w:rPr>
      </w:r>
    </w:p>
    <w:p w:rsidR="00000000" w:rsidDel="00000000" w:rsidP="00000000" w:rsidRDefault="00000000" w:rsidRPr="00000000" w14:paraId="0000010E">
      <w:pPr>
        <w:jc w:val="both"/>
        <w:rPr>
          <w:sz w:val="20"/>
          <w:szCs w:val="20"/>
        </w:rPr>
      </w:pPr>
      <w:r w:rsidDel="00000000" w:rsidR="00000000" w:rsidRPr="00000000">
        <w:rPr>
          <w:rtl w:val="0"/>
        </w:rPr>
      </w:r>
    </w:p>
    <w:p w:rsidR="00000000" w:rsidDel="00000000" w:rsidP="00000000" w:rsidRDefault="00000000" w:rsidRPr="00000000" w14:paraId="0000010F">
      <w:pPr>
        <w:jc w:val="both"/>
        <w:rPr>
          <w:sz w:val="20"/>
          <w:szCs w:val="20"/>
        </w:rPr>
      </w:pPr>
      <w:r w:rsidDel="00000000" w:rsidR="00000000" w:rsidRPr="00000000">
        <w:rPr>
          <w:rtl w:val="0"/>
        </w:rPr>
      </w:r>
    </w:p>
    <w:p w:rsidR="00000000" w:rsidDel="00000000" w:rsidP="00000000" w:rsidRDefault="00000000" w:rsidRPr="00000000" w14:paraId="00000110">
      <w:pPr>
        <w:jc w:val="both"/>
        <w:rPr>
          <w:sz w:val="20"/>
          <w:szCs w:val="20"/>
        </w:rPr>
      </w:pPr>
      <w:bookmarkStart w:colFirst="0" w:colLast="0" w:name="_heading=h.gjdgxs" w:id="0"/>
      <w:bookmarkEnd w:id="0"/>
      <w:r w:rsidDel="00000000" w:rsidR="00000000" w:rsidRPr="00000000">
        <w:rPr>
          <w:sz w:val="20"/>
          <w:szCs w:val="20"/>
          <w:rtl w:val="0"/>
        </w:rPr>
        <w:t xml:space="preserve">Table 2. Hypothesized Model Direct and Indirect Effects.</w:t>
      </w:r>
    </w:p>
    <w:p w:rsidR="00000000" w:rsidDel="00000000" w:rsidP="00000000" w:rsidRDefault="00000000" w:rsidRPr="00000000" w14:paraId="00000111">
      <w:pPr>
        <w:jc w:val="both"/>
        <w:rPr>
          <w:sz w:val="20"/>
          <w:szCs w:val="20"/>
        </w:rPr>
      </w:pPr>
      <w:r w:rsidDel="00000000" w:rsidR="00000000" w:rsidRPr="00000000">
        <w:rPr>
          <w:rtl w:val="0"/>
        </w:rPr>
      </w:r>
    </w:p>
    <w:tbl>
      <w:tblPr>
        <w:tblStyle w:val="Table2"/>
        <w:tblW w:w="7251.0" w:type="dxa"/>
        <w:jc w:val="center"/>
        <w:tblBorders>
          <w:top w:color="7f7f7f" w:space="0" w:sz="4" w:val="single"/>
          <w:left w:color="000000" w:space="0" w:sz="4" w:val="single"/>
          <w:bottom w:color="7f7f7f" w:space="0" w:sz="4" w:val="single"/>
          <w:right w:color="000000" w:space="0" w:sz="4" w:val="single"/>
          <w:insideH w:color="000000" w:space="0" w:sz="4" w:val="single"/>
          <w:insideV w:color="000000" w:space="0" w:sz="4" w:val="single"/>
        </w:tblBorders>
        <w:tblLayout w:type="fixed"/>
        <w:tblLook w:val="0400"/>
      </w:tblPr>
      <w:tblGrid>
        <w:gridCol w:w="2650"/>
        <w:gridCol w:w="1257"/>
        <w:gridCol w:w="1219"/>
        <w:gridCol w:w="906"/>
        <w:gridCol w:w="1219"/>
        <w:tblGridChange w:id="0">
          <w:tblGrid>
            <w:gridCol w:w="2650"/>
            <w:gridCol w:w="1257"/>
            <w:gridCol w:w="1219"/>
            <w:gridCol w:w="906"/>
            <w:gridCol w:w="1219"/>
          </w:tblGrid>
        </w:tblGridChange>
      </w:tblGrid>
      <w:tr>
        <w:trPr>
          <w:trHeight w:val="260" w:hRule="atLeast"/>
        </w:trPr>
        <w:tc>
          <w:tcPr>
            <w:tcBorders>
              <w:top w:color="000000" w:space="0" w:sz="4" w:val="single"/>
              <w:left w:color="000000" w:space="0" w:sz="0" w:val="nil"/>
              <w:right w:color="ffffff" w:space="0" w:sz="4" w:val="single"/>
            </w:tcBorders>
          </w:tcPr>
          <w:p w:rsidR="00000000" w:rsidDel="00000000" w:rsidP="00000000" w:rsidRDefault="00000000" w:rsidRPr="00000000" w14:paraId="00000112">
            <w:pPr>
              <w:rPr>
                <w:rFonts w:ascii="Times" w:cs="Times" w:eastAsia="Times" w:hAnsi="Times"/>
                <w:sz w:val="20"/>
                <w:szCs w:val="20"/>
              </w:rPr>
            </w:pPr>
            <w:r w:rsidDel="00000000" w:rsidR="00000000" w:rsidRPr="00000000">
              <w:rPr>
                <w:rtl w:val="0"/>
              </w:rPr>
            </w:r>
          </w:p>
        </w:tc>
        <w:tc>
          <w:tcPr>
            <w:tcBorders>
              <w:top w:color="000000" w:space="0" w:sz="4" w:val="single"/>
              <w:left w:color="ffffff" w:space="0" w:sz="4" w:val="single"/>
              <w:right w:color="ffffff" w:space="0" w:sz="4" w:val="single"/>
            </w:tcBorders>
          </w:tcPr>
          <w:p w:rsidR="00000000" w:rsidDel="00000000" w:rsidP="00000000" w:rsidRDefault="00000000" w:rsidRPr="00000000" w14:paraId="00000113">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Coef.</w:t>
            </w:r>
          </w:p>
        </w:tc>
        <w:tc>
          <w:tcPr>
            <w:tcBorders>
              <w:top w:color="000000" w:space="0" w:sz="4" w:val="single"/>
              <w:left w:color="ffffff" w:space="0" w:sz="4" w:val="single"/>
              <w:right w:color="ffffff" w:space="0" w:sz="4" w:val="single"/>
            </w:tcBorders>
          </w:tcPr>
          <w:p w:rsidR="00000000" w:rsidDel="00000000" w:rsidP="00000000" w:rsidRDefault="00000000" w:rsidRPr="00000000" w14:paraId="00000114">
            <w:pPr>
              <w:tabs>
                <w:tab w:val="left" w:pos="1220"/>
                <w:tab w:val="center" w:pos="2074"/>
              </w:tabs>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Std. Err.</w:t>
            </w:r>
          </w:p>
        </w:tc>
        <w:tc>
          <w:tcPr>
            <w:tcBorders>
              <w:top w:color="000000" w:space="0" w:sz="4" w:val="single"/>
              <w:left w:color="ffffff" w:space="0" w:sz="4" w:val="single"/>
              <w:right w:color="ffffff" w:space="0" w:sz="4" w:val="single"/>
            </w:tcBorders>
          </w:tcPr>
          <w:p w:rsidR="00000000" w:rsidDel="00000000" w:rsidP="00000000" w:rsidRDefault="00000000" w:rsidRPr="00000000" w14:paraId="00000115">
            <w:pPr>
              <w:tabs>
                <w:tab w:val="left" w:pos="1220"/>
                <w:tab w:val="center" w:pos="2074"/>
              </w:tabs>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z</w:t>
            </w:r>
          </w:p>
        </w:tc>
        <w:tc>
          <w:tcPr>
            <w:tcBorders>
              <w:top w:color="000000" w:space="0" w:sz="4" w:val="single"/>
              <w:left w:color="ffffff" w:space="0" w:sz="4" w:val="single"/>
              <w:right w:color="ffffff" w:space="0" w:sz="4" w:val="single"/>
            </w:tcBorders>
          </w:tcPr>
          <w:p w:rsidR="00000000" w:rsidDel="00000000" w:rsidP="00000000" w:rsidRDefault="00000000" w:rsidRPr="00000000" w14:paraId="00000116">
            <w:pPr>
              <w:tabs>
                <w:tab w:val="left" w:pos="1220"/>
                <w:tab w:val="center" w:pos="2074"/>
              </w:tabs>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P &gt; z</w:t>
            </w:r>
          </w:p>
        </w:tc>
      </w:tr>
      <w:tr>
        <w:trPr>
          <w:trHeight w:val="2020" w:hRule="atLeast"/>
        </w:trPr>
        <w:tc>
          <w:tcPr>
            <w:tcBorders>
              <w:left w:color="000000" w:space="0" w:sz="0" w:val="nil"/>
              <w:bottom w:color="000000" w:space="0" w:sz="4" w:val="single"/>
              <w:right w:color="ffffff" w:space="0" w:sz="4" w:val="single"/>
            </w:tcBorders>
          </w:tcPr>
          <w:p w:rsidR="00000000" w:rsidDel="00000000" w:rsidP="00000000" w:rsidRDefault="00000000" w:rsidRPr="00000000" w14:paraId="00000117">
            <w:pPr>
              <w:rPr>
                <w:rFonts w:ascii="Times" w:cs="Times" w:eastAsia="Times" w:hAnsi="Times"/>
                <w:sz w:val="20"/>
                <w:szCs w:val="20"/>
              </w:rPr>
            </w:pPr>
            <w:r w:rsidDel="00000000" w:rsidR="00000000" w:rsidRPr="00000000">
              <w:rPr>
                <w:rFonts w:ascii="Times" w:cs="Times" w:eastAsia="Times" w:hAnsi="Times"/>
                <w:sz w:val="20"/>
                <w:szCs w:val="20"/>
                <w:rtl w:val="0"/>
              </w:rPr>
              <w:t xml:space="preserve">Direct effects</w:t>
            </w:r>
          </w:p>
          <w:p w:rsidR="00000000" w:rsidDel="00000000" w:rsidP="00000000" w:rsidRDefault="00000000" w:rsidRPr="00000000" w14:paraId="00000118">
            <w:pPr>
              <w:rPr>
                <w:rFonts w:ascii="Times" w:cs="Times" w:eastAsia="Times" w:hAnsi="Times"/>
                <w:sz w:val="20"/>
                <w:szCs w:val="20"/>
              </w:rPr>
            </w:pPr>
            <w:r w:rsidDel="00000000" w:rsidR="00000000" w:rsidRPr="00000000">
              <w:rPr>
                <w:rFonts w:ascii="Times" w:cs="Times" w:eastAsia="Times" w:hAnsi="Times"/>
                <w:sz w:val="20"/>
                <w:szCs w:val="20"/>
                <w:rtl w:val="0"/>
              </w:rPr>
              <w:t xml:space="preserve">Structural</w:t>
            </w:r>
          </w:p>
          <w:p w:rsidR="00000000" w:rsidDel="00000000" w:rsidP="00000000" w:rsidRDefault="00000000" w:rsidRPr="00000000" w14:paraId="00000119">
            <w:pPr>
              <w:rPr>
                <w:rFonts w:ascii="Times" w:cs="Times" w:eastAsia="Times" w:hAnsi="Times"/>
                <w:sz w:val="20"/>
                <w:szCs w:val="20"/>
              </w:rPr>
            </w:pPr>
            <w:r w:rsidDel="00000000" w:rsidR="00000000" w:rsidRPr="00000000">
              <w:rPr>
                <w:rFonts w:ascii="Times" w:cs="Times" w:eastAsia="Times" w:hAnsi="Times"/>
                <w:sz w:val="20"/>
                <w:szCs w:val="20"/>
                <w:rtl w:val="0"/>
              </w:rPr>
              <w:t xml:space="preserve">EntInt2</w:t>
            </w:r>
          </w:p>
          <w:p w:rsidR="00000000" w:rsidDel="00000000" w:rsidP="00000000" w:rsidRDefault="00000000" w:rsidRPr="00000000" w14:paraId="0000011A">
            <w:pPr>
              <w:ind w:left="548"/>
              <w:rPr>
                <w:rFonts w:ascii="Times" w:cs="Times" w:eastAsia="Times" w:hAnsi="Times"/>
                <w:sz w:val="20"/>
                <w:szCs w:val="20"/>
              </w:rPr>
            </w:pPr>
            <w:r w:rsidDel="00000000" w:rsidR="00000000" w:rsidRPr="00000000">
              <w:rPr>
                <w:rFonts w:ascii="Times" w:cs="Times" w:eastAsia="Times" w:hAnsi="Times"/>
                <w:sz w:val="20"/>
                <w:szCs w:val="20"/>
                <w:rtl w:val="0"/>
              </w:rPr>
              <w:t xml:space="preserve">SelfEff2</w:t>
            </w:r>
          </w:p>
          <w:p w:rsidR="00000000" w:rsidDel="00000000" w:rsidP="00000000" w:rsidRDefault="00000000" w:rsidRPr="00000000" w14:paraId="0000011B">
            <w:pPr>
              <w:ind w:left="548"/>
              <w:rPr>
                <w:rFonts w:ascii="Times" w:cs="Times" w:eastAsia="Times" w:hAnsi="Times"/>
                <w:sz w:val="20"/>
                <w:szCs w:val="20"/>
              </w:rPr>
            </w:pPr>
            <w:r w:rsidDel="00000000" w:rsidR="00000000" w:rsidRPr="00000000">
              <w:rPr>
                <w:rFonts w:ascii="Times" w:cs="Times" w:eastAsia="Times" w:hAnsi="Times"/>
                <w:sz w:val="20"/>
                <w:szCs w:val="20"/>
                <w:rtl w:val="0"/>
              </w:rPr>
              <w:t xml:space="preserve">TechSE</w:t>
            </w:r>
          </w:p>
          <w:p w:rsidR="00000000" w:rsidDel="00000000" w:rsidP="00000000" w:rsidRDefault="00000000" w:rsidRPr="00000000" w14:paraId="0000011C">
            <w:pPr>
              <w:ind w:left="548"/>
              <w:rPr>
                <w:rFonts w:ascii="Times" w:cs="Times" w:eastAsia="Times" w:hAnsi="Times"/>
                <w:sz w:val="20"/>
                <w:szCs w:val="20"/>
              </w:rPr>
            </w:pPr>
            <w:r w:rsidDel="00000000" w:rsidR="00000000" w:rsidRPr="00000000">
              <w:rPr>
                <w:rFonts w:ascii="Times" w:cs="Times" w:eastAsia="Times" w:hAnsi="Times"/>
                <w:sz w:val="20"/>
                <w:szCs w:val="20"/>
                <w:rtl w:val="0"/>
              </w:rPr>
              <w:t xml:space="preserve">EntInt1</w:t>
            </w:r>
          </w:p>
          <w:p w:rsidR="00000000" w:rsidDel="00000000" w:rsidP="00000000" w:rsidRDefault="00000000" w:rsidRPr="00000000" w14:paraId="0000011D">
            <w:pPr>
              <w:rPr>
                <w:rFonts w:ascii="Times" w:cs="Times" w:eastAsia="Times" w:hAnsi="Times"/>
                <w:sz w:val="20"/>
                <w:szCs w:val="20"/>
              </w:rPr>
            </w:pPr>
            <w:r w:rsidDel="00000000" w:rsidR="00000000" w:rsidRPr="00000000">
              <w:rPr>
                <w:rFonts w:ascii="Times" w:cs="Times" w:eastAsia="Times" w:hAnsi="Times"/>
                <w:sz w:val="20"/>
                <w:szCs w:val="20"/>
                <w:rtl w:val="0"/>
              </w:rPr>
              <w:t xml:space="preserve">SelfEff2</w:t>
            </w:r>
          </w:p>
          <w:p w:rsidR="00000000" w:rsidDel="00000000" w:rsidP="00000000" w:rsidRDefault="00000000" w:rsidRPr="00000000" w14:paraId="0000011E">
            <w:pPr>
              <w:rPr>
                <w:rFonts w:ascii="Times" w:cs="Times" w:eastAsia="Times" w:hAnsi="Times"/>
                <w:sz w:val="20"/>
                <w:szCs w:val="20"/>
              </w:rPr>
            </w:pPr>
            <w:r w:rsidDel="00000000" w:rsidR="00000000" w:rsidRPr="00000000">
              <w:rPr>
                <w:rFonts w:ascii="Times" w:cs="Times" w:eastAsia="Times" w:hAnsi="Times"/>
                <w:sz w:val="20"/>
                <w:szCs w:val="20"/>
                <w:rtl w:val="0"/>
              </w:rPr>
              <w:t xml:space="preserve">         TechSE</w:t>
            </w:r>
          </w:p>
        </w:tc>
        <w:tc>
          <w:tcPr>
            <w:tcBorders>
              <w:left w:color="ffffff" w:space="0" w:sz="4" w:val="single"/>
              <w:bottom w:color="000000" w:space="0" w:sz="4" w:val="single"/>
              <w:right w:color="ffffff" w:space="0" w:sz="4" w:val="single"/>
            </w:tcBorders>
          </w:tcPr>
          <w:p w:rsidR="00000000" w:rsidDel="00000000" w:rsidP="00000000" w:rsidRDefault="00000000" w:rsidRPr="00000000" w14:paraId="0000011F">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20">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21">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22">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.3152273</w:t>
            </w:r>
          </w:p>
          <w:p w:rsidR="00000000" w:rsidDel="00000000" w:rsidP="00000000" w:rsidRDefault="00000000" w:rsidRPr="00000000" w14:paraId="00000123">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.2112179</w:t>
            </w:r>
          </w:p>
          <w:p w:rsidR="00000000" w:rsidDel="00000000" w:rsidP="00000000" w:rsidRDefault="00000000" w:rsidRPr="00000000" w14:paraId="00000124">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.8552559</w:t>
            </w:r>
          </w:p>
          <w:p w:rsidR="00000000" w:rsidDel="00000000" w:rsidP="00000000" w:rsidRDefault="00000000" w:rsidRPr="00000000" w14:paraId="00000125">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26">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.3426862</w:t>
            </w:r>
          </w:p>
        </w:tc>
        <w:tc>
          <w:tcPr>
            <w:tcBorders>
              <w:left w:color="ffffff" w:space="0" w:sz="4" w:val="single"/>
              <w:bottom w:color="000000" w:space="0" w:sz="4" w:val="single"/>
              <w:right w:color="ffffff" w:space="0" w:sz="4" w:val="single"/>
            </w:tcBorders>
          </w:tcPr>
          <w:p w:rsidR="00000000" w:rsidDel="00000000" w:rsidP="00000000" w:rsidRDefault="00000000" w:rsidRPr="00000000" w14:paraId="00000127">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28">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29">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2A">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.1443633</w:t>
            </w:r>
          </w:p>
          <w:p w:rsidR="00000000" w:rsidDel="00000000" w:rsidP="00000000" w:rsidRDefault="00000000" w:rsidRPr="00000000" w14:paraId="0000012B">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.1180414</w:t>
            </w:r>
          </w:p>
          <w:p w:rsidR="00000000" w:rsidDel="00000000" w:rsidP="00000000" w:rsidRDefault="00000000" w:rsidRPr="00000000" w14:paraId="0000012C">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.11807</w:t>
            </w:r>
          </w:p>
          <w:p w:rsidR="00000000" w:rsidDel="00000000" w:rsidP="00000000" w:rsidRDefault="00000000" w:rsidRPr="00000000" w14:paraId="0000012D">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2E">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.1180056</w:t>
            </w:r>
          </w:p>
        </w:tc>
        <w:tc>
          <w:tcPr>
            <w:tcBorders>
              <w:left w:color="ffffff" w:space="0" w:sz="4" w:val="single"/>
              <w:bottom w:color="000000" w:space="0" w:sz="4" w:val="single"/>
              <w:right w:color="ffffff" w:space="0" w:sz="4" w:val="single"/>
            </w:tcBorders>
          </w:tcPr>
          <w:p w:rsidR="00000000" w:rsidDel="00000000" w:rsidP="00000000" w:rsidRDefault="00000000" w:rsidRPr="00000000" w14:paraId="0000012F">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30">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31">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32">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2.18</w:t>
            </w:r>
          </w:p>
          <w:p w:rsidR="00000000" w:rsidDel="00000000" w:rsidP="00000000" w:rsidRDefault="00000000" w:rsidRPr="00000000" w14:paraId="00000133">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1.79</w:t>
            </w:r>
          </w:p>
          <w:p w:rsidR="00000000" w:rsidDel="00000000" w:rsidP="00000000" w:rsidRDefault="00000000" w:rsidRPr="00000000" w14:paraId="00000134">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7.24</w:t>
            </w:r>
          </w:p>
          <w:p w:rsidR="00000000" w:rsidDel="00000000" w:rsidP="00000000" w:rsidRDefault="00000000" w:rsidRPr="00000000" w14:paraId="00000135">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36">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2.90</w:t>
            </w:r>
          </w:p>
        </w:tc>
        <w:tc>
          <w:tcPr>
            <w:tcBorders>
              <w:left w:color="ffffff" w:space="0" w:sz="4" w:val="single"/>
              <w:bottom w:color="000000" w:space="0" w:sz="4" w:val="single"/>
              <w:right w:color="ffffff" w:space="0" w:sz="4" w:val="single"/>
            </w:tcBorders>
          </w:tcPr>
          <w:p w:rsidR="00000000" w:rsidDel="00000000" w:rsidP="00000000" w:rsidRDefault="00000000" w:rsidRPr="00000000" w14:paraId="00000137">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38">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39">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3A">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0.029</w:t>
            </w:r>
          </w:p>
          <w:p w:rsidR="00000000" w:rsidDel="00000000" w:rsidP="00000000" w:rsidRDefault="00000000" w:rsidRPr="00000000" w14:paraId="0000013B">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0.074</w:t>
            </w:r>
          </w:p>
          <w:p w:rsidR="00000000" w:rsidDel="00000000" w:rsidP="00000000" w:rsidRDefault="00000000" w:rsidRPr="00000000" w14:paraId="0000013C">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0.000</w:t>
            </w:r>
          </w:p>
          <w:p w:rsidR="00000000" w:rsidDel="00000000" w:rsidP="00000000" w:rsidRDefault="00000000" w:rsidRPr="00000000" w14:paraId="0000013D">
            <w:pP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3E">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0.004</w:t>
            </w:r>
          </w:p>
        </w:tc>
      </w:tr>
      <w:tr>
        <w:trPr>
          <w:trHeight w:val="1160" w:hRule="atLeast"/>
        </w:trPr>
        <w:tc>
          <w:tcPr>
            <w:tcBorders>
              <w:left w:color="000000" w:space="0" w:sz="0" w:val="nil"/>
              <w:right w:color="ffffff" w:space="0" w:sz="4" w:val="single"/>
            </w:tcBorders>
          </w:tcPr>
          <w:p w:rsidR="00000000" w:rsidDel="00000000" w:rsidP="00000000" w:rsidRDefault="00000000" w:rsidRPr="00000000" w14:paraId="0000013F">
            <w:pPr>
              <w:rPr>
                <w:rFonts w:ascii="Times" w:cs="Times" w:eastAsia="Times" w:hAnsi="Times"/>
                <w:sz w:val="20"/>
                <w:szCs w:val="20"/>
              </w:rPr>
            </w:pPr>
            <w:r w:rsidDel="00000000" w:rsidR="00000000" w:rsidRPr="00000000">
              <w:rPr>
                <w:rFonts w:ascii="Times" w:cs="Times" w:eastAsia="Times" w:hAnsi="Times"/>
                <w:sz w:val="20"/>
                <w:szCs w:val="20"/>
                <w:rtl w:val="0"/>
              </w:rPr>
              <w:t xml:space="preserve">Indirect effects</w:t>
            </w:r>
          </w:p>
          <w:p w:rsidR="00000000" w:rsidDel="00000000" w:rsidP="00000000" w:rsidRDefault="00000000" w:rsidRPr="00000000" w14:paraId="00000140">
            <w:pPr>
              <w:rPr>
                <w:rFonts w:ascii="Times" w:cs="Times" w:eastAsia="Times" w:hAnsi="Times"/>
                <w:sz w:val="20"/>
                <w:szCs w:val="20"/>
              </w:rPr>
            </w:pPr>
            <w:r w:rsidDel="00000000" w:rsidR="00000000" w:rsidRPr="00000000">
              <w:rPr>
                <w:rFonts w:ascii="Times" w:cs="Times" w:eastAsia="Times" w:hAnsi="Times"/>
                <w:sz w:val="20"/>
                <w:szCs w:val="20"/>
                <w:rtl w:val="0"/>
              </w:rPr>
              <w:t xml:space="preserve">Structural</w:t>
            </w:r>
          </w:p>
          <w:p w:rsidR="00000000" w:rsidDel="00000000" w:rsidP="00000000" w:rsidRDefault="00000000" w:rsidRPr="00000000" w14:paraId="00000141">
            <w:pPr>
              <w:rPr>
                <w:rFonts w:ascii="Times" w:cs="Times" w:eastAsia="Times" w:hAnsi="Times"/>
                <w:sz w:val="20"/>
                <w:szCs w:val="20"/>
              </w:rPr>
            </w:pPr>
            <w:r w:rsidDel="00000000" w:rsidR="00000000" w:rsidRPr="00000000">
              <w:rPr>
                <w:rFonts w:ascii="Times" w:cs="Times" w:eastAsia="Times" w:hAnsi="Times"/>
                <w:sz w:val="20"/>
                <w:szCs w:val="20"/>
                <w:rtl w:val="0"/>
              </w:rPr>
              <w:t xml:space="preserve">EntInt2</w:t>
            </w:r>
          </w:p>
          <w:p w:rsidR="00000000" w:rsidDel="00000000" w:rsidP="00000000" w:rsidRDefault="00000000" w:rsidRPr="00000000" w14:paraId="00000142">
            <w:pPr>
              <w:ind w:left="548"/>
              <w:rPr>
                <w:rFonts w:ascii="Times" w:cs="Times" w:eastAsia="Times" w:hAnsi="Times"/>
                <w:sz w:val="20"/>
                <w:szCs w:val="20"/>
              </w:rPr>
            </w:pPr>
            <w:r w:rsidDel="00000000" w:rsidR="00000000" w:rsidRPr="00000000">
              <w:rPr>
                <w:rFonts w:ascii="Times" w:cs="Times" w:eastAsia="Times" w:hAnsi="Times"/>
                <w:sz w:val="20"/>
                <w:szCs w:val="20"/>
                <w:rtl w:val="0"/>
              </w:rPr>
              <w:t xml:space="preserve">TechSE</w:t>
            </w:r>
          </w:p>
        </w:tc>
        <w:tc>
          <w:tcPr>
            <w:tcBorders>
              <w:left w:color="ffffff" w:space="0" w:sz="4" w:val="single"/>
              <w:right w:color="ffffff" w:space="0" w:sz="4" w:val="single"/>
            </w:tcBorders>
          </w:tcPr>
          <w:p w:rsidR="00000000" w:rsidDel="00000000" w:rsidP="00000000" w:rsidRDefault="00000000" w:rsidRPr="00000000" w14:paraId="00000143">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44">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45">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46">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.108024</w:t>
            </w:r>
          </w:p>
        </w:tc>
        <w:tc>
          <w:tcPr>
            <w:tcBorders>
              <w:left w:color="ffffff" w:space="0" w:sz="4" w:val="single"/>
              <w:right w:color="ffffff" w:space="0" w:sz="4" w:val="single"/>
            </w:tcBorders>
          </w:tcPr>
          <w:p w:rsidR="00000000" w:rsidDel="00000000" w:rsidP="00000000" w:rsidRDefault="00000000" w:rsidRPr="00000000" w14:paraId="00000147">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48">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49">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4A">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.0613019</w:t>
            </w:r>
          </w:p>
        </w:tc>
        <w:tc>
          <w:tcPr>
            <w:tcBorders>
              <w:left w:color="ffffff" w:space="0" w:sz="4" w:val="single"/>
              <w:right w:color="ffffff" w:space="0" w:sz="4" w:val="single"/>
            </w:tcBorders>
          </w:tcPr>
          <w:p w:rsidR="00000000" w:rsidDel="00000000" w:rsidP="00000000" w:rsidRDefault="00000000" w:rsidRPr="00000000" w14:paraId="0000014B">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4C">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4D">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4E">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1.76</w:t>
            </w:r>
          </w:p>
        </w:tc>
        <w:tc>
          <w:tcPr>
            <w:tcBorders>
              <w:left w:color="ffffff" w:space="0" w:sz="4" w:val="single"/>
              <w:right w:color="ffffff" w:space="0" w:sz="4" w:val="single"/>
            </w:tcBorders>
          </w:tcPr>
          <w:p w:rsidR="00000000" w:rsidDel="00000000" w:rsidP="00000000" w:rsidRDefault="00000000" w:rsidRPr="00000000" w14:paraId="0000014F">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50">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51">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52">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0.078</w:t>
            </w:r>
          </w:p>
        </w:tc>
      </w:tr>
      <w:tr>
        <w:trPr>
          <w:trHeight w:val="1160" w:hRule="atLeast"/>
        </w:trPr>
        <w:tc>
          <w:tcPr>
            <w:tcBorders>
              <w:left w:color="000000" w:space="0" w:sz="0" w:val="nil"/>
              <w:bottom w:color="000000" w:space="0" w:sz="4" w:val="single"/>
              <w:right w:color="ffffff" w:space="0" w:sz="4" w:val="single"/>
            </w:tcBorders>
          </w:tcPr>
          <w:p w:rsidR="00000000" w:rsidDel="00000000" w:rsidP="00000000" w:rsidRDefault="00000000" w:rsidRPr="00000000" w14:paraId="00000153">
            <w:pPr>
              <w:rPr>
                <w:rFonts w:ascii="Times" w:cs="Times" w:eastAsia="Times" w:hAnsi="Times"/>
                <w:sz w:val="20"/>
                <w:szCs w:val="20"/>
              </w:rPr>
            </w:pPr>
            <w:r w:rsidDel="00000000" w:rsidR="00000000" w:rsidRPr="00000000">
              <w:rPr>
                <w:rFonts w:ascii="Times" w:cs="Times" w:eastAsia="Times" w:hAnsi="Times"/>
                <w:sz w:val="20"/>
                <w:szCs w:val="20"/>
                <w:rtl w:val="0"/>
              </w:rPr>
              <w:t xml:space="preserve">Total effects</w:t>
            </w:r>
          </w:p>
          <w:p w:rsidR="00000000" w:rsidDel="00000000" w:rsidP="00000000" w:rsidRDefault="00000000" w:rsidRPr="00000000" w14:paraId="00000154">
            <w:pPr>
              <w:rPr>
                <w:rFonts w:ascii="Times" w:cs="Times" w:eastAsia="Times" w:hAnsi="Times"/>
                <w:sz w:val="20"/>
                <w:szCs w:val="20"/>
              </w:rPr>
            </w:pPr>
            <w:r w:rsidDel="00000000" w:rsidR="00000000" w:rsidRPr="00000000">
              <w:rPr>
                <w:rFonts w:ascii="Times" w:cs="Times" w:eastAsia="Times" w:hAnsi="Times"/>
                <w:sz w:val="20"/>
                <w:szCs w:val="20"/>
                <w:rtl w:val="0"/>
              </w:rPr>
              <w:t xml:space="preserve">Structural</w:t>
            </w:r>
          </w:p>
          <w:p w:rsidR="00000000" w:rsidDel="00000000" w:rsidP="00000000" w:rsidRDefault="00000000" w:rsidRPr="00000000" w14:paraId="00000155">
            <w:pPr>
              <w:rPr>
                <w:rFonts w:ascii="Times" w:cs="Times" w:eastAsia="Times" w:hAnsi="Times"/>
                <w:sz w:val="20"/>
                <w:szCs w:val="20"/>
              </w:rPr>
            </w:pPr>
            <w:r w:rsidDel="00000000" w:rsidR="00000000" w:rsidRPr="00000000">
              <w:rPr>
                <w:rFonts w:ascii="Times" w:cs="Times" w:eastAsia="Times" w:hAnsi="Times"/>
                <w:sz w:val="20"/>
                <w:szCs w:val="20"/>
                <w:rtl w:val="0"/>
              </w:rPr>
              <w:t xml:space="preserve">EntInt2</w:t>
            </w:r>
          </w:p>
          <w:p w:rsidR="00000000" w:rsidDel="00000000" w:rsidP="00000000" w:rsidRDefault="00000000" w:rsidRPr="00000000" w14:paraId="00000156">
            <w:pPr>
              <w:ind w:left="548"/>
              <w:rPr>
                <w:rFonts w:ascii="Times" w:cs="Times" w:eastAsia="Times" w:hAnsi="Times"/>
                <w:sz w:val="20"/>
                <w:szCs w:val="20"/>
              </w:rPr>
            </w:pPr>
            <w:r w:rsidDel="00000000" w:rsidR="00000000" w:rsidRPr="00000000">
              <w:rPr>
                <w:rFonts w:ascii="Times" w:cs="Times" w:eastAsia="Times" w:hAnsi="Times"/>
                <w:sz w:val="20"/>
                <w:szCs w:val="20"/>
                <w:rtl w:val="0"/>
              </w:rPr>
              <w:t xml:space="preserve">SelfEff2</w:t>
            </w:r>
          </w:p>
          <w:p w:rsidR="00000000" w:rsidDel="00000000" w:rsidP="00000000" w:rsidRDefault="00000000" w:rsidRPr="00000000" w14:paraId="00000157">
            <w:pPr>
              <w:ind w:left="548"/>
              <w:rPr>
                <w:rFonts w:ascii="Times" w:cs="Times" w:eastAsia="Times" w:hAnsi="Times"/>
                <w:sz w:val="20"/>
                <w:szCs w:val="20"/>
              </w:rPr>
            </w:pPr>
            <w:r w:rsidDel="00000000" w:rsidR="00000000" w:rsidRPr="00000000">
              <w:rPr>
                <w:rFonts w:ascii="Times" w:cs="Times" w:eastAsia="Times" w:hAnsi="Times"/>
                <w:sz w:val="20"/>
                <w:szCs w:val="20"/>
                <w:rtl w:val="0"/>
              </w:rPr>
              <w:t xml:space="preserve">TechSE</w:t>
            </w:r>
          </w:p>
          <w:p w:rsidR="00000000" w:rsidDel="00000000" w:rsidP="00000000" w:rsidRDefault="00000000" w:rsidRPr="00000000" w14:paraId="00000158">
            <w:pPr>
              <w:ind w:left="548"/>
              <w:rPr>
                <w:rFonts w:ascii="Times" w:cs="Times" w:eastAsia="Times" w:hAnsi="Times"/>
                <w:sz w:val="20"/>
                <w:szCs w:val="20"/>
              </w:rPr>
            </w:pPr>
            <w:r w:rsidDel="00000000" w:rsidR="00000000" w:rsidRPr="00000000">
              <w:rPr>
                <w:rFonts w:ascii="Times" w:cs="Times" w:eastAsia="Times" w:hAnsi="Times"/>
                <w:sz w:val="20"/>
                <w:szCs w:val="20"/>
                <w:rtl w:val="0"/>
              </w:rPr>
              <w:t xml:space="preserve">EntInt1</w:t>
            </w:r>
          </w:p>
          <w:p w:rsidR="00000000" w:rsidDel="00000000" w:rsidP="00000000" w:rsidRDefault="00000000" w:rsidRPr="00000000" w14:paraId="00000159">
            <w:pPr>
              <w:rPr>
                <w:rFonts w:ascii="Times" w:cs="Times" w:eastAsia="Times" w:hAnsi="Times"/>
                <w:sz w:val="20"/>
                <w:szCs w:val="20"/>
              </w:rPr>
            </w:pPr>
            <w:r w:rsidDel="00000000" w:rsidR="00000000" w:rsidRPr="00000000">
              <w:rPr>
                <w:rFonts w:ascii="Times" w:cs="Times" w:eastAsia="Times" w:hAnsi="Times"/>
                <w:sz w:val="20"/>
                <w:szCs w:val="20"/>
                <w:rtl w:val="0"/>
              </w:rPr>
              <w:t xml:space="preserve">SelfEff2</w:t>
            </w:r>
          </w:p>
          <w:p w:rsidR="00000000" w:rsidDel="00000000" w:rsidP="00000000" w:rsidRDefault="00000000" w:rsidRPr="00000000" w14:paraId="0000015A">
            <w:pPr>
              <w:rPr>
                <w:rFonts w:ascii="Times" w:cs="Times" w:eastAsia="Times" w:hAnsi="Times"/>
                <w:sz w:val="20"/>
                <w:szCs w:val="20"/>
              </w:rPr>
            </w:pPr>
            <w:r w:rsidDel="00000000" w:rsidR="00000000" w:rsidRPr="00000000">
              <w:rPr>
                <w:rFonts w:ascii="Times" w:cs="Times" w:eastAsia="Times" w:hAnsi="Times"/>
                <w:sz w:val="20"/>
                <w:szCs w:val="20"/>
                <w:rtl w:val="0"/>
              </w:rPr>
              <w:t xml:space="preserve">         TechSE</w:t>
            </w:r>
          </w:p>
        </w:tc>
        <w:tc>
          <w:tcPr>
            <w:tcBorders>
              <w:left w:color="ffffff" w:space="0" w:sz="4" w:val="single"/>
              <w:bottom w:color="000000" w:space="0" w:sz="4" w:val="single"/>
              <w:right w:color="ffffff" w:space="0" w:sz="4" w:val="single"/>
            </w:tcBorders>
          </w:tcPr>
          <w:p w:rsidR="00000000" w:rsidDel="00000000" w:rsidP="00000000" w:rsidRDefault="00000000" w:rsidRPr="00000000" w14:paraId="0000015B">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5C">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5D">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5E">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3152273</w:t>
            </w:r>
          </w:p>
          <w:p w:rsidR="00000000" w:rsidDel="00000000" w:rsidP="00000000" w:rsidRDefault="00000000" w:rsidRPr="00000000" w14:paraId="0000015F">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.3192419</w:t>
            </w:r>
          </w:p>
          <w:p w:rsidR="00000000" w:rsidDel="00000000" w:rsidP="00000000" w:rsidRDefault="00000000" w:rsidRPr="00000000" w14:paraId="00000160">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.8552559</w:t>
            </w:r>
          </w:p>
          <w:p w:rsidR="00000000" w:rsidDel="00000000" w:rsidP="00000000" w:rsidRDefault="00000000" w:rsidRPr="00000000" w14:paraId="00000161">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62">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.3426862</w:t>
            </w:r>
          </w:p>
        </w:tc>
        <w:tc>
          <w:tcPr>
            <w:tcBorders>
              <w:left w:color="ffffff" w:space="0" w:sz="4" w:val="single"/>
              <w:bottom w:color="000000" w:space="0" w:sz="4" w:val="single"/>
              <w:right w:color="ffffff" w:space="0" w:sz="4" w:val="single"/>
            </w:tcBorders>
          </w:tcPr>
          <w:p w:rsidR="00000000" w:rsidDel="00000000" w:rsidP="00000000" w:rsidRDefault="00000000" w:rsidRPr="00000000" w14:paraId="00000163">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64">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65">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66">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.1443633</w:t>
            </w:r>
          </w:p>
          <w:p w:rsidR="00000000" w:rsidDel="00000000" w:rsidP="00000000" w:rsidRDefault="00000000" w:rsidRPr="00000000" w14:paraId="00000167">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.1289702</w:t>
            </w:r>
          </w:p>
          <w:p w:rsidR="00000000" w:rsidDel="00000000" w:rsidP="00000000" w:rsidRDefault="00000000" w:rsidRPr="00000000" w14:paraId="00000168">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.11807</w:t>
            </w:r>
          </w:p>
          <w:p w:rsidR="00000000" w:rsidDel="00000000" w:rsidP="00000000" w:rsidRDefault="00000000" w:rsidRPr="00000000" w14:paraId="00000169">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6A">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.1180056</w:t>
            </w:r>
          </w:p>
        </w:tc>
        <w:tc>
          <w:tcPr>
            <w:tcBorders>
              <w:left w:color="ffffff" w:space="0" w:sz="4" w:val="single"/>
              <w:bottom w:color="000000" w:space="0" w:sz="4" w:val="single"/>
              <w:right w:color="ffffff" w:space="0" w:sz="4" w:val="single"/>
            </w:tcBorders>
          </w:tcPr>
          <w:p w:rsidR="00000000" w:rsidDel="00000000" w:rsidP="00000000" w:rsidRDefault="00000000" w:rsidRPr="00000000" w14:paraId="0000016B">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6C">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6D">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6E">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2.18</w:t>
            </w:r>
          </w:p>
          <w:p w:rsidR="00000000" w:rsidDel="00000000" w:rsidP="00000000" w:rsidRDefault="00000000" w:rsidRPr="00000000" w14:paraId="0000016F">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2.48</w:t>
            </w:r>
          </w:p>
          <w:p w:rsidR="00000000" w:rsidDel="00000000" w:rsidP="00000000" w:rsidRDefault="00000000" w:rsidRPr="00000000" w14:paraId="00000170">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7.24</w:t>
            </w:r>
          </w:p>
          <w:p w:rsidR="00000000" w:rsidDel="00000000" w:rsidP="00000000" w:rsidRDefault="00000000" w:rsidRPr="00000000" w14:paraId="00000171">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72">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2.90</w:t>
            </w:r>
          </w:p>
        </w:tc>
        <w:tc>
          <w:tcPr>
            <w:tcBorders>
              <w:left w:color="ffffff" w:space="0" w:sz="4" w:val="single"/>
              <w:bottom w:color="000000" w:space="0" w:sz="4" w:val="single"/>
              <w:right w:color="ffffff" w:space="0" w:sz="4" w:val="single"/>
            </w:tcBorders>
          </w:tcPr>
          <w:p w:rsidR="00000000" w:rsidDel="00000000" w:rsidP="00000000" w:rsidRDefault="00000000" w:rsidRPr="00000000" w14:paraId="00000173">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74">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75">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76">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0.029</w:t>
            </w:r>
          </w:p>
          <w:p w:rsidR="00000000" w:rsidDel="00000000" w:rsidP="00000000" w:rsidRDefault="00000000" w:rsidRPr="00000000" w14:paraId="00000177">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0.013</w:t>
            </w:r>
          </w:p>
          <w:p w:rsidR="00000000" w:rsidDel="00000000" w:rsidP="00000000" w:rsidRDefault="00000000" w:rsidRPr="00000000" w14:paraId="00000178">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0.000</w:t>
            </w:r>
          </w:p>
          <w:p w:rsidR="00000000" w:rsidDel="00000000" w:rsidP="00000000" w:rsidRDefault="00000000" w:rsidRPr="00000000" w14:paraId="00000179">
            <w:pPr>
              <w:jc w:val="right"/>
              <w:rPr>
                <w:rFonts w:ascii="Times" w:cs="Times" w:eastAsia="Times" w:hAnsi="Times"/>
                <w:sz w:val="20"/>
                <w:szCs w:val="20"/>
              </w:rPr>
            </w:pPr>
            <w:r w:rsidDel="00000000" w:rsidR="00000000" w:rsidRPr="00000000">
              <w:rPr>
                <w:rtl w:val="0"/>
              </w:rPr>
            </w:r>
          </w:p>
          <w:p w:rsidR="00000000" w:rsidDel="00000000" w:rsidP="00000000" w:rsidRDefault="00000000" w:rsidRPr="00000000" w14:paraId="0000017A">
            <w:pPr>
              <w:jc w:val="right"/>
              <w:rPr>
                <w:rFonts w:ascii="Times" w:cs="Times" w:eastAsia="Times" w:hAnsi="Times"/>
                <w:sz w:val="20"/>
                <w:szCs w:val="20"/>
              </w:rPr>
            </w:pPr>
            <w:r w:rsidDel="00000000" w:rsidR="00000000" w:rsidRPr="00000000">
              <w:rPr>
                <w:rFonts w:ascii="Times" w:cs="Times" w:eastAsia="Times" w:hAnsi="Times"/>
                <w:sz w:val="20"/>
                <w:szCs w:val="20"/>
                <w:rtl w:val="0"/>
              </w:rPr>
              <w:t xml:space="preserve">0.004</w:t>
            </w:r>
          </w:p>
        </w:tc>
      </w:tr>
    </w:tbl>
    <w:p w:rsidR="00000000" w:rsidDel="00000000" w:rsidP="00000000" w:rsidRDefault="00000000" w:rsidRPr="00000000" w14:paraId="0000017B">
      <w:pPr>
        <w:spacing w:after="200" w:line="276"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7C">
      <w:pPr>
        <w:rPr>
          <w:sz w:val="20"/>
          <w:szCs w:val="20"/>
        </w:rPr>
      </w:pPr>
      <w:r w:rsidDel="00000000" w:rsidR="00000000" w:rsidRPr="00000000">
        <w:rPr>
          <w:sz w:val="20"/>
          <w:szCs w:val="20"/>
          <w:rtl w:val="0"/>
        </w:rPr>
        <w:t xml:space="preserve">Table 3. Goodness-of-Fit Indexes for Structural Equation Models</w:t>
      </w:r>
    </w:p>
    <w:p w:rsidR="00000000" w:rsidDel="00000000" w:rsidP="00000000" w:rsidRDefault="00000000" w:rsidRPr="00000000" w14:paraId="0000017D">
      <w:pPr>
        <w:jc w:val="center"/>
        <w:rPr>
          <w:rFonts w:ascii="Cambria" w:cs="Cambria" w:eastAsia="Cambria" w:hAnsi="Cambria"/>
          <w:i w:val="1"/>
          <w:sz w:val="20"/>
          <w:szCs w:val="20"/>
        </w:rPr>
      </w:pPr>
      <w:r w:rsidDel="00000000" w:rsidR="00000000" w:rsidRPr="00000000">
        <w:rPr>
          <w:rtl w:val="0"/>
        </w:rPr>
      </w:r>
    </w:p>
    <w:tbl>
      <w:tblPr>
        <w:tblStyle w:val="Table3"/>
        <w:tblW w:w="8379.0" w:type="dxa"/>
        <w:jc w:val="center"/>
        <w:tblBorders>
          <w:top w:color="7f7f7f" w:space="0" w:sz="4" w:val="single"/>
          <w:left w:color="000000" w:space="0" w:sz="4" w:val="single"/>
          <w:bottom w:color="7f7f7f" w:space="0" w:sz="4" w:val="single"/>
          <w:right w:color="000000" w:space="0" w:sz="4" w:val="single"/>
          <w:insideH w:color="000000" w:space="0" w:sz="4" w:val="single"/>
          <w:insideV w:color="000000" w:space="0" w:sz="4" w:val="single"/>
        </w:tblBorders>
        <w:tblLayout w:type="fixed"/>
        <w:tblLook w:val="0400"/>
      </w:tblPr>
      <w:tblGrid>
        <w:gridCol w:w="2570"/>
        <w:gridCol w:w="1759"/>
        <w:gridCol w:w="1391"/>
        <w:gridCol w:w="810"/>
        <w:gridCol w:w="1080"/>
        <w:gridCol w:w="769"/>
        <w:tblGridChange w:id="0">
          <w:tblGrid>
            <w:gridCol w:w="2570"/>
            <w:gridCol w:w="1759"/>
            <w:gridCol w:w="1391"/>
            <w:gridCol w:w="810"/>
            <w:gridCol w:w="1080"/>
            <w:gridCol w:w="769"/>
          </w:tblGrid>
        </w:tblGridChange>
      </w:tblGrid>
      <w:tr>
        <w:trPr>
          <w:trHeight w:val="260" w:hRule="atLeast"/>
        </w:trPr>
        <w:tc>
          <w:tcPr>
            <w:tcBorders>
              <w:top w:color="000000" w:space="0" w:sz="4" w:val="single"/>
              <w:left w:color="000000" w:space="0" w:sz="0" w:val="nil"/>
              <w:right w:color="ffffff" w:space="0" w:sz="4" w:val="single"/>
            </w:tcBorders>
          </w:tcPr>
          <w:p w:rsidR="00000000" w:rsidDel="00000000" w:rsidP="00000000" w:rsidRDefault="00000000" w:rsidRPr="00000000" w14:paraId="0000017E">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Model</w:t>
            </w:r>
          </w:p>
        </w:tc>
        <w:tc>
          <w:tcPr>
            <w:tcBorders>
              <w:top w:color="000000" w:space="0" w:sz="4" w:val="single"/>
              <w:left w:color="ffffff" w:space="0" w:sz="4" w:val="single"/>
              <w:right w:color="ffffff" w:space="0" w:sz="4" w:val="single"/>
            </w:tcBorders>
          </w:tcPr>
          <w:p w:rsidR="00000000" w:rsidDel="00000000" w:rsidP="00000000" w:rsidRDefault="00000000" w:rsidRPr="00000000" w14:paraId="0000017F">
            <w:pPr>
              <w:jc w:val="center"/>
              <w:rPr>
                <w:rFonts w:ascii="Times" w:cs="Times" w:eastAsia="Times" w:hAnsi="Times"/>
                <w:sz w:val="20"/>
                <w:szCs w:val="20"/>
              </w:rPr>
            </w:pPr>
            <w:r w:rsidDel="00000000" w:rsidR="00000000" w:rsidRPr="00000000">
              <w:rPr>
                <w:rFonts w:ascii="Symbol" w:cs="Symbol" w:eastAsia="Symbol" w:hAnsi="Symbol"/>
                <w:sz w:val="20"/>
                <w:szCs w:val="20"/>
                <w:rtl w:val="0"/>
              </w:rPr>
              <w:t xml:space="preserve">χ</w:t>
            </w:r>
            <w:r w:rsidDel="00000000" w:rsidR="00000000" w:rsidRPr="00000000">
              <w:rPr>
                <w:rFonts w:ascii="Times" w:cs="Times" w:eastAsia="Times" w:hAnsi="Times"/>
                <w:sz w:val="20"/>
                <w:szCs w:val="20"/>
                <w:rtl w:val="0"/>
              </w:rPr>
              <w:t xml:space="preserve">² (</w:t>
            </w:r>
            <w:r w:rsidDel="00000000" w:rsidR="00000000" w:rsidRPr="00000000">
              <w:rPr>
                <w:rFonts w:ascii="Times" w:cs="Times" w:eastAsia="Times" w:hAnsi="Times"/>
                <w:i w:val="1"/>
                <w:sz w:val="20"/>
                <w:szCs w:val="20"/>
                <w:rtl w:val="0"/>
              </w:rPr>
              <w:t xml:space="preserve">df</w:t>
            </w:r>
            <w:r w:rsidDel="00000000" w:rsidR="00000000" w:rsidRPr="00000000">
              <w:rPr>
                <w:rFonts w:ascii="Times" w:cs="Times" w:eastAsia="Times" w:hAnsi="Times"/>
                <w:sz w:val="20"/>
                <w:szCs w:val="20"/>
                <w:rtl w:val="0"/>
              </w:rPr>
              <w:t xml:space="preserve">)</w:t>
            </w:r>
          </w:p>
        </w:tc>
        <w:tc>
          <w:tcPr>
            <w:tcBorders>
              <w:top w:color="000000" w:space="0" w:sz="4" w:val="single"/>
              <w:left w:color="ffffff" w:space="0" w:sz="4" w:val="single"/>
              <w:right w:color="ffffff" w:space="0" w:sz="4" w:val="single"/>
            </w:tcBorders>
          </w:tcPr>
          <w:p w:rsidR="00000000" w:rsidDel="00000000" w:rsidP="00000000" w:rsidRDefault="00000000" w:rsidRPr="00000000" w14:paraId="00000180">
            <w:pPr>
              <w:jc w:val="center"/>
              <w:rPr>
                <w:rFonts w:ascii="Times" w:cs="Times" w:eastAsia="Times" w:hAnsi="Times"/>
                <w:sz w:val="20"/>
                <w:szCs w:val="20"/>
              </w:rPr>
            </w:pPr>
            <w:r w:rsidDel="00000000" w:rsidR="00000000" w:rsidRPr="00000000">
              <w:rPr>
                <w:rFonts w:ascii="Symbol" w:cs="Symbol" w:eastAsia="Symbol" w:hAnsi="Symbol"/>
                <w:sz w:val="20"/>
                <w:szCs w:val="20"/>
                <w:rtl w:val="0"/>
              </w:rPr>
              <w:t xml:space="preserve">Δχ</w:t>
            </w:r>
            <w:r w:rsidDel="00000000" w:rsidR="00000000" w:rsidRPr="00000000">
              <w:rPr>
                <w:rFonts w:ascii="Times" w:cs="Times" w:eastAsia="Times" w:hAnsi="Times"/>
                <w:sz w:val="20"/>
                <w:szCs w:val="20"/>
                <w:rtl w:val="0"/>
              </w:rPr>
              <w:t xml:space="preserve">²(</w:t>
            </w:r>
            <w:r w:rsidDel="00000000" w:rsidR="00000000" w:rsidRPr="00000000">
              <w:rPr>
                <w:rFonts w:ascii="Symbol" w:cs="Symbol" w:eastAsia="Symbol" w:hAnsi="Symbol"/>
                <w:sz w:val="20"/>
                <w:szCs w:val="20"/>
                <w:rtl w:val="0"/>
              </w:rPr>
              <w:t xml:space="preserve">Δ</w:t>
            </w:r>
            <w:r w:rsidDel="00000000" w:rsidR="00000000" w:rsidRPr="00000000">
              <w:rPr>
                <w:rFonts w:ascii="Times" w:cs="Times" w:eastAsia="Times" w:hAnsi="Times"/>
                <w:i w:val="1"/>
                <w:sz w:val="20"/>
                <w:szCs w:val="20"/>
                <w:rtl w:val="0"/>
              </w:rPr>
              <w:t xml:space="preserve">df</w:t>
            </w:r>
            <w:r w:rsidDel="00000000" w:rsidR="00000000" w:rsidRPr="00000000">
              <w:rPr>
                <w:rFonts w:ascii="Times" w:cs="Times" w:eastAsia="Times" w:hAnsi="Times"/>
                <w:sz w:val="20"/>
                <w:szCs w:val="20"/>
                <w:rtl w:val="0"/>
              </w:rPr>
              <w:t xml:space="preserve">)</w:t>
            </w:r>
          </w:p>
        </w:tc>
        <w:tc>
          <w:tcPr>
            <w:tcBorders>
              <w:top w:color="000000" w:space="0" w:sz="4" w:val="single"/>
              <w:left w:color="ffffff" w:space="0" w:sz="4" w:val="single"/>
              <w:right w:color="ffffff" w:space="0" w:sz="4" w:val="single"/>
            </w:tcBorders>
          </w:tcPr>
          <w:p w:rsidR="00000000" w:rsidDel="00000000" w:rsidP="00000000" w:rsidRDefault="00000000" w:rsidRPr="00000000" w14:paraId="00000181">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CFI</w:t>
            </w:r>
          </w:p>
        </w:tc>
        <w:tc>
          <w:tcPr>
            <w:tcBorders>
              <w:top w:color="000000" w:space="0" w:sz="4" w:val="single"/>
              <w:left w:color="ffffff" w:space="0" w:sz="4" w:val="single"/>
              <w:right w:color="ffffff" w:space="0" w:sz="4" w:val="single"/>
            </w:tcBorders>
          </w:tcPr>
          <w:p w:rsidR="00000000" w:rsidDel="00000000" w:rsidP="00000000" w:rsidRDefault="00000000" w:rsidRPr="00000000" w14:paraId="00000182">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RMSEA</w:t>
            </w:r>
          </w:p>
        </w:tc>
        <w:tc>
          <w:tcPr>
            <w:tcBorders>
              <w:top w:color="000000" w:space="0" w:sz="4" w:val="single"/>
              <w:left w:color="ffffff" w:space="0" w:sz="4" w:val="single"/>
              <w:right w:color="ffffff" w:space="0" w:sz="4" w:val="single"/>
            </w:tcBorders>
          </w:tcPr>
          <w:p w:rsidR="00000000" w:rsidDel="00000000" w:rsidP="00000000" w:rsidRDefault="00000000" w:rsidRPr="00000000" w14:paraId="00000183">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CD</w:t>
            </w:r>
          </w:p>
        </w:tc>
      </w:tr>
      <w:tr>
        <w:trPr>
          <w:trHeight w:val="2840" w:hRule="atLeast"/>
        </w:trPr>
        <w:tc>
          <w:tcPr>
            <w:tcBorders>
              <w:left w:color="000000" w:space="0" w:sz="0" w:val="nil"/>
              <w:bottom w:color="000000" w:space="0" w:sz="4" w:val="single"/>
              <w:right w:color="ffffff" w:space="0" w:sz="4" w:val="single"/>
            </w:tcBorders>
          </w:tcPr>
          <w:p w:rsidR="00000000" w:rsidDel="00000000" w:rsidP="00000000" w:rsidRDefault="00000000" w:rsidRPr="00000000" w14:paraId="00000184">
            <w:pPr>
              <w:numPr>
                <w:ilvl w:val="0"/>
                <w:numId w:val="1"/>
              </w:numPr>
              <w:ind w:left="261" w:hanging="270"/>
              <w:rPr>
                <w:rFonts w:ascii="Times" w:cs="Times" w:eastAsia="Times" w:hAnsi="Times"/>
                <w:sz w:val="20"/>
                <w:szCs w:val="20"/>
              </w:rPr>
            </w:pPr>
            <w:r w:rsidDel="00000000" w:rsidR="00000000" w:rsidRPr="00000000">
              <w:rPr>
                <w:rFonts w:ascii="Times" w:cs="Times" w:eastAsia="Times" w:hAnsi="Times"/>
                <w:sz w:val="20"/>
                <w:szCs w:val="20"/>
                <w:rtl w:val="0"/>
              </w:rPr>
              <w:t xml:space="preserve">Hypothesized Model (ESE as a partial mediating variable)</w:t>
            </w:r>
          </w:p>
          <w:p w:rsidR="00000000" w:rsidDel="00000000" w:rsidP="00000000" w:rsidRDefault="00000000" w:rsidRPr="00000000" w14:paraId="00000185">
            <w:pPr>
              <w:ind w:left="261" w:hanging="720"/>
              <w:rPr>
                <w:rFonts w:ascii="Times" w:cs="Times" w:eastAsia="Times" w:hAnsi="Times"/>
                <w:sz w:val="20"/>
                <w:szCs w:val="20"/>
              </w:rPr>
            </w:pPr>
            <w:r w:rsidDel="00000000" w:rsidR="00000000" w:rsidRPr="00000000">
              <w:rPr>
                <w:rtl w:val="0"/>
              </w:rPr>
            </w:r>
          </w:p>
          <w:p w:rsidR="00000000" w:rsidDel="00000000" w:rsidP="00000000" w:rsidRDefault="00000000" w:rsidRPr="00000000" w14:paraId="00000186">
            <w:pPr>
              <w:numPr>
                <w:ilvl w:val="0"/>
                <w:numId w:val="1"/>
              </w:numPr>
              <w:ind w:left="261" w:hanging="270"/>
              <w:rPr>
                <w:rFonts w:ascii="Times" w:cs="Times" w:eastAsia="Times" w:hAnsi="Times"/>
                <w:sz w:val="20"/>
                <w:szCs w:val="20"/>
              </w:rPr>
            </w:pPr>
            <w:r w:rsidDel="00000000" w:rsidR="00000000" w:rsidRPr="00000000">
              <w:rPr>
                <w:rFonts w:ascii="Times" w:cs="Times" w:eastAsia="Times" w:hAnsi="Times"/>
                <w:sz w:val="20"/>
                <w:szCs w:val="20"/>
                <w:rtl w:val="0"/>
              </w:rPr>
              <w:t xml:space="preserve">ESE as a full mediating variable</w:t>
            </w:r>
          </w:p>
          <w:p w:rsidR="00000000" w:rsidDel="00000000" w:rsidP="00000000" w:rsidRDefault="00000000" w:rsidRPr="00000000" w14:paraId="00000187">
            <w:pPr>
              <w:ind w:left="261" w:hanging="720"/>
              <w:rPr>
                <w:rFonts w:ascii="Times" w:cs="Times" w:eastAsia="Times" w:hAnsi="Times"/>
                <w:sz w:val="20"/>
                <w:szCs w:val="20"/>
              </w:rPr>
            </w:pPr>
            <w:r w:rsidDel="00000000" w:rsidR="00000000" w:rsidRPr="00000000">
              <w:rPr>
                <w:rtl w:val="0"/>
              </w:rPr>
            </w:r>
          </w:p>
          <w:p w:rsidR="00000000" w:rsidDel="00000000" w:rsidP="00000000" w:rsidRDefault="00000000" w:rsidRPr="00000000" w14:paraId="00000188">
            <w:pPr>
              <w:numPr>
                <w:ilvl w:val="0"/>
                <w:numId w:val="1"/>
              </w:numPr>
              <w:ind w:left="261" w:hanging="270"/>
              <w:rPr>
                <w:rFonts w:ascii="Times" w:cs="Times" w:eastAsia="Times" w:hAnsi="Times"/>
                <w:sz w:val="20"/>
                <w:szCs w:val="20"/>
              </w:rPr>
            </w:pPr>
            <w:r w:rsidDel="00000000" w:rsidR="00000000" w:rsidRPr="00000000">
              <w:rPr>
                <w:rFonts w:ascii="Times" w:cs="Times" w:eastAsia="Times" w:hAnsi="Times"/>
                <w:sz w:val="20"/>
                <w:szCs w:val="20"/>
                <w:rtl w:val="0"/>
              </w:rPr>
              <w:t xml:space="preserve">Direct effect of TSE and ESE on dependent variable (No mediation)</w:t>
            </w:r>
          </w:p>
        </w:tc>
        <w:tc>
          <w:tcPr>
            <w:tcBorders>
              <w:left w:color="ffffff" w:space="0" w:sz="4" w:val="single"/>
              <w:bottom w:color="000000" w:space="0" w:sz="4" w:val="single"/>
              <w:right w:color="ffffff" w:space="0" w:sz="4" w:val="single"/>
            </w:tcBorders>
          </w:tcPr>
          <w:p w:rsidR="00000000" w:rsidDel="00000000" w:rsidP="00000000" w:rsidRDefault="00000000" w:rsidRPr="00000000" w14:paraId="00000189">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336.575 </w:t>
            </w:r>
          </w:p>
          <w:p w:rsidR="00000000" w:rsidDel="00000000" w:rsidP="00000000" w:rsidRDefault="00000000" w:rsidRPr="00000000" w14:paraId="0000018A">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(212)</w:t>
            </w:r>
          </w:p>
          <w:p w:rsidR="00000000" w:rsidDel="00000000" w:rsidP="00000000" w:rsidRDefault="00000000" w:rsidRPr="00000000" w14:paraId="0000018B">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8C">
            <w:pP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8D">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340.216</w:t>
            </w:r>
          </w:p>
          <w:p w:rsidR="00000000" w:rsidDel="00000000" w:rsidP="00000000" w:rsidRDefault="00000000" w:rsidRPr="00000000" w14:paraId="0000018E">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(218)</w:t>
            </w:r>
          </w:p>
          <w:p w:rsidR="00000000" w:rsidDel="00000000" w:rsidP="00000000" w:rsidRDefault="00000000" w:rsidRPr="00000000" w14:paraId="0000018F">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90">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91">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349.407</w:t>
            </w:r>
          </w:p>
          <w:p w:rsidR="00000000" w:rsidDel="00000000" w:rsidP="00000000" w:rsidRDefault="00000000" w:rsidRPr="00000000" w14:paraId="00000192">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(218)</w:t>
            </w:r>
          </w:p>
        </w:tc>
        <w:tc>
          <w:tcPr>
            <w:tcBorders>
              <w:left w:color="ffffff" w:space="0" w:sz="4" w:val="single"/>
              <w:bottom w:color="000000" w:space="0" w:sz="4" w:val="single"/>
              <w:right w:color="ffffff" w:space="0" w:sz="4" w:val="single"/>
            </w:tcBorders>
          </w:tcPr>
          <w:p w:rsidR="00000000" w:rsidDel="00000000" w:rsidP="00000000" w:rsidRDefault="00000000" w:rsidRPr="00000000" w14:paraId="00000193">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1834.466 (253)</w:t>
            </w:r>
          </w:p>
          <w:p w:rsidR="00000000" w:rsidDel="00000000" w:rsidP="00000000" w:rsidRDefault="00000000" w:rsidRPr="00000000" w14:paraId="00000194">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95">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96">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1834.466 (253)</w:t>
            </w:r>
          </w:p>
          <w:p w:rsidR="00000000" w:rsidDel="00000000" w:rsidP="00000000" w:rsidRDefault="00000000" w:rsidRPr="00000000" w14:paraId="00000197">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98">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99">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1834.466 (253)</w:t>
            </w:r>
          </w:p>
        </w:tc>
        <w:tc>
          <w:tcPr>
            <w:tcBorders>
              <w:left w:color="ffffff" w:space="0" w:sz="4" w:val="single"/>
              <w:bottom w:color="000000" w:space="0" w:sz="4" w:val="single"/>
              <w:right w:color="ffffff" w:space="0" w:sz="4" w:val="single"/>
            </w:tcBorders>
          </w:tcPr>
          <w:p w:rsidR="00000000" w:rsidDel="00000000" w:rsidP="00000000" w:rsidRDefault="00000000" w:rsidRPr="00000000" w14:paraId="0000019A">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.924</w:t>
            </w:r>
          </w:p>
          <w:p w:rsidR="00000000" w:rsidDel="00000000" w:rsidP="00000000" w:rsidRDefault="00000000" w:rsidRPr="00000000" w14:paraId="0000019B">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9C">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9D">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9E">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.923</w:t>
            </w:r>
          </w:p>
          <w:p w:rsidR="00000000" w:rsidDel="00000000" w:rsidP="00000000" w:rsidRDefault="00000000" w:rsidRPr="00000000" w14:paraId="0000019F">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A0">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A1">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A2">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.917</w:t>
            </w:r>
          </w:p>
        </w:tc>
        <w:tc>
          <w:tcPr>
            <w:tcBorders>
              <w:left w:color="ffffff" w:space="0" w:sz="4" w:val="single"/>
              <w:bottom w:color="000000" w:space="0" w:sz="4" w:val="single"/>
              <w:right w:color="ffffff" w:space="0" w:sz="4" w:val="single"/>
            </w:tcBorders>
          </w:tcPr>
          <w:p w:rsidR="00000000" w:rsidDel="00000000" w:rsidP="00000000" w:rsidRDefault="00000000" w:rsidRPr="00000000" w14:paraId="000001A3">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.065</w:t>
            </w:r>
          </w:p>
          <w:p w:rsidR="00000000" w:rsidDel="00000000" w:rsidP="00000000" w:rsidRDefault="00000000" w:rsidRPr="00000000" w14:paraId="000001A4">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A5">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A6">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A7">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.065</w:t>
            </w:r>
          </w:p>
          <w:p w:rsidR="00000000" w:rsidDel="00000000" w:rsidP="00000000" w:rsidRDefault="00000000" w:rsidRPr="00000000" w14:paraId="000001A8">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A9">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AA">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AB">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.068</w:t>
            </w:r>
          </w:p>
        </w:tc>
        <w:tc>
          <w:tcPr>
            <w:tcBorders>
              <w:left w:color="ffffff" w:space="0" w:sz="4" w:val="single"/>
              <w:bottom w:color="000000" w:space="0" w:sz="4" w:val="single"/>
              <w:right w:color="ffffff" w:space="0" w:sz="4" w:val="single"/>
            </w:tcBorders>
          </w:tcPr>
          <w:p w:rsidR="00000000" w:rsidDel="00000000" w:rsidP="00000000" w:rsidRDefault="00000000" w:rsidRPr="00000000" w14:paraId="000001AC">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0.993</w:t>
            </w:r>
          </w:p>
          <w:p w:rsidR="00000000" w:rsidDel="00000000" w:rsidP="00000000" w:rsidRDefault="00000000" w:rsidRPr="00000000" w14:paraId="000001AD">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AE">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AF">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B0">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0.993</w:t>
            </w:r>
          </w:p>
          <w:p w:rsidR="00000000" w:rsidDel="00000000" w:rsidP="00000000" w:rsidRDefault="00000000" w:rsidRPr="00000000" w14:paraId="000001B1">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B2">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B3">
            <w:pPr>
              <w:jc w:val="center"/>
              <w:rPr>
                <w:rFonts w:ascii="Times" w:cs="Times" w:eastAsia="Times" w:hAnsi="Times"/>
                <w:sz w:val="20"/>
                <w:szCs w:val="20"/>
              </w:rPr>
            </w:pPr>
            <w:r w:rsidDel="00000000" w:rsidR="00000000" w:rsidRPr="00000000">
              <w:rPr>
                <w:rtl w:val="0"/>
              </w:rPr>
            </w:r>
          </w:p>
          <w:p w:rsidR="00000000" w:rsidDel="00000000" w:rsidP="00000000" w:rsidRDefault="00000000" w:rsidRPr="00000000" w14:paraId="000001B4">
            <w:pPr>
              <w:jc w:val="center"/>
              <w:rPr>
                <w:rFonts w:ascii="Times" w:cs="Times" w:eastAsia="Times" w:hAnsi="Times"/>
                <w:sz w:val="20"/>
                <w:szCs w:val="20"/>
              </w:rPr>
            </w:pPr>
            <w:r w:rsidDel="00000000" w:rsidR="00000000" w:rsidRPr="00000000">
              <w:rPr>
                <w:rFonts w:ascii="Times" w:cs="Times" w:eastAsia="Times" w:hAnsi="Times"/>
                <w:sz w:val="20"/>
                <w:szCs w:val="20"/>
                <w:rtl w:val="0"/>
              </w:rPr>
              <w:t xml:space="preserve">0.999</w:t>
            </w:r>
          </w:p>
        </w:tc>
      </w:tr>
    </w:tbl>
    <w:p w:rsidR="00000000" w:rsidDel="00000000" w:rsidP="00000000" w:rsidRDefault="00000000" w:rsidRPr="00000000" w14:paraId="000001B5">
      <w:pPr>
        <w:rPr>
          <w:rFonts w:ascii="Cambria" w:cs="Cambria" w:eastAsia="Cambria" w:hAnsi="Cambria"/>
          <w:sz w:val="20"/>
          <w:szCs w:val="20"/>
        </w:rPr>
      </w:pPr>
      <w:r w:rsidDel="00000000" w:rsidR="00000000" w:rsidRPr="00000000">
        <w:rPr>
          <w:rtl w:val="0"/>
        </w:rPr>
      </w:r>
    </w:p>
    <w:p w:rsidR="00000000" w:rsidDel="00000000" w:rsidP="00000000" w:rsidRDefault="00000000" w:rsidRPr="00000000" w14:paraId="000001B6">
      <w:pPr>
        <w:spacing w:line="360" w:lineRule="auto"/>
        <w:jc w:val="both"/>
        <w:rPr>
          <w:rFonts w:ascii="Times" w:cs="Times" w:eastAsia="Times" w:hAnsi="Times"/>
          <w:b w:val="1"/>
          <w:sz w:val="20"/>
          <w:szCs w:val="20"/>
        </w:rPr>
      </w:pPr>
      <w:r w:rsidDel="00000000" w:rsidR="00000000" w:rsidRPr="00000000">
        <w:rPr>
          <w:rtl w:val="0"/>
        </w:rPr>
      </w:r>
    </w:p>
    <w:p w:rsidR="00000000" w:rsidDel="00000000" w:rsidP="00000000" w:rsidRDefault="00000000" w:rsidRPr="00000000" w14:paraId="000001B7">
      <w:pPr>
        <w:spacing w:line="360" w:lineRule="auto"/>
        <w:jc w:val="both"/>
        <w:rPr>
          <w:rFonts w:ascii="Times" w:cs="Times" w:eastAsia="Times" w:hAnsi="Times"/>
          <w:sz w:val="20"/>
          <w:szCs w:val="20"/>
        </w:rPr>
      </w:pPr>
      <w:r w:rsidDel="00000000" w:rsidR="00000000" w:rsidRPr="00000000">
        <w:rPr>
          <w:rFonts w:ascii="Times" w:cs="Times" w:eastAsia="Times" w:hAnsi="Times"/>
          <w:sz w:val="20"/>
          <w:szCs w:val="20"/>
          <w:rtl w:val="0"/>
        </w:rPr>
        <w:t xml:space="preserve">Figure 1. Theoretical Framework</w:t>
      </w:r>
    </w:p>
    <w:p w:rsidR="00000000" w:rsidDel="00000000" w:rsidP="00000000" w:rsidRDefault="00000000" w:rsidRPr="00000000" w14:paraId="000001B8">
      <w:pPr>
        <w:spacing w:line="360" w:lineRule="auto"/>
        <w:jc w:val="both"/>
        <w:rPr>
          <w:rFonts w:ascii="Times" w:cs="Times" w:eastAsia="Times" w:hAnsi="Times"/>
          <w:sz w:val="20"/>
          <w:szCs w:val="20"/>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12701</wp:posOffset>
                </wp:positionH>
                <wp:positionV relativeFrom="paragraph">
                  <wp:posOffset>139700</wp:posOffset>
                </wp:positionV>
                <wp:extent cx="1235075" cy="766990"/>
                <wp:effectExtent b="0" l="0" r="0" t="0"/>
                <wp:wrapNone/>
                <wp:docPr id="5" name=""/>
                <a:graphic>
                  <a:graphicData uri="http://schemas.microsoft.com/office/word/2010/wordprocessingShape">
                    <wps:wsp>
                      <wps:cNvSpPr/>
                      <wps:cNvPr id="6" name="Shape 6"/>
                      <wps:spPr>
                        <a:xfrm>
                          <a:off x="4736400" y="3404443"/>
                          <a:ext cx="1219200" cy="751115"/>
                        </a:xfrm>
                        <a:prstGeom prst="roundRect">
                          <a:avLst>
                            <a:gd fmla="val 16667" name="adj"/>
                          </a:avLst>
                        </a:prstGeom>
                        <a:noFill/>
                        <a:ln cap="flat" cmpd="sng" w="15875">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Calibri" w:cs="Calibri" w:eastAsia="Calibri" w:hAnsi="Calibri"/>
                                <w:b w:val="0"/>
                                <w:i w:val="0"/>
                                <w:smallCaps w:val="0"/>
                                <w:strike w:val="0"/>
                                <w:color w:val="000000"/>
                                <w:sz w:val="24"/>
                                <w:vertAlign w:val="baseline"/>
                              </w:rPr>
                              <w:t xml:space="preserve">Technology Self-Efficacy</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Calibri" w:cs="Calibri" w:eastAsia="Calibri" w:hAnsi="Calibri"/>
                                <w:b w:val="0"/>
                                <w:i w:val="0"/>
                                <w:smallCaps w:val="0"/>
                                <w:strike w:val="0"/>
                                <w:color w:val="000000"/>
                                <w:sz w:val="24"/>
                                <w:vertAlign w:val="baseline"/>
                              </w:rPr>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12701</wp:posOffset>
                </wp:positionH>
                <wp:positionV relativeFrom="paragraph">
                  <wp:posOffset>139700</wp:posOffset>
                </wp:positionV>
                <wp:extent cx="1235075" cy="766990"/>
                <wp:effectExtent b="0" l="0" r="0" t="0"/>
                <wp:wrapNone/>
                <wp:docPr id="5" name="image7.png"/>
                <a:graphic>
                  <a:graphicData uri="http://schemas.openxmlformats.org/drawingml/2006/picture">
                    <pic:pic>
                      <pic:nvPicPr>
                        <pic:cNvPr id="0" name="image7.png"/>
                        <pic:cNvPicPr preferRelativeResize="0"/>
                      </pic:nvPicPr>
                      <pic:blipFill>
                        <a:blip r:embed="rId8"/>
                        <a:srcRect/>
                        <a:stretch>
                          <a:fillRect/>
                        </a:stretch>
                      </pic:blipFill>
                      <pic:spPr>
                        <a:xfrm>
                          <a:off x="0" y="0"/>
                          <a:ext cx="1235075" cy="76699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2819400</wp:posOffset>
                </wp:positionH>
                <wp:positionV relativeFrom="paragraph">
                  <wp:posOffset>139700</wp:posOffset>
                </wp:positionV>
                <wp:extent cx="1329055" cy="766990"/>
                <wp:effectExtent b="0" l="0" r="0" t="0"/>
                <wp:wrapNone/>
                <wp:docPr id="1" name=""/>
                <a:graphic>
                  <a:graphicData uri="http://schemas.microsoft.com/office/word/2010/wordprocessingShape">
                    <wps:wsp>
                      <wps:cNvSpPr/>
                      <wps:cNvPr id="2" name="Shape 2"/>
                      <wps:spPr>
                        <a:xfrm>
                          <a:off x="4689410" y="3404443"/>
                          <a:ext cx="1313180" cy="751115"/>
                        </a:xfrm>
                        <a:prstGeom prst="roundRect">
                          <a:avLst>
                            <a:gd fmla="val 16667" name="adj"/>
                          </a:avLst>
                        </a:prstGeom>
                        <a:noFill/>
                        <a:ln cap="flat" cmpd="sng" w="15875">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Calibri" w:cs="Calibri" w:eastAsia="Calibri" w:hAnsi="Calibri"/>
                                <w:b w:val="0"/>
                                <w:i w:val="0"/>
                                <w:smallCaps w:val="0"/>
                                <w:strike w:val="0"/>
                                <w:color w:val="000000"/>
                                <w:sz w:val="24"/>
                                <w:vertAlign w:val="baseline"/>
                              </w:rPr>
                              <w:t xml:space="preserve">Entrepreneurial Self-Efficacy</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2819400</wp:posOffset>
                </wp:positionH>
                <wp:positionV relativeFrom="paragraph">
                  <wp:posOffset>139700</wp:posOffset>
                </wp:positionV>
                <wp:extent cx="1329055" cy="766990"/>
                <wp:effectExtent b="0" l="0" r="0" t="0"/>
                <wp:wrapNone/>
                <wp:docPr id="1" name="image3.png"/>
                <a:graphic>
                  <a:graphicData uri="http://schemas.openxmlformats.org/drawingml/2006/picture">
                    <pic:pic>
                      <pic:nvPicPr>
                        <pic:cNvPr id="0" name="image3.png"/>
                        <pic:cNvPicPr preferRelativeResize="0"/>
                      </pic:nvPicPr>
                      <pic:blipFill>
                        <a:blip r:embed="rId9"/>
                        <a:srcRect/>
                        <a:stretch>
                          <a:fillRect/>
                        </a:stretch>
                      </pic:blipFill>
                      <pic:spPr>
                        <a:xfrm>
                          <a:off x="0" y="0"/>
                          <a:ext cx="1329055" cy="766990"/>
                        </a:xfrm>
                        <a:prstGeom prst="rect"/>
                        <a:ln/>
                      </pic:spPr>
                    </pic:pic>
                  </a:graphicData>
                </a:graphic>
              </wp:anchor>
            </w:drawing>
          </mc:Fallback>
        </mc:AlternateContent>
      </w:r>
    </w:p>
    <w:p w:rsidR="00000000" w:rsidDel="00000000" w:rsidP="00000000" w:rsidRDefault="00000000" w:rsidRPr="00000000" w14:paraId="000001B9">
      <w:pPr>
        <w:spacing w:line="360"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BA">
      <w:pPr>
        <w:spacing w:line="360" w:lineRule="auto"/>
        <w:jc w:val="both"/>
        <w:rPr>
          <w:rFonts w:ascii="Times" w:cs="Times" w:eastAsia="Times" w:hAnsi="Times"/>
          <w:sz w:val="20"/>
          <w:szCs w:val="20"/>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1219200</wp:posOffset>
                </wp:positionH>
                <wp:positionV relativeFrom="paragraph">
                  <wp:posOffset>76200</wp:posOffset>
                </wp:positionV>
                <wp:extent cx="1600200" cy="25400"/>
                <wp:effectExtent b="0" l="0" r="0" t="0"/>
                <wp:wrapNone/>
                <wp:docPr id="2" name=""/>
                <a:graphic>
                  <a:graphicData uri="http://schemas.microsoft.com/office/word/2010/wordprocessingShape">
                    <wps:wsp>
                      <wps:cNvCnPr/>
                      <wps:spPr>
                        <a:xfrm>
                          <a:off x="4545900" y="3780000"/>
                          <a:ext cx="1600200" cy="0"/>
                        </a:xfrm>
                        <a:prstGeom prst="straightConnector1">
                          <a:avLst/>
                        </a:prstGeom>
                        <a:noFill/>
                        <a:ln cap="flat" cmpd="sng" w="15875">
                          <a:solidFill>
                            <a:schemeClr val="dk1"/>
                          </a:solidFill>
                          <a:prstDash val="solid"/>
                          <a:miter lim="800000"/>
                          <a:headEnd len="sm" w="sm" type="none"/>
                          <a:tailEnd len="med" w="med" type="triangl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1219200</wp:posOffset>
                </wp:positionH>
                <wp:positionV relativeFrom="paragraph">
                  <wp:posOffset>76200</wp:posOffset>
                </wp:positionV>
                <wp:extent cx="1600200" cy="25400"/>
                <wp:effectExtent b="0" l="0" r="0" t="0"/>
                <wp:wrapNone/>
                <wp:docPr id="2" name="image4.png"/>
                <a:graphic>
                  <a:graphicData uri="http://schemas.openxmlformats.org/drawingml/2006/picture">
                    <pic:pic>
                      <pic:nvPicPr>
                        <pic:cNvPr id="0" name="image4.png"/>
                        <pic:cNvPicPr preferRelativeResize="0"/>
                      </pic:nvPicPr>
                      <pic:blipFill>
                        <a:blip r:embed="rId10"/>
                        <a:srcRect/>
                        <a:stretch>
                          <a:fillRect/>
                        </a:stretch>
                      </pic:blipFill>
                      <pic:spPr>
                        <a:xfrm>
                          <a:off x="0" y="0"/>
                          <a:ext cx="1600200" cy="254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1219200</wp:posOffset>
                </wp:positionH>
                <wp:positionV relativeFrom="paragraph">
                  <wp:posOffset>88900</wp:posOffset>
                </wp:positionV>
                <wp:extent cx="1561465" cy="1343660"/>
                <wp:effectExtent b="0" l="0" r="0" t="0"/>
                <wp:wrapNone/>
                <wp:docPr id="4" name=""/>
                <a:graphic>
                  <a:graphicData uri="http://schemas.microsoft.com/office/word/2010/wordprocessingShape">
                    <wps:wsp>
                      <wps:cNvCnPr/>
                      <wps:spPr>
                        <a:xfrm>
                          <a:off x="4573205" y="3116108"/>
                          <a:ext cx="1545590" cy="1327785"/>
                        </a:xfrm>
                        <a:prstGeom prst="straightConnector1">
                          <a:avLst/>
                        </a:prstGeom>
                        <a:noFill/>
                        <a:ln cap="flat" cmpd="sng" w="15875">
                          <a:solidFill>
                            <a:schemeClr val="dk1"/>
                          </a:solidFill>
                          <a:prstDash val="solid"/>
                          <a:miter lim="800000"/>
                          <a:headEnd len="sm" w="sm" type="none"/>
                          <a:tailEnd len="med" w="med" type="triangl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1219200</wp:posOffset>
                </wp:positionH>
                <wp:positionV relativeFrom="paragraph">
                  <wp:posOffset>88900</wp:posOffset>
                </wp:positionV>
                <wp:extent cx="1561465" cy="1343660"/>
                <wp:effectExtent b="0" l="0" r="0" t="0"/>
                <wp:wrapNone/>
                <wp:docPr id="4" name="image6.png"/>
                <a:graphic>
                  <a:graphicData uri="http://schemas.openxmlformats.org/drawingml/2006/picture">
                    <pic:pic>
                      <pic:nvPicPr>
                        <pic:cNvPr id="0" name="image6.png"/>
                        <pic:cNvPicPr preferRelativeResize="0"/>
                      </pic:nvPicPr>
                      <pic:blipFill>
                        <a:blip r:embed="rId11"/>
                        <a:srcRect/>
                        <a:stretch>
                          <a:fillRect/>
                        </a:stretch>
                      </pic:blipFill>
                      <pic:spPr>
                        <a:xfrm>
                          <a:off x="0" y="0"/>
                          <a:ext cx="1561465" cy="1343660"/>
                        </a:xfrm>
                        <a:prstGeom prst="rect"/>
                        <a:ln/>
                      </pic:spPr>
                    </pic:pic>
                  </a:graphicData>
                </a:graphic>
              </wp:anchor>
            </w:drawing>
          </mc:Fallback>
        </mc:AlternateContent>
      </w:r>
    </w:p>
    <w:p w:rsidR="00000000" w:rsidDel="00000000" w:rsidP="00000000" w:rsidRDefault="00000000" w:rsidRPr="00000000" w14:paraId="000001BB">
      <w:pPr>
        <w:spacing w:line="360"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BC">
      <w:pPr>
        <w:spacing w:line="360" w:lineRule="auto"/>
        <w:jc w:val="both"/>
        <w:rPr>
          <w:rFonts w:ascii="Times" w:cs="Times" w:eastAsia="Times" w:hAnsi="Times"/>
          <w:sz w:val="20"/>
          <w:szCs w:val="20"/>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3429000</wp:posOffset>
                </wp:positionH>
                <wp:positionV relativeFrom="paragraph">
                  <wp:posOffset>25400</wp:posOffset>
                </wp:positionV>
                <wp:extent cx="25400" cy="566602"/>
                <wp:effectExtent b="0" l="0" r="0" t="0"/>
                <wp:wrapNone/>
                <wp:docPr id="3" name=""/>
                <a:graphic>
                  <a:graphicData uri="http://schemas.microsoft.com/office/word/2010/wordprocessingShape">
                    <wps:wsp>
                      <wps:cNvCnPr/>
                      <wps:spPr>
                        <a:xfrm>
                          <a:off x="5346000" y="3496699"/>
                          <a:ext cx="0" cy="566602"/>
                        </a:xfrm>
                        <a:prstGeom prst="straightConnector1">
                          <a:avLst/>
                        </a:prstGeom>
                        <a:noFill/>
                        <a:ln cap="flat" cmpd="sng" w="15875">
                          <a:solidFill>
                            <a:schemeClr val="dk1"/>
                          </a:solidFill>
                          <a:prstDash val="solid"/>
                          <a:miter lim="800000"/>
                          <a:headEnd len="sm" w="sm" type="none"/>
                          <a:tailEnd len="med" w="med" type="triangl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3429000</wp:posOffset>
                </wp:positionH>
                <wp:positionV relativeFrom="paragraph">
                  <wp:posOffset>25400</wp:posOffset>
                </wp:positionV>
                <wp:extent cx="25400" cy="566602"/>
                <wp:effectExtent b="0" l="0" r="0" t="0"/>
                <wp:wrapNone/>
                <wp:docPr id="3" name="image5.png"/>
                <a:graphic>
                  <a:graphicData uri="http://schemas.openxmlformats.org/drawingml/2006/picture">
                    <pic:pic>
                      <pic:nvPicPr>
                        <pic:cNvPr id="0" name="image5.png"/>
                        <pic:cNvPicPr preferRelativeResize="0"/>
                      </pic:nvPicPr>
                      <pic:blipFill>
                        <a:blip r:embed="rId12"/>
                        <a:srcRect/>
                        <a:stretch>
                          <a:fillRect/>
                        </a:stretch>
                      </pic:blipFill>
                      <pic:spPr>
                        <a:xfrm>
                          <a:off x="0" y="0"/>
                          <a:ext cx="25400" cy="566602"/>
                        </a:xfrm>
                        <a:prstGeom prst="rect"/>
                        <a:ln/>
                      </pic:spPr>
                    </pic:pic>
                  </a:graphicData>
                </a:graphic>
              </wp:anchor>
            </w:drawing>
          </mc:Fallback>
        </mc:AlternateContent>
      </w:r>
    </w:p>
    <w:p w:rsidR="00000000" w:rsidDel="00000000" w:rsidP="00000000" w:rsidRDefault="00000000" w:rsidRPr="00000000" w14:paraId="000001BD">
      <w:pPr>
        <w:spacing w:line="360"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BE">
      <w:pPr>
        <w:spacing w:line="360" w:lineRule="auto"/>
        <w:jc w:val="both"/>
        <w:rPr>
          <w:rFonts w:ascii="Times" w:cs="Times" w:eastAsia="Times" w:hAnsi="Times"/>
          <w:sz w:val="20"/>
          <w:szCs w:val="20"/>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2819400</wp:posOffset>
                </wp:positionH>
                <wp:positionV relativeFrom="paragraph">
                  <wp:posOffset>139700</wp:posOffset>
                </wp:positionV>
                <wp:extent cx="1329109" cy="766990"/>
                <wp:effectExtent b="0" l="0" r="0" t="0"/>
                <wp:wrapNone/>
                <wp:docPr id="6" name=""/>
                <a:graphic>
                  <a:graphicData uri="http://schemas.microsoft.com/office/word/2010/wordprocessingShape">
                    <wps:wsp>
                      <wps:cNvSpPr/>
                      <wps:cNvPr id="7" name="Shape 7"/>
                      <wps:spPr>
                        <a:xfrm>
                          <a:off x="4689383" y="3404443"/>
                          <a:ext cx="1313234" cy="751115"/>
                        </a:xfrm>
                        <a:prstGeom prst="roundRect">
                          <a:avLst>
                            <a:gd fmla="val 16667" name="adj"/>
                          </a:avLst>
                        </a:prstGeom>
                        <a:noFill/>
                        <a:ln cap="flat" cmpd="sng" w="15875">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Calibri" w:cs="Calibri" w:eastAsia="Calibri" w:hAnsi="Calibri"/>
                                <w:b w:val="0"/>
                                <w:i w:val="0"/>
                                <w:smallCaps w:val="0"/>
                                <w:strike w:val="0"/>
                                <w:color w:val="000000"/>
                                <w:sz w:val="24"/>
                                <w:vertAlign w:val="baseline"/>
                              </w:rPr>
                              <w:t xml:space="preserve">Entrepreneurial Intentions</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2819400</wp:posOffset>
                </wp:positionH>
                <wp:positionV relativeFrom="paragraph">
                  <wp:posOffset>139700</wp:posOffset>
                </wp:positionV>
                <wp:extent cx="1329109" cy="766990"/>
                <wp:effectExtent b="0" l="0" r="0" t="0"/>
                <wp:wrapNone/>
                <wp:docPr id="6" name="image8.png"/>
                <a:graphic>
                  <a:graphicData uri="http://schemas.openxmlformats.org/drawingml/2006/picture">
                    <pic:pic>
                      <pic:nvPicPr>
                        <pic:cNvPr id="0" name="image8.png"/>
                        <pic:cNvPicPr preferRelativeResize="0"/>
                      </pic:nvPicPr>
                      <pic:blipFill>
                        <a:blip r:embed="rId13"/>
                        <a:srcRect/>
                        <a:stretch>
                          <a:fillRect/>
                        </a:stretch>
                      </pic:blipFill>
                      <pic:spPr>
                        <a:xfrm>
                          <a:off x="0" y="0"/>
                          <a:ext cx="1329109" cy="766990"/>
                        </a:xfrm>
                        <a:prstGeom prst="rect"/>
                        <a:ln/>
                      </pic:spPr>
                    </pic:pic>
                  </a:graphicData>
                </a:graphic>
              </wp:anchor>
            </w:drawing>
          </mc:Fallback>
        </mc:AlternateContent>
      </w:r>
    </w:p>
    <w:p w:rsidR="00000000" w:rsidDel="00000000" w:rsidP="00000000" w:rsidRDefault="00000000" w:rsidRPr="00000000" w14:paraId="000001BF">
      <w:pPr>
        <w:spacing w:line="360" w:lineRule="auto"/>
        <w:jc w:val="both"/>
        <w:rPr>
          <w:rFonts w:ascii="Times" w:cs="Times" w:eastAsia="Times" w:hAnsi="Times"/>
          <w:sz w:val="20"/>
          <w:szCs w:val="20"/>
        </w:rPr>
      </w:pPr>
      <w:bookmarkStart w:colFirst="0" w:colLast="0" w:name="_heading=h.gjdgxs" w:id="0"/>
      <w:bookmarkEnd w:id="0"/>
      <w:r w:rsidDel="00000000" w:rsidR="00000000" w:rsidRPr="00000000">
        <w:rPr>
          <w:rtl w:val="0"/>
        </w:rPr>
      </w:r>
    </w:p>
    <w:p w:rsidR="00000000" w:rsidDel="00000000" w:rsidP="00000000" w:rsidRDefault="00000000" w:rsidRPr="00000000" w14:paraId="000001C0">
      <w:pPr>
        <w:spacing w:line="360"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C1">
      <w:pPr>
        <w:spacing w:line="360"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C2">
      <w:pPr>
        <w:spacing w:line="360"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C3">
      <w:pPr>
        <w:spacing w:line="360"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C4">
      <w:pPr>
        <w:spacing w:line="360" w:lineRule="auto"/>
        <w:jc w:val="both"/>
        <w:rPr>
          <w:rFonts w:ascii="Times" w:cs="Times" w:eastAsia="Times" w:hAnsi="Times"/>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1C5">
      <w:pPr>
        <w:spacing w:line="360" w:lineRule="auto"/>
        <w:jc w:val="both"/>
        <w:rPr>
          <w:rFonts w:ascii="Times" w:cs="Times" w:eastAsia="Times" w:hAnsi="Times"/>
          <w:sz w:val="20"/>
          <w:szCs w:val="20"/>
        </w:rPr>
      </w:pPr>
      <w:r w:rsidDel="00000000" w:rsidR="00000000" w:rsidRPr="00000000">
        <w:rPr>
          <w:rFonts w:ascii="Times" w:cs="Times" w:eastAsia="Times" w:hAnsi="Times"/>
          <w:sz w:val="20"/>
          <w:szCs w:val="20"/>
          <w:rtl w:val="0"/>
        </w:rPr>
        <w:t xml:space="preserve">Figure 2. Hypothesized Model (Model 1)</w:t>
      </w:r>
    </w:p>
    <w:p w:rsidR="00000000" w:rsidDel="00000000" w:rsidP="00000000" w:rsidRDefault="00000000" w:rsidRPr="00000000" w14:paraId="000001C6">
      <w:pPr>
        <w:spacing w:line="360" w:lineRule="auto"/>
        <w:jc w:val="both"/>
        <w:rPr>
          <w:rFonts w:ascii="Times" w:cs="Times" w:eastAsia="Times" w:hAnsi="Times"/>
          <w:sz w:val="20"/>
          <w:szCs w:val="2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9526</wp:posOffset>
            </wp:positionH>
            <wp:positionV relativeFrom="paragraph">
              <wp:posOffset>196850</wp:posOffset>
            </wp:positionV>
            <wp:extent cx="5566410" cy="3831590"/>
            <wp:effectExtent b="0" l="0" r="0" t="0"/>
            <wp:wrapSquare wrapText="bothSides" distB="0" distT="0" distL="114300" distR="114300"/>
            <wp:docPr id="9" name="image9.png"/>
            <a:graphic>
              <a:graphicData uri="http://schemas.openxmlformats.org/drawingml/2006/picture">
                <pic:pic>
                  <pic:nvPicPr>
                    <pic:cNvPr id="0" name="image9.png"/>
                    <pic:cNvPicPr preferRelativeResize="0"/>
                  </pic:nvPicPr>
                  <pic:blipFill>
                    <a:blip r:embed="rId14"/>
                    <a:srcRect b="0" l="0" r="0" t="0"/>
                    <a:stretch>
                      <a:fillRect/>
                    </a:stretch>
                  </pic:blipFill>
                  <pic:spPr>
                    <a:xfrm>
                      <a:off x="0" y="0"/>
                      <a:ext cx="5566410" cy="3831590"/>
                    </a:xfrm>
                    <a:prstGeom prst="rect"/>
                    <a:ln/>
                  </pic:spPr>
                </pic:pic>
              </a:graphicData>
            </a:graphic>
          </wp:anchor>
        </w:drawing>
      </w:r>
    </w:p>
    <w:p w:rsidR="00000000" w:rsidDel="00000000" w:rsidP="00000000" w:rsidRDefault="00000000" w:rsidRPr="00000000" w14:paraId="000001C7">
      <w:pPr>
        <w:spacing w:line="360"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C8">
      <w:pPr>
        <w:spacing w:after="200" w:line="276"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C9">
      <w:pPr>
        <w:spacing w:after="200" w:line="276"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CA">
      <w:pPr>
        <w:spacing w:after="200" w:line="276"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CB">
      <w:pPr>
        <w:spacing w:after="200" w:line="276"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CC">
      <w:pPr>
        <w:spacing w:after="200" w:line="276"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CD">
      <w:pPr>
        <w:spacing w:after="200" w:line="276"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CE">
      <w:pPr>
        <w:spacing w:after="200" w:line="276"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CF">
      <w:pPr>
        <w:spacing w:after="200" w:line="276"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D0">
      <w:pPr>
        <w:spacing w:after="200" w:line="276"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D1">
      <w:pPr>
        <w:spacing w:after="200" w:line="276"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D2">
      <w:pPr>
        <w:spacing w:after="200" w:line="276"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D3">
      <w:pPr>
        <w:spacing w:after="200" w:line="276"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D4">
      <w:pPr>
        <w:spacing w:after="200" w:line="276"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D5">
      <w:pPr>
        <w:spacing w:after="200" w:line="276" w:lineRule="auto"/>
        <w:jc w:val="both"/>
        <w:rPr>
          <w:rFonts w:ascii="Times" w:cs="Times" w:eastAsia="Times" w:hAnsi="Times"/>
          <w:sz w:val="20"/>
          <w:szCs w:val="20"/>
        </w:rPr>
      </w:pPr>
      <w:r w:rsidDel="00000000" w:rsidR="00000000" w:rsidRPr="00000000">
        <w:rPr>
          <w:rtl w:val="0"/>
        </w:rPr>
      </w:r>
    </w:p>
    <w:p w:rsidR="00000000" w:rsidDel="00000000" w:rsidP="00000000" w:rsidRDefault="00000000" w:rsidRPr="00000000" w14:paraId="000001D6">
      <w:pPr>
        <w:rPr>
          <w:rFonts w:ascii="Times" w:cs="Times" w:eastAsia="Times" w:hAnsi="Times"/>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1D7">
      <w:pPr>
        <w:spacing w:after="200" w:line="276" w:lineRule="auto"/>
        <w:jc w:val="both"/>
        <w:rPr>
          <w:rFonts w:ascii="Times" w:cs="Times" w:eastAsia="Times" w:hAnsi="Times"/>
          <w:sz w:val="20"/>
          <w:szCs w:val="20"/>
        </w:rPr>
      </w:pPr>
      <w:r w:rsidDel="00000000" w:rsidR="00000000" w:rsidRPr="00000000">
        <w:rPr>
          <w:rFonts w:ascii="Times" w:cs="Times" w:eastAsia="Times" w:hAnsi="Times"/>
          <w:sz w:val="20"/>
          <w:szCs w:val="20"/>
          <w:rtl w:val="0"/>
        </w:rPr>
        <w:t xml:space="preserve">Figure 3. Comparative Model 2</w:t>
      </w:r>
    </w:p>
    <w:p w:rsidR="00000000" w:rsidDel="00000000" w:rsidP="00000000" w:rsidRDefault="00000000" w:rsidRPr="00000000" w14:paraId="000001D8">
      <w:pPr>
        <w:spacing w:line="360" w:lineRule="auto"/>
        <w:rPr>
          <w:rFonts w:ascii="Times" w:cs="Times" w:eastAsia="Times" w:hAnsi="Times"/>
          <w:sz w:val="20"/>
          <w:szCs w:val="20"/>
        </w:rPr>
      </w:pPr>
      <w:r w:rsidDel="00000000" w:rsidR="00000000" w:rsidRPr="00000000">
        <w:rPr>
          <w:rFonts w:ascii="Times" w:cs="Times" w:eastAsia="Times" w:hAnsi="Times"/>
          <w:sz w:val="20"/>
          <w:szCs w:val="20"/>
        </w:rPr>
        <w:drawing>
          <wp:inline distB="0" distT="0" distL="0" distR="0">
            <wp:extent cx="5510029" cy="3825472"/>
            <wp:effectExtent b="0" l="0" r="0" t="0"/>
            <wp:docPr id="8" name="image1.png"/>
            <a:graphic>
              <a:graphicData uri="http://schemas.openxmlformats.org/drawingml/2006/picture">
                <pic:pic>
                  <pic:nvPicPr>
                    <pic:cNvPr id="0" name="image1.png"/>
                    <pic:cNvPicPr preferRelativeResize="0"/>
                  </pic:nvPicPr>
                  <pic:blipFill>
                    <a:blip r:embed="rId15"/>
                    <a:srcRect b="0" l="0" r="0" t="0"/>
                    <a:stretch>
                      <a:fillRect/>
                    </a:stretch>
                  </pic:blipFill>
                  <pic:spPr>
                    <a:xfrm>
                      <a:off x="0" y="0"/>
                      <a:ext cx="5510029" cy="3825472"/>
                    </a:xfrm>
                    <a:prstGeom prst="rect"/>
                    <a:ln/>
                  </pic:spPr>
                </pic:pic>
              </a:graphicData>
            </a:graphic>
          </wp:inline>
        </w:drawing>
      </w:r>
      <w:r w:rsidDel="00000000" w:rsidR="00000000" w:rsidRPr="00000000">
        <w:rPr>
          <w:rtl w:val="0"/>
        </w:rPr>
      </w:r>
    </w:p>
    <w:p w:rsidR="00000000" w:rsidDel="00000000" w:rsidP="00000000" w:rsidRDefault="00000000" w:rsidRPr="00000000" w14:paraId="000001D9">
      <w:pPr>
        <w:spacing w:line="360" w:lineRule="auto"/>
        <w:rPr>
          <w:rFonts w:ascii="Times" w:cs="Times" w:eastAsia="Times" w:hAnsi="Times"/>
          <w:sz w:val="20"/>
          <w:szCs w:val="20"/>
        </w:rPr>
      </w:pPr>
      <w:r w:rsidDel="00000000" w:rsidR="00000000" w:rsidRPr="00000000">
        <w:rPr>
          <w:rFonts w:ascii="Times" w:cs="Times" w:eastAsia="Times" w:hAnsi="Times"/>
          <w:sz w:val="20"/>
          <w:szCs w:val="20"/>
          <w:rtl w:val="0"/>
        </w:rPr>
        <w:t xml:space="preserve">Figure 4. Comparative Models 3</w:t>
      </w:r>
    </w:p>
    <w:p w:rsidR="00000000" w:rsidDel="00000000" w:rsidP="00000000" w:rsidRDefault="00000000" w:rsidRPr="00000000" w14:paraId="000001DA">
      <w:pPr>
        <w:jc w:val="both"/>
        <w:rPr>
          <w:rFonts w:ascii="Times" w:cs="Times" w:eastAsia="Times" w:hAnsi="Times"/>
          <w:sz w:val="20"/>
          <w:szCs w:val="2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172720</wp:posOffset>
            </wp:positionH>
            <wp:positionV relativeFrom="paragraph">
              <wp:posOffset>260984</wp:posOffset>
            </wp:positionV>
            <wp:extent cx="5288915" cy="3707130"/>
            <wp:effectExtent b="0" l="0" r="0" t="0"/>
            <wp:wrapSquare wrapText="bothSides" distB="0" distT="0" distL="114300" distR="114300"/>
            <wp:docPr id="7" name="image2.png"/>
            <a:graphic>
              <a:graphicData uri="http://schemas.openxmlformats.org/drawingml/2006/picture">
                <pic:pic>
                  <pic:nvPicPr>
                    <pic:cNvPr id="0" name="image2.png"/>
                    <pic:cNvPicPr preferRelativeResize="0"/>
                  </pic:nvPicPr>
                  <pic:blipFill>
                    <a:blip r:embed="rId16"/>
                    <a:srcRect b="0" l="0" r="0" t="0"/>
                    <a:stretch>
                      <a:fillRect/>
                    </a:stretch>
                  </pic:blipFill>
                  <pic:spPr>
                    <a:xfrm>
                      <a:off x="0" y="0"/>
                      <a:ext cx="5288915" cy="3707130"/>
                    </a:xfrm>
                    <a:prstGeom prst="rect"/>
                    <a:ln/>
                  </pic:spPr>
                </pic:pic>
              </a:graphicData>
            </a:graphic>
          </wp:anchor>
        </w:drawing>
      </w:r>
    </w:p>
    <w:p w:rsidR="00000000" w:rsidDel="00000000" w:rsidP="00000000" w:rsidRDefault="00000000" w:rsidRPr="00000000" w14:paraId="000001DB">
      <w:pPr>
        <w:spacing w:line="360" w:lineRule="auto"/>
        <w:ind w:left="0" w:firstLine="0"/>
        <w:jc w:val="both"/>
        <w:rPr>
          <w:rFonts w:ascii="Times" w:cs="Times" w:eastAsia="Times" w:hAnsi="Times"/>
          <w:sz w:val="20"/>
          <w:szCs w:val="20"/>
        </w:rPr>
      </w:pPr>
      <w:r w:rsidDel="00000000" w:rsidR="00000000" w:rsidRPr="00000000">
        <w:rPr>
          <w:rtl w:val="0"/>
        </w:rPr>
      </w:r>
    </w:p>
    <w:sectPr>
      <w:type w:val="continuous"/>
      <w:pgSz w:h="15840" w:w="12240"/>
      <w:pgMar w:bottom="1440" w:top="1440" w:left="1440" w:right="1440" w:header="720" w:footer="720"/>
      <w:cols w:equalWidth="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MS Mincho"/>
  <w:font w:name="Cambria"/>
  <w:font w:name="Symbol"/>
  <w:font w:name="Time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C">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DD">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E">
    <w:pPr>
      <w:rPr/>
    </w:pPr>
    <w:r w:rsidDel="00000000" w:rsidR="00000000" w:rsidRPr="00000000">
      <w:rPr>
        <w:rtl w:val="0"/>
      </w:rPr>
    </w:r>
  </w:p>
  <w:p w:rsidR="00000000" w:rsidDel="00000000" w:rsidP="00000000" w:rsidRDefault="00000000" w:rsidRPr="00000000" w14:paraId="000001DF">
    <w:pPr>
      <w:rPr/>
    </w:pPr>
    <w:r w:rsidDel="00000000" w:rsidR="00000000" w:rsidRPr="00000000">
      <w:rPr>
        <w:rtl w:val="0"/>
      </w:rPr>
    </w:r>
  </w:p>
  <w:p w:rsidR="00000000" w:rsidDel="00000000" w:rsidP="00000000" w:rsidRDefault="00000000" w:rsidRPr="00000000" w14:paraId="000001E0">
    <w:pPr>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after="40" w:before="300" w:lineRule="auto"/>
    </w:pPr>
    <w:rPr>
      <w:smallCaps w:val="1"/>
      <w:sz w:val="32"/>
      <w:szCs w:val="32"/>
    </w:rPr>
  </w:style>
  <w:style w:type="paragraph" w:styleId="Heading2">
    <w:name w:val="heading 2"/>
    <w:basedOn w:val="Normal"/>
    <w:next w:val="Normal"/>
    <w:pPr>
      <w:spacing w:after="80" w:before="240" w:lineRule="auto"/>
    </w:pPr>
    <w:rPr>
      <w:smallCaps w:val="1"/>
      <w:sz w:val="28"/>
      <w:szCs w:val="28"/>
    </w:rPr>
  </w:style>
  <w:style w:type="paragraph" w:styleId="Heading3">
    <w:name w:val="heading 3"/>
    <w:basedOn w:val="Normal"/>
    <w:next w:val="Normal"/>
    <w:pPr/>
    <w:rPr>
      <w:smallCaps w:val="1"/>
    </w:rPr>
  </w:style>
  <w:style w:type="paragraph" w:styleId="Heading4">
    <w:name w:val="heading 4"/>
    <w:basedOn w:val="Normal"/>
    <w:next w:val="Normal"/>
    <w:pPr>
      <w:spacing w:before="240" w:lineRule="auto"/>
    </w:pPr>
    <w:rPr>
      <w:smallCaps w:val="1"/>
      <w:sz w:val="22"/>
      <w:szCs w:val="22"/>
    </w:rPr>
  </w:style>
  <w:style w:type="paragraph" w:styleId="Heading5">
    <w:name w:val="heading 5"/>
    <w:basedOn w:val="Normal"/>
    <w:next w:val="Normal"/>
    <w:pPr>
      <w:spacing w:before="200" w:lineRule="auto"/>
    </w:pPr>
    <w:rPr>
      <w:smallCaps w:val="1"/>
      <w:color w:val="943734"/>
      <w:sz w:val="22"/>
      <w:szCs w:val="22"/>
    </w:rPr>
  </w:style>
  <w:style w:type="paragraph" w:styleId="Heading6">
    <w:name w:val="heading 6"/>
    <w:basedOn w:val="Normal"/>
    <w:next w:val="Normal"/>
    <w:pPr/>
    <w:rPr>
      <w:smallCaps w:val="1"/>
      <w:color w:val="c0504d"/>
      <w:sz w:val="22"/>
      <w:szCs w:val="22"/>
    </w:rPr>
  </w:style>
  <w:style w:type="paragraph" w:styleId="Title">
    <w:name w:val="Title"/>
    <w:basedOn w:val="Normal"/>
    <w:next w:val="Normal"/>
    <w:pPr>
      <w:pBdr>
        <w:top w:color="c0504d" w:space="1" w:sz="12" w:val="single"/>
      </w:pBdr>
      <w:jc w:val="right"/>
    </w:pPr>
    <w:rPr>
      <w:smallCaps w:val="1"/>
      <w:sz w:val="48"/>
      <w:szCs w:val="48"/>
    </w:rPr>
  </w:style>
  <w:style w:type="paragraph" w:styleId="Normal" w:default="1">
    <w:name w:val="Normal"/>
    <w:qFormat w:val="1"/>
    <w:rsid w:val="00510C6F"/>
    <w:pPr>
      <w:spacing w:after="0" w:line="240" w:lineRule="auto"/>
      <w:jc w:val="left"/>
    </w:pPr>
    <w:rPr>
      <w:rFonts w:ascii="Times New Roman" w:cs="Times New Roman" w:eastAsia="Times New Roman" w:hAnsi="Times New Roman"/>
      <w:sz w:val="24"/>
      <w:szCs w:val="24"/>
      <w:lang w:eastAsia="en-US" w:val="en-US"/>
    </w:rPr>
  </w:style>
  <w:style w:type="paragraph" w:styleId="Heading1">
    <w:name w:val="heading 1"/>
    <w:basedOn w:val="Normal"/>
    <w:next w:val="Normal"/>
    <w:link w:val="Heading1Char"/>
    <w:uiPriority w:val="9"/>
    <w:qFormat w:val="1"/>
    <w:rsid w:val="00202254"/>
    <w:pPr>
      <w:spacing w:after="40" w:before="300"/>
      <w:outlineLvl w:val="0"/>
    </w:pPr>
    <w:rPr>
      <w:smallCaps w:val="1"/>
      <w:spacing w:val="5"/>
      <w:sz w:val="32"/>
      <w:szCs w:val="32"/>
    </w:rPr>
  </w:style>
  <w:style w:type="paragraph" w:styleId="Heading2">
    <w:name w:val="heading 2"/>
    <w:basedOn w:val="Normal"/>
    <w:next w:val="Normal"/>
    <w:link w:val="Heading2Char"/>
    <w:uiPriority w:val="9"/>
    <w:semiHidden w:val="1"/>
    <w:unhideWhenUsed w:val="1"/>
    <w:qFormat w:val="1"/>
    <w:rsid w:val="00202254"/>
    <w:pPr>
      <w:spacing w:after="80" w:before="240"/>
      <w:outlineLvl w:val="1"/>
    </w:pPr>
    <w:rPr>
      <w:smallCaps w:val="1"/>
      <w:spacing w:val="5"/>
      <w:sz w:val="28"/>
      <w:szCs w:val="28"/>
    </w:rPr>
  </w:style>
  <w:style w:type="paragraph" w:styleId="Heading3">
    <w:name w:val="heading 3"/>
    <w:basedOn w:val="Normal"/>
    <w:next w:val="Normal"/>
    <w:link w:val="Heading3Char"/>
    <w:uiPriority w:val="9"/>
    <w:semiHidden w:val="1"/>
    <w:unhideWhenUsed w:val="1"/>
    <w:qFormat w:val="1"/>
    <w:rsid w:val="00202254"/>
    <w:pPr>
      <w:outlineLvl w:val="2"/>
    </w:pPr>
    <w:rPr>
      <w:smallCaps w:val="1"/>
      <w:spacing w:val="5"/>
    </w:rPr>
  </w:style>
  <w:style w:type="paragraph" w:styleId="Heading4">
    <w:name w:val="heading 4"/>
    <w:basedOn w:val="Normal"/>
    <w:next w:val="Normal"/>
    <w:link w:val="Heading4Char"/>
    <w:uiPriority w:val="9"/>
    <w:semiHidden w:val="1"/>
    <w:unhideWhenUsed w:val="1"/>
    <w:qFormat w:val="1"/>
    <w:rsid w:val="00202254"/>
    <w:pPr>
      <w:spacing w:before="240"/>
      <w:outlineLvl w:val="3"/>
    </w:pPr>
    <w:rPr>
      <w:smallCaps w:val="1"/>
      <w:spacing w:val="10"/>
      <w:sz w:val="22"/>
      <w:szCs w:val="22"/>
    </w:rPr>
  </w:style>
  <w:style w:type="paragraph" w:styleId="Heading5">
    <w:name w:val="heading 5"/>
    <w:basedOn w:val="Normal"/>
    <w:next w:val="Normal"/>
    <w:link w:val="Heading5Char"/>
    <w:uiPriority w:val="9"/>
    <w:semiHidden w:val="1"/>
    <w:unhideWhenUsed w:val="1"/>
    <w:qFormat w:val="1"/>
    <w:rsid w:val="00202254"/>
    <w:pPr>
      <w:spacing w:before="200"/>
      <w:outlineLvl w:val="4"/>
    </w:pPr>
    <w:rPr>
      <w:smallCaps w:val="1"/>
      <w:color w:val="943634" w:themeColor="accent2" w:themeShade="0000BF"/>
      <w:spacing w:val="10"/>
      <w:sz w:val="22"/>
      <w:szCs w:val="26"/>
    </w:rPr>
  </w:style>
  <w:style w:type="paragraph" w:styleId="Heading6">
    <w:name w:val="heading 6"/>
    <w:basedOn w:val="Normal"/>
    <w:next w:val="Normal"/>
    <w:link w:val="Heading6Char"/>
    <w:uiPriority w:val="9"/>
    <w:semiHidden w:val="1"/>
    <w:unhideWhenUsed w:val="1"/>
    <w:qFormat w:val="1"/>
    <w:rsid w:val="00202254"/>
    <w:pPr>
      <w:outlineLvl w:val="5"/>
    </w:pPr>
    <w:rPr>
      <w:smallCaps w:val="1"/>
      <w:color w:val="c0504d" w:themeColor="accent2"/>
      <w:spacing w:val="5"/>
      <w:sz w:val="22"/>
    </w:rPr>
  </w:style>
  <w:style w:type="paragraph" w:styleId="Heading7">
    <w:name w:val="heading 7"/>
    <w:basedOn w:val="Normal"/>
    <w:next w:val="Normal"/>
    <w:link w:val="Heading7Char"/>
    <w:uiPriority w:val="9"/>
    <w:semiHidden w:val="1"/>
    <w:unhideWhenUsed w:val="1"/>
    <w:qFormat w:val="1"/>
    <w:rsid w:val="00202254"/>
    <w:pPr>
      <w:outlineLvl w:val="6"/>
    </w:pPr>
    <w:rPr>
      <w:b w:val="1"/>
      <w:smallCaps w:val="1"/>
      <w:color w:val="c0504d" w:themeColor="accent2"/>
      <w:spacing w:val="10"/>
    </w:rPr>
  </w:style>
  <w:style w:type="paragraph" w:styleId="Heading8">
    <w:name w:val="heading 8"/>
    <w:basedOn w:val="Normal"/>
    <w:next w:val="Normal"/>
    <w:link w:val="Heading8Char"/>
    <w:uiPriority w:val="9"/>
    <w:semiHidden w:val="1"/>
    <w:unhideWhenUsed w:val="1"/>
    <w:qFormat w:val="1"/>
    <w:rsid w:val="00202254"/>
    <w:pPr>
      <w:outlineLvl w:val="7"/>
    </w:pPr>
    <w:rPr>
      <w:b w:val="1"/>
      <w:i w:val="1"/>
      <w:smallCaps w:val="1"/>
      <w:color w:val="943634" w:themeColor="accent2" w:themeShade="0000BF"/>
    </w:rPr>
  </w:style>
  <w:style w:type="paragraph" w:styleId="Heading9">
    <w:name w:val="heading 9"/>
    <w:basedOn w:val="Normal"/>
    <w:next w:val="Normal"/>
    <w:link w:val="Heading9Char"/>
    <w:uiPriority w:val="9"/>
    <w:semiHidden w:val="1"/>
    <w:unhideWhenUsed w:val="1"/>
    <w:qFormat w:val="1"/>
    <w:rsid w:val="00202254"/>
    <w:pPr>
      <w:outlineLvl w:val="8"/>
    </w:pPr>
    <w:rPr>
      <w:b w:val="1"/>
      <w:i w:val="1"/>
      <w:smallCaps w:val="1"/>
      <w:color w:val="622423" w:themeColor="accent2" w:themeShade="00007F"/>
    </w:rPr>
  </w:style>
  <w:style w:type="character" w:styleId="DefaultParagraphFont" w:default="1">
    <w:name w:val="Default Paragraph Font"/>
    <w:uiPriority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Header">
    <w:name w:val="header"/>
    <w:basedOn w:val="Normal"/>
    <w:link w:val="HeaderChar"/>
    <w:uiPriority w:val="99"/>
    <w:unhideWhenUsed w:val="1"/>
    <w:rsid w:val="009B5952"/>
    <w:pPr>
      <w:tabs>
        <w:tab w:val="center" w:pos="4252"/>
        <w:tab w:val="right" w:pos="8504"/>
      </w:tabs>
    </w:pPr>
  </w:style>
  <w:style w:type="character" w:styleId="HeaderChar" w:customStyle="1">
    <w:name w:val="Header Char"/>
    <w:basedOn w:val="DefaultParagraphFont"/>
    <w:link w:val="Header"/>
    <w:uiPriority w:val="99"/>
    <w:rsid w:val="009B5952"/>
  </w:style>
  <w:style w:type="paragraph" w:styleId="Footer">
    <w:name w:val="footer"/>
    <w:basedOn w:val="Normal"/>
    <w:link w:val="FooterChar"/>
    <w:uiPriority w:val="99"/>
    <w:unhideWhenUsed w:val="1"/>
    <w:rsid w:val="009B5952"/>
    <w:pPr>
      <w:tabs>
        <w:tab w:val="center" w:pos="4252"/>
        <w:tab w:val="right" w:pos="8504"/>
      </w:tabs>
    </w:pPr>
  </w:style>
  <w:style w:type="character" w:styleId="FooterChar" w:customStyle="1">
    <w:name w:val="Footer Char"/>
    <w:basedOn w:val="DefaultParagraphFont"/>
    <w:link w:val="Footer"/>
    <w:uiPriority w:val="99"/>
    <w:rsid w:val="009B5952"/>
  </w:style>
  <w:style w:type="paragraph" w:styleId="NoSpacing">
    <w:name w:val="No Spacing"/>
    <w:basedOn w:val="Normal"/>
    <w:link w:val="NoSpacingChar"/>
    <w:uiPriority w:val="1"/>
    <w:qFormat w:val="1"/>
    <w:rsid w:val="00202254"/>
  </w:style>
  <w:style w:type="paragraph" w:styleId="Caption">
    <w:name w:val="caption"/>
    <w:basedOn w:val="Normal"/>
    <w:next w:val="Normal"/>
    <w:uiPriority w:val="35"/>
    <w:unhideWhenUsed w:val="1"/>
    <w:qFormat w:val="1"/>
    <w:rsid w:val="00202254"/>
    <w:rPr>
      <w:b w:val="1"/>
      <w:bCs w:val="1"/>
      <w:caps w:val="1"/>
      <w:sz w:val="16"/>
      <w:szCs w:val="18"/>
    </w:rPr>
  </w:style>
  <w:style w:type="paragraph" w:styleId="BalloonText">
    <w:name w:val="Balloon Text"/>
    <w:basedOn w:val="Normal"/>
    <w:link w:val="BalloonTextChar"/>
    <w:uiPriority w:val="99"/>
    <w:semiHidden w:val="1"/>
    <w:unhideWhenUsed w:val="1"/>
    <w:rsid w:val="003648F1"/>
    <w:rPr>
      <w:rFonts w:ascii="Lucida Grande" w:cs="Lucida Grande" w:hAnsi="Lucida Grande"/>
      <w:sz w:val="18"/>
      <w:szCs w:val="18"/>
    </w:rPr>
  </w:style>
  <w:style w:type="character" w:styleId="BalloonTextChar" w:customStyle="1">
    <w:name w:val="Balloon Text Char"/>
    <w:basedOn w:val="DefaultParagraphFont"/>
    <w:link w:val="BalloonText"/>
    <w:uiPriority w:val="99"/>
    <w:semiHidden w:val="1"/>
    <w:rsid w:val="003648F1"/>
    <w:rPr>
      <w:rFonts w:ascii="Lucida Grande" w:cs="Lucida Grande" w:hAnsi="Lucida Grande"/>
      <w:sz w:val="18"/>
      <w:szCs w:val="18"/>
    </w:rPr>
  </w:style>
  <w:style w:type="table" w:styleId="TableGrid">
    <w:name w:val="Table Grid"/>
    <w:basedOn w:val="TableNormal"/>
    <w:uiPriority w:val="39"/>
    <w:rsid w:val="005A64AF"/>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FootnoteText">
    <w:name w:val="footnote text"/>
    <w:basedOn w:val="Normal"/>
    <w:link w:val="FootnoteTextChar"/>
    <w:uiPriority w:val="99"/>
    <w:unhideWhenUsed w:val="1"/>
    <w:rsid w:val="00010BB7"/>
  </w:style>
  <w:style w:type="character" w:styleId="FootnoteTextChar" w:customStyle="1">
    <w:name w:val="Footnote Text Char"/>
    <w:basedOn w:val="DefaultParagraphFont"/>
    <w:link w:val="FootnoteText"/>
    <w:uiPriority w:val="99"/>
    <w:rsid w:val="00010BB7"/>
  </w:style>
  <w:style w:type="character" w:styleId="FootnoteReference">
    <w:name w:val="footnote reference"/>
    <w:basedOn w:val="DefaultParagraphFont"/>
    <w:uiPriority w:val="99"/>
    <w:unhideWhenUsed w:val="1"/>
    <w:rsid w:val="00010BB7"/>
    <w:rPr>
      <w:vertAlign w:val="superscript"/>
    </w:rPr>
  </w:style>
  <w:style w:type="character" w:styleId="Hyperlink">
    <w:name w:val="Hyperlink"/>
    <w:basedOn w:val="DefaultParagraphFont"/>
    <w:uiPriority w:val="99"/>
    <w:unhideWhenUsed w:val="1"/>
    <w:rsid w:val="00644663"/>
    <w:rPr>
      <w:color w:val="0000ff" w:themeColor="hyperlink"/>
      <w:u w:val="single"/>
    </w:rPr>
  </w:style>
  <w:style w:type="character" w:styleId="Heading1Char" w:customStyle="1">
    <w:name w:val="Heading 1 Char"/>
    <w:basedOn w:val="DefaultParagraphFont"/>
    <w:link w:val="Heading1"/>
    <w:uiPriority w:val="9"/>
    <w:rsid w:val="00202254"/>
    <w:rPr>
      <w:smallCaps w:val="1"/>
      <w:spacing w:val="5"/>
      <w:sz w:val="32"/>
      <w:szCs w:val="32"/>
    </w:rPr>
  </w:style>
  <w:style w:type="character" w:styleId="Heading2Char" w:customStyle="1">
    <w:name w:val="Heading 2 Char"/>
    <w:basedOn w:val="DefaultParagraphFont"/>
    <w:link w:val="Heading2"/>
    <w:uiPriority w:val="9"/>
    <w:semiHidden w:val="1"/>
    <w:rsid w:val="00202254"/>
    <w:rPr>
      <w:smallCaps w:val="1"/>
      <w:spacing w:val="5"/>
      <w:sz w:val="28"/>
      <w:szCs w:val="28"/>
    </w:rPr>
  </w:style>
  <w:style w:type="character" w:styleId="Heading3Char" w:customStyle="1">
    <w:name w:val="Heading 3 Char"/>
    <w:basedOn w:val="DefaultParagraphFont"/>
    <w:link w:val="Heading3"/>
    <w:uiPriority w:val="9"/>
    <w:semiHidden w:val="1"/>
    <w:rsid w:val="00202254"/>
    <w:rPr>
      <w:smallCaps w:val="1"/>
      <w:spacing w:val="5"/>
      <w:sz w:val="24"/>
      <w:szCs w:val="24"/>
    </w:rPr>
  </w:style>
  <w:style w:type="character" w:styleId="Heading4Char" w:customStyle="1">
    <w:name w:val="Heading 4 Char"/>
    <w:basedOn w:val="DefaultParagraphFont"/>
    <w:link w:val="Heading4"/>
    <w:uiPriority w:val="9"/>
    <w:semiHidden w:val="1"/>
    <w:rsid w:val="00202254"/>
    <w:rPr>
      <w:smallCaps w:val="1"/>
      <w:spacing w:val="10"/>
      <w:sz w:val="22"/>
      <w:szCs w:val="22"/>
    </w:rPr>
  </w:style>
  <w:style w:type="character" w:styleId="Heading5Char" w:customStyle="1">
    <w:name w:val="Heading 5 Char"/>
    <w:basedOn w:val="DefaultParagraphFont"/>
    <w:link w:val="Heading5"/>
    <w:uiPriority w:val="9"/>
    <w:semiHidden w:val="1"/>
    <w:rsid w:val="00202254"/>
    <w:rPr>
      <w:smallCaps w:val="1"/>
      <w:color w:val="943634" w:themeColor="accent2" w:themeShade="0000BF"/>
      <w:spacing w:val="10"/>
      <w:sz w:val="22"/>
      <w:szCs w:val="26"/>
    </w:rPr>
  </w:style>
  <w:style w:type="character" w:styleId="Heading6Char" w:customStyle="1">
    <w:name w:val="Heading 6 Char"/>
    <w:basedOn w:val="DefaultParagraphFont"/>
    <w:link w:val="Heading6"/>
    <w:uiPriority w:val="9"/>
    <w:semiHidden w:val="1"/>
    <w:rsid w:val="00202254"/>
    <w:rPr>
      <w:smallCaps w:val="1"/>
      <w:color w:val="c0504d" w:themeColor="accent2"/>
      <w:spacing w:val="5"/>
      <w:sz w:val="22"/>
    </w:rPr>
  </w:style>
  <w:style w:type="character" w:styleId="Heading7Char" w:customStyle="1">
    <w:name w:val="Heading 7 Char"/>
    <w:basedOn w:val="DefaultParagraphFont"/>
    <w:link w:val="Heading7"/>
    <w:uiPriority w:val="9"/>
    <w:semiHidden w:val="1"/>
    <w:rsid w:val="00202254"/>
    <w:rPr>
      <w:b w:val="1"/>
      <w:smallCaps w:val="1"/>
      <w:color w:val="c0504d" w:themeColor="accent2"/>
      <w:spacing w:val="10"/>
    </w:rPr>
  </w:style>
  <w:style w:type="character" w:styleId="Heading8Char" w:customStyle="1">
    <w:name w:val="Heading 8 Char"/>
    <w:basedOn w:val="DefaultParagraphFont"/>
    <w:link w:val="Heading8"/>
    <w:uiPriority w:val="9"/>
    <w:semiHidden w:val="1"/>
    <w:rsid w:val="00202254"/>
    <w:rPr>
      <w:b w:val="1"/>
      <w:i w:val="1"/>
      <w:smallCaps w:val="1"/>
      <w:color w:val="943634" w:themeColor="accent2" w:themeShade="0000BF"/>
    </w:rPr>
  </w:style>
  <w:style w:type="character" w:styleId="Heading9Char" w:customStyle="1">
    <w:name w:val="Heading 9 Char"/>
    <w:basedOn w:val="DefaultParagraphFont"/>
    <w:link w:val="Heading9"/>
    <w:uiPriority w:val="9"/>
    <w:semiHidden w:val="1"/>
    <w:rsid w:val="00202254"/>
    <w:rPr>
      <w:b w:val="1"/>
      <w:i w:val="1"/>
      <w:smallCaps w:val="1"/>
      <w:color w:val="622423" w:themeColor="accent2" w:themeShade="00007F"/>
    </w:rPr>
  </w:style>
  <w:style w:type="paragraph" w:styleId="Title">
    <w:name w:val="Title"/>
    <w:basedOn w:val="Normal"/>
    <w:next w:val="Normal"/>
    <w:link w:val="TitleChar"/>
    <w:uiPriority w:val="10"/>
    <w:qFormat w:val="1"/>
    <w:rsid w:val="00202254"/>
    <w:pPr>
      <w:pBdr>
        <w:top w:color="c0504d" w:space="1" w:sz="12" w:themeColor="accent2" w:val="single"/>
      </w:pBdr>
      <w:jc w:val="right"/>
    </w:pPr>
    <w:rPr>
      <w:smallCaps w:val="1"/>
      <w:sz w:val="48"/>
      <w:szCs w:val="48"/>
    </w:rPr>
  </w:style>
  <w:style w:type="character" w:styleId="TitleChar" w:customStyle="1">
    <w:name w:val="Title Char"/>
    <w:basedOn w:val="DefaultParagraphFont"/>
    <w:link w:val="Title"/>
    <w:uiPriority w:val="10"/>
    <w:rsid w:val="00202254"/>
    <w:rPr>
      <w:smallCaps w:val="1"/>
      <w:sz w:val="48"/>
      <w:szCs w:val="48"/>
    </w:rPr>
  </w:style>
  <w:style w:type="paragraph" w:styleId="Subtitle">
    <w:name w:val="Subtitle"/>
    <w:basedOn w:val="Normal"/>
    <w:next w:val="Normal"/>
    <w:link w:val="SubtitleChar"/>
    <w:uiPriority w:val="11"/>
    <w:qFormat w:val="1"/>
    <w:rsid w:val="00202254"/>
    <w:pPr>
      <w:spacing w:after="720"/>
      <w:jc w:val="right"/>
    </w:pPr>
    <w:rPr>
      <w:rFonts w:asciiTheme="majorHAnsi" w:cstheme="majorBidi" w:eastAsiaTheme="majorEastAsia" w:hAnsiTheme="majorHAnsi"/>
      <w:szCs w:val="22"/>
    </w:rPr>
  </w:style>
  <w:style w:type="character" w:styleId="SubtitleChar" w:customStyle="1">
    <w:name w:val="Subtitle Char"/>
    <w:basedOn w:val="DefaultParagraphFont"/>
    <w:link w:val="Subtitle"/>
    <w:uiPriority w:val="11"/>
    <w:rsid w:val="00202254"/>
    <w:rPr>
      <w:rFonts w:asciiTheme="majorHAnsi" w:cstheme="majorBidi" w:eastAsiaTheme="majorEastAsia" w:hAnsiTheme="majorHAnsi"/>
      <w:szCs w:val="22"/>
    </w:rPr>
  </w:style>
  <w:style w:type="character" w:styleId="Strong">
    <w:name w:val="Strong"/>
    <w:uiPriority w:val="22"/>
    <w:qFormat w:val="1"/>
    <w:rsid w:val="00202254"/>
    <w:rPr>
      <w:b w:val="1"/>
      <w:color w:val="c0504d" w:themeColor="accent2"/>
    </w:rPr>
  </w:style>
  <w:style w:type="character" w:styleId="Emphasis">
    <w:name w:val="Emphasis"/>
    <w:uiPriority w:val="20"/>
    <w:qFormat w:val="1"/>
    <w:rsid w:val="00202254"/>
    <w:rPr>
      <w:b w:val="1"/>
      <w:i w:val="1"/>
      <w:spacing w:val="10"/>
    </w:rPr>
  </w:style>
  <w:style w:type="character" w:styleId="NoSpacingChar" w:customStyle="1">
    <w:name w:val="No Spacing Char"/>
    <w:basedOn w:val="DefaultParagraphFont"/>
    <w:link w:val="NoSpacing"/>
    <w:uiPriority w:val="1"/>
    <w:rsid w:val="00202254"/>
  </w:style>
  <w:style w:type="paragraph" w:styleId="ListParagraph">
    <w:name w:val="List Paragraph"/>
    <w:basedOn w:val="Normal"/>
    <w:uiPriority w:val="34"/>
    <w:qFormat w:val="1"/>
    <w:rsid w:val="00202254"/>
    <w:pPr>
      <w:ind w:left="720"/>
      <w:contextualSpacing w:val="1"/>
    </w:pPr>
  </w:style>
  <w:style w:type="paragraph" w:styleId="Quote">
    <w:name w:val="Quote"/>
    <w:basedOn w:val="Normal"/>
    <w:next w:val="Normal"/>
    <w:link w:val="QuoteChar"/>
    <w:uiPriority w:val="29"/>
    <w:qFormat w:val="1"/>
    <w:rsid w:val="00202254"/>
    <w:rPr>
      <w:i w:val="1"/>
    </w:rPr>
  </w:style>
  <w:style w:type="character" w:styleId="QuoteChar" w:customStyle="1">
    <w:name w:val="Quote Char"/>
    <w:basedOn w:val="DefaultParagraphFont"/>
    <w:link w:val="Quote"/>
    <w:uiPriority w:val="29"/>
    <w:rsid w:val="00202254"/>
    <w:rPr>
      <w:i w:val="1"/>
    </w:rPr>
  </w:style>
  <w:style w:type="paragraph" w:styleId="IntenseQuote">
    <w:name w:val="Intense Quote"/>
    <w:basedOn w:val="Normal"/>
    <w:next w:val="Normal"/>
    <w:link w:val="IntenseQuoteChar"/>
    <w:uiPriority w:val="30"/>
    <w:qFormat w:val="1"/>
    <w:rsid w:val="00202254"/>
    <w:pPr>
      <w:pBdr>
        <w:top w:color="943634" w:space="10" w:sz="8" w:themeColor="accent2" w:themeShade="0000BF" w:val="single"/>
        <w:left w:color="943634" w:space="10" w:sz="8" w:themeColor="accent2" w:themeShade="0000BF" w:val="single"/>
        <w:bottom w:color="943634" w:space="10" w:sz="8" w:themeColor="accent2" w:themeShade="0000BF" w:val="single"/>
        <w:right w:color="943634" w:space="10" w:sz="8" w:themeColor="accent2" w:themeShade="0000BF" w:val="single"/>
      </w:pBdr>
      <w:shd w:color="auto" w:fill="c0504d" w:themeFill="accent2" w:val="clear"/>
      <w:spacing w:after="140" w:before="140"/>
      <w:ind w:left="1440" w:right="1440"/>
    </w:pPr>
    <w:rPr>
      <w:b w:val="1"/>
      <w:i w:val="1"/>
      <w:color w:val="ffffff" w:themeColor="background1"/>
    </w:rPr>
  </w:style>
  <w:style w:type="character" w:styleId="IntenseQuoteChar" w:customStyle="1">
    <w:name w:val="Intense Quote Char"/>
    <w:basedOn w:val="DefaultParagraphFont"/>
    <w:link w:val="IntenseQuote"/>
    <w:uiPriority w:val="30"/>
    <w:rsid w:val="00202254"/>
    <w:rPr>
      <w:b w:val="1"/>
      <w:i w:val="1"/>
      <w:color w:val="ffffff" w:themeColor="background1"/>
      <w:shd w:color="auto" w:fill="c0504d" w:themeFill="accent2" w:val="clear"/>
    </w:rPr>
  </w:style>
  <w:style w:type="character" w:styleId="SubtleEmphasis">
    <w:name w:val="Subtle Emphasis"/>
    <w:uiPriority w:val="19"/>
    <w:qFormat w:val="1"/>
    <w:rsid w:val="00202254"/>
    <w:rPr>
      <w:i w:val="1"/>
    </w:rPr>
  </w:style>
  <w:style w:type="character" w:styleId="IntenseEmphasis">
    <w:name w:val="Intense Emphasis"/>
    <w:uiPriority w:val="21"/>
    <w:qFormat w:val="1"/>
    <w:rsid w:val="00202254"/>
    <w:rPr>
      <w:b w:val="1"/>
      <w:i w:val="1"/>
      <w:color w:val="c0504d" w:themeColor="accent2"/>
      <w:spacing w:val="10"/>
    </w:rPr>
  </w:style>
  <w:style w:type="character" w:styleId="SubtleReference">
    <w:name w:val="Subtle Reference"/>
    <w:uiPriority w:val="31"/>
    <w:qFormat w:val="1"/>
    <w:rsid w:val="00202254"/>
    <w:rPr>
      <w:b w:val="1"/>
    </w:rPr>
  </w:style>
  <w:style w:type="character" w:styleId="IntenseReference">
    <w:name w:val="Intense Reference"/>
    <w:uiPriority w:val="32"/>
    <w:qFormat w:val="1"/>
    <w:rsid w:val="00202254"/>
    <w:rPr>
      <w:b w:val="1"/>
      <w:bCs w:val="1"/>
      <w:smallCaps w:val="1"/>
      <w:spacing w:val="5"/>
      <w:sz w:val="22"/>
      <w:szCs w:val="22"/>
      <w:u w:val="single"/>
    </w:rPr>
  </w:style>
  <w:style w:type="character" w:styleId="BookTitle">
    <w:name w:val="Book Title"/>
    <w:uiPriority w:val="33"/>
    <w:qFormat w:val="1"/>
    <w:rsid w:val="00202254"/>
    <w:rPr>
      <w:rFonts w:asciiTheme="majorHAnsi" w:cstheme="majorBidi" w:eastAsiaTheme="majorEastAsia" w:hAnsiTheme="majorHAnsi"/>
      <w:i w:val="1"/>
      <w:iCs w:val="1"/>
      <w:sz w:val="20"/>
      <w:szCs w:val="20"/>
    </w:rPr>
  </w:style>
  <w:style w:type="paragraph" w:styleId="TOCHeading">
    <w:name w:val="TOC Heading"/>
    <w:basedOn w:val="Heading1"/>
    <w:next w:val="Normal"/>
    <w:uiPriority w:val="39"/>
    <w:semiHidden w:val="1"/>
    <w:unhideWhenUsed w:val="1"/>
    <w:qFormat w:val="1"/>
    <w:rsid w:val="00202254"/>
    <w:pPr>
      <w:outlineLvl w:val="9"/>
    </w:pPr>
  </w:style>
  <w:style w:type="character" w:styleId="CommentReference">
    <w:name w:val="annotation reference"/>
    <w:basedOn w:val="DefaultParagraphFont"/>
    <w:uiPriority w:val="99"/>
    <w:semiHidden w:val="1"/>
    <w:unhideWhenUsed w:val="1"/>
    <w:rsid w:val="00FF1DE6"/>
    <w:rPr>
      <w:sz w:val="16"/>
      <w:szCs w:val="16"/>
    </w:rPr>
  </w:style>
  <w:style w:type="paragraph" w:styleId="CommentText">
    <w:name w:val="annotation text"/>
    <w:basedOn w:val="Normal"/>
    <w:link w:val="CommentTextChar"/>
    <w:uiPriority w:val="99"/>
    <w:semiHidden w:val="1"/>
    <w:unhideWhenUsed w:val="1"/>
    <w:rsid w:val="00FF1DE6"/>
  </w:style>
  <w:style w:type="character" w:styleId="CommentTextChar" w:customStyle="1">
    <w:name w:val="Comment Text Char"/>
    <w:basedOn w:val="DefaultParagraphFont"/>
    <w:link w:val="CommentText"/>
    <w:uiPriority w:val="99"/>
    <w:semiHidden w:val="1"/>
    <w:rsid w:val="00FF1DE6"/>
  </w:style>
  <w:style w:type="paragraph" w:styleId="CommentSubject">
    <w:name w:val="annotation subject"/>
    <w:basedOn w:val="CommentText"/>
    <w:next w:val="CommentText"/>
    <w:link w:val="CommentSubjectChar"/>
    <w:uiPriority w:val="99"/>
    <w:semiHidden w:val="1"/>
    <w:unhideWhenUsed w:val="1"/>
    <w:rsid w:val="00FF1DE6"/>
    <w:rPr>
      <w:b w:val="1"/>
      <w:bCs w:val="1"/>
    </w:rPr>
  </w:style>
  <w:style w:type="character" w:styleId="CommentSubjectChar" w:customStyle="1">
    <w:name w:val="Comment Subject Char"/>
    <w:basedOn w:val="CommentTextChar"/>
    <w:link w:val="CommentSubject"/>
    <w:uiPriority w:val="99"/>
    <w:semiHidden w:val="1"/>
    <w:rsid w:val="00FF1DE6"/>
    <w:rPr>
      <w:b w:val="1"/>
      <w:bCs w:val="1"/>
    </w:rPr>
  </w:style>
  <w:style w:type="paragraph" w:styleId="Revision">
    <w:name w:val="Revision"/>
    <w:hidden w:val="1"/>
    <w:uiPriority w:val="99"/>
    <w:semiHidden w:val="1"/>
    <w:rsid w:val="002720F8"/>
    <w:pPr>
      <w:spacing w:after="0" w:line="240" w:lineRule="auto"/>
      <w:jc w:val="left"/>
    </w:pPr>
  </w:style>
  <w:style w:type="paragraph" w:styleId="NormalWeb">
    <w:name w:val="Normal (Web)"/>
    <w:basedOn w:val="Normal"/>
    <w:uiPriority w:val="99"/>
    <w:unhideWhenUsed w:val="1"/>
    <w:rsid w:val="00F97F45"/>
    <w:pPr>
      <w:spacing w:after="100" w:afterAutospacing="1" w:before="100" w:beforeAutospacing="1"/>
    </w:pPr>
  </w:style>
  <w:style w:type="paragraph" w:styleId="Bibliography">
    <w:name w:val="Bibliography"/>
    <w:basedOn w:val="Normal"/>
    <w:next w:val="Normal"/>
    <w:uiPriority w:val="37"/>
    <w:unhideWhenUsed w:val="1"/>
    <w:rsid w:val="00743B12"/>
  </w:style>
  <w:style w:type="table" w:styleId="PlainTable31" w:customStyle="1">
    <w:name w:val="Plain Table 31"/>
    <w:basedOn w:val="TableNormal"/>
    <w:uiPriority w:val="99"/>
    <w:rsid w:val="00ED2FE1"/>
    <w:pPr>
      <w:spacing w:after="0" w:line="240" w:lineRule="auto"/>
    </w:pPr>
    <w:tblPr>
      <w:tblStyleRowBandSize w:val="1"/>
      <w:tblStyleColBandSize w:val="1"/>
    </w:tblPr>
    <w:tblStylePr w:type="firstRow">
      <w:rPr>
        <w:b w:val="1"/>
        <w:bCs w:val="1"/>
        <w:caps w:val="1"/>
      </w:rPr>
      <w:tblPr/>
      <w:tcPr>
        <w:tcBorders>
          <w:bottom w:color="7f7f7f" w:space="0" w:sz="4" w:themeColor="text1" w:themeTint="000080" w:val="single"/>
        </w:tcBorders>
      </w:tcPr>
    </w:tblStylePr>
    <w:tblStylePr w:type="lastRow">
      <w:rPr>
        <w:b w:val="1"/>
        <w:bCs w:val="1"/>
        <w:caps w:val="1"/>
      </w:rPr>
      <w:tblPr/>
      <w:tcPr>
        <w:tcBorders>
          <w:top w:space="0" w:sz="0" w:val="nil"/>
        </w:tcBorders>
      </w:tcPr>
    </w:tblStylePr>
    <w:tblStylePr w:type="firstCol">
      <w:rPr>
        <w:b w:val="1"/>
        <w:bCs w:val="1"/>
        <w:caps w:val="1"/>
      </w:rPr>
      <w:tblPr/>
      <w:tcPr>
        <w:tcBorders>
          <w:right w:color="7f7f7f" w:space="0" w:sz="4" w:themeColor="text1" w:themeTint="000080" w:val="single"/>
        </w:tcBorders>
      </w:tcPr>
    </w:tblStylePr>
    <w:tblStylePr w:type="lastCol">
      <w:rPr>
        <w:b w:val="1"/>
        <w:bCs w:val="1"/>
        <w:caps w:val="1"/>
      </w:rPr>
      <w:tblPr/>
      <w:tcPr>
        <w:tcBorders>
          <w:left w:space="0" w:sz="0" w:val="nil"/>
        </w:tcBorders>
      </w:tcPr>
    </w:tblStylePr>
    <w:tblStylePr w:type="band1Vert">
      <w:tblPr/>
      <w:tcPr>
        <w:shd w:color="auto" w:fill="f2f2f2" w:themeFill="background1" w:themeFillShade="0000F2" w:val="clear"/>
      </w:tcPr>
    </w:tblStylePr>
    <w:tblStylePr w:type="band1Horz">
      <w:tblPr/>
      <w:tcPr>
        <w:shd w:color="auto" w:fill="f2f2f2" w:themeFill="background1" w:themeFillShade="0000F2" w:val="clear"/>
      </w:tcPr>
    </w:tblStylePr>
    <w:tblStylePr w:type="neCell">
      <w:tblPr/>
      <w:tcPr>
        <w:tcBorders>
          <w:left w:space="0" w:sz="0" w:val="nil"/>
        </w:tcBorders>
      </w:tcPr>
    </w:tblStylePr>
    <w:tblStylePr w:type="nwCell">
      <w:tblPr/>
      <w:tcPr>
        <w:tcBorders>
          <w:right w:space="0" w:sz="0" w:val="nil"/>
        </w:tcBorders>
      </w:tcPr>
    </w:tblStylePr>
  </w:style>
  <w:style w:type="table" w:styleId="PlainTable21" w:customStyle="1">
    <w:name w:val="Plain Table 21"/>
    <w:basedOn w:val="TableNormal"/>
    <w:uiPriority w:val="99"/>
    <w:rsid w:val="007A35A6"/>
    <w:pPr>
      <w:spacing w:after="0" w:line="240" w:lineRule="auto"/>
    </w:pPr>
    <w:tblPr>
      <w:tblStyleRowBandSize w:val="1"/>
      <w:tblStyleColBandSize w:val="1"/>
      <w:tblBorders>
        <w:top w:color="7f7f7f" w:space="0" w:sz="4" w:themeColor="text1" w:themeTint="000080" w:val="single"/>
        <w:bottom w:color="7f7f7f" w:space="0" w:sz="4" w:themeColor="text1" w:themeTint="000080" w:val="single"/>
      </w:tblBorders>
    </w:tblPr>
    <w:tblStylePr w:type="firstRow">
      <w:rPr>
        <w:b w:val="1"/>
        <w:bCs w:val="1"/>
      </w:rPr>
      <w:tblPr/>
      <w:tcPr>
        <w:tcBorders>
          <w:bottom w:color="7f7f7f" w:space="0" w:sz="4" w:themeColor="text1" w:themeTint="000080" w:val="single"/>
        </w:tcBorders>
      </w:tcPr>
    </w:tblStylePr>
    <w:tblStylePr w:type="lastRow">
      <w:rPr>
        <w:b w:val="1"/>
        <w:bCs w:val="1"/>
      </w:rPr>
      <w:tblPr/>
      <w:tcPr>
        <w:tcBorders>
          <w:top w:color="7f7f7f" w:space="0" w:sz="4" w:themeColor="text1" w:themeTint="000080" w:val="single"/>
        </w:tcBorders>
      </w:tcPr>
    </w:tblStylePr>
    <w:tblStylePr w:type="firstCol">
      <w:rPr>
        <w:b w:val="1"/>
        <w:bCs w:val="1"/>
      </w:rPr>
    </w:tblStylePr>
    <w:tblStylePr w:type="lastCol">
      <w:rPr>
        <w:b w:val="1"/>
        <w:bCs w:val="1"/>
      </w:rPr>
    </w:tblStylePr>
    <w:tblStylePr w:type="band1Vert">
      <w:tblPr/>
      <w:tcPr>
        <w:tcBorders>
          <w:left w:color="7f7f7f" w:space="0" w:sz="4" w:themeColor="text1" w:themeTint="000080" w:val="single"/>
          <w:right w:color="7f7f7f" w:space="0" w:sz="4" w:themeColor="text1" w:themeTint="000080" w:val="single"/>
        </w:tcBorders>
      </w:tcPr>
    </w:tblStylePr>
    <w:tblStylePr w:type="band2Vert">
      <w:tblPr/>
      <w:tcPr>
        <w:tcBorders>
          <w:left w:color="7f7f7f" w:space="0" w:sz="4" w:themeColor="text1" w:themeTint="000080" w:val="single"/>
          <w:right w:color="7f7f7f" w:space="0" w:sz="4" w:themeColor="text1" w:themeTint="000080" w:val="single"/>
        </w:tcBorders>
      </w:tcPr>
    </w:tblStylePr>
    <w:tblStylePr w:type="band1Horz">
      <w:tblPr/>
      <w:tcPr>
        <w:tcBorders>
          <w:top w:color="7f7f7f" w:space="0" w:sz="4" w:themeColor="text1" w:themeTint="000080" w:val="single"/>
          <w:bottom w:color="7f7f7f" w:space="0" w:sz="4" w:themeColor="text1" w:themeTint="000080" w:val="single"/>
        </w:tcBorders>
      </w:tcPr>
    </w:tblStylePr>
  </w:style>
  <w:style w:type="character" w:styleId="UnresolvedMention1" w:customStyle="1">
    <w:name w:val="Unresolved Mention1"/>
    <w:basedOn w:val="DefaultParagraphFont"/>
    <w:uiPriority w:val="99"/>
    <w:semiHidden w:val="1"/>
    <w:unhideWhenUsed w:val="1"/>
    <w:rsid w:val="00DF5021"/>
    <w:rPr>
      <w:color w:val="605e5c"/>
      <w:shd w:color="auto" w:fill="e1dfdd" w:val="clear"/>
    </w:rPr>
  </w:style>
  <w:style w:type="character" w:styleId="nlmstring-name" w:customStyle="1">
    <w:name w:val="nlm_string-name"/>
    <w:basedOn w:val="DefaultParagraphFont"/>
    <w:rsid w:val="00C218DA"/>
  </w:style>
  <w:style w:type="character" w:styleId="nlmyear" w:customStyle="1">
    <w:name w:val="nlm_year"/>
    <w:basedOn w:val="DefaultParagraphFont"/>
    <w:rsid w:val="00C218DA"/>
  </w:style>
  <w:style w:type="character" w:styleId="nlmchapter-title" w:customStyle="1">
    <w:name w:val="nlm_chapter-title"/>
    <w:basedOn w:val="DefaultParagraphFont"/>
    <w:rsid w:val="00C218DA"/>
  </w:style>
  <w:style w:type="character" w:styleId="nlmpublisher-name" w:customStyle="1">
    <w:name w:val="nlm_publisher-name"/>
    <w:basedOn w:val="DefaultParagraphFont"/>
    <w:rsid w:val="00C218DA"/>
  </w:style>
  <w:style w:type="character" w:styleId="nlmpublisher-loc" w:customStyle="1">
    <w:name w:val="nlm_publisher-loc"/>
    <w:basedOn w:val="DefaultParagraphFont"/>
    <w:rsid w:val="00C218DA"/>
  </w:style>
  <w:style w:type="character" w:styleId="nlmfpage" w:customStyle="1">
    <w:name w:val="nlm_fpage"/>
    <w:basedOn w:val="DefaultParagraphFont"/>
    <w:rsid w:val="00C218DA"/>
  </w:style>
  <w:style w:type="character" w:styleId="nlmlpage" w:customStyle="1">
    <w:name w:val="nlm_lpage"/>
    <w:basedOn w:val="DefaultParagraphFont"/>
    <w:rsid w:val="00C218DA"/>
  </w:style>
  <w:style w:type="character" w:styleId="UnresolvedMention">
    <w:name w:val="Unresolved Mention"/>
    <w:basedOn w:val="DefaultParagraphFont"/>
    <w:uiPriority w:val="99"/>
    <w:semiHidden w:val="1"/>
    <w:unhideWhenUsed w:val="1"/>
    <w:rsid w:val="00EC7A1C"/>
    <w:rPr>
      <w:color w:val="605e5c"/>
      <w:shd w:color="auto" w:fill="e1dfdd" w:val="clear"/>
    </w:rPr>
  </w:style>
  <w:style w:type="character" w:styleId="LineNumber">
    <w:name w:val="line number"/>
    <w:basedOn w:val="DefaultParagraphFont"/>
    <w:uiPriority w:val="99"/>
    <w:semiHidden w:val="1"/>
    <w:unhideWhenUsed w:val="1"/>
    <w:rsid w:val="0070262D"/>
  </w:style>
  <w:style w:type="paragraph" w:styleId="Subtitle">
    <w:name w:val="Subtitle"/>
    <w:basedOn w:val="Normal"/>
    <w:next w:val="Normal"/>
    <w:pPr>
      <w:spacing w:after="720" w:lineRule="auto"/>
      <w:jc w:val="right"/>
    </w:pPr>
    <w:rPr>
      <w:rFonts w:ascii="Calibri" w:cs="Calibri" w:eastAsia="Calibri" w:hAnsi="Calibri"/>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1" Type="http://schemas.openxmlformats.org/officeDocument/2006/relationships/image" Target="media/image6.png"/><Relationship Id="rId10" Type="http://schemas.openxmlformats.org/officeDocument/2006/relationships/image" Target="media/image4.png"/><Relationship Id="rId13" Type="http://schemas.openxmlformats.org/officeDocument/2006/relationships/image" Target="media/image8.png"/><Relationship Id="rId12" Type="http://schemas.openxmlformats.org/officeDocument/2006/relationships/image" Target="media/image5.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png"/><Relationship Id="rId15" Type="http://schemas.openxmlformats.org/officeDocument/2006/relationships/image" Target="media/image1.png"/><Relationship Id="rId14" Type="http://schemas.openxmlformats.org/officeDocument/2006/relationships/image" Target="media/image9.png"/><Relationship Id="rId16" Type="http://schemas.openxmlformats.org/officeDocument/2006/relationships/image" Target="media/image2.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footer" Target="footer1.xml"/><Relationship Id="rId8"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Z0iUBOFAZjdKUTiRZsi8gMk4LBA==">AMUW2mUTIHZlWkhYZYTVPW39MFRj1o0aF22dJyI2P/utH4DQgS007RWvKOQ/PzsH3PYMwzjxpddxPlkHL4B5QgdX/sRQedj1yCVhI8fGHEprlAEXGN/POL2iem1Yx290kMMUxpk8dKAe9SZ1EH4d+RsLwK/fZ88S+g==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2019-10-24T16:59:00Z</dcterms:created>
  <dc:creator>Aracely Soto Simeone</dc:creator>
</cp:coreProperties>
</file>