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B2B22C" w14:textId="77777777" w:rsidR="00A53616" w:rsidRPr="00C66A92" w:rsidRDefault="00A53616" w:rsidP="00C66A92">
      <w:pPr>
        <w:pStyle w:val="Heading2"/>
        <w:rPr>
          <w:sz w:val="24"/>
        </w:rPr>
      </w:pPr>
      <w:r w:rsidRPr="00C66A92">
        <w:rPr>
          <w:sz w:val="24"/>
        </w:rPr>
        <w:t>Urban planning’s role in the development, transfer, and application of knowledge about bushfire risk management in Victoria</w:t>
      </w:r>
    </w:p>
    <w:p w14:paraId="5B6A21BE" w14:textId="77777777" w:rsidR="00A53616" w:rsidRDefault="00A53616" w:rsidP="00766C75">
      <w:pPr>
        <w:spacing w:after="0" w:line="240" w:lineRule="auto"/>
        <w:jc w:val="both"/>
        <w:rPr>
          <w:rFonts w:ascii="Arial" w:hAnsi="Arial" w:cs="Arial"/>
          <w:color w:val="000000"/>
          <w:sz w:val="20"/>
          <w:szCs w:val="20"/>
          <w:lang w:val="en-GB"/>
        </w:rPr>
      </w:pPr>
    </w:p>
    <w:p w14:paraId="176232C3" w14:textId="77777777" w:rsidR="009B7CA3" w:rsidRDefault="009B7CA3" w:rsidP="009B7CA3">
      <w:pPr>
        <w:spacing w:after="0" w:line="240" w:lineRule="auto"/>
        <w:jc w:val="center"/>
        <w:rPr>
          <w:rFonts w:ascii="Arial" w:hAnsi="Arial" w:cs="Arial"/>
          <w:color w:val="000000"/>
          <w:sz w:val="20"/>
          <w:szCs w:val="20"/>
          <w:lang w:val="en-GB"/>
        </w:rPr>
      </w:pPr>
      <w:proofErr w:type="spellStart"/>
      <w:r>
        <w:rPr>
          <w:rFonts w:ascii="Arial" w:hAnsi="Arial" w:cs="Arial"/>
          <w:color w:val="000000"/>
          <w:sz w:val="20"/>
          <w:szCs w:val="20"/>
          <w:lang w:val="en-GB"/>
        </w:rPr>
        <w:t>Constanza</w:t>
      </w:r>
      <w:proofErr w:type="spellEnd"/>
      <w:r>
        <w:rPr>
          <w:rFonts w:ascii="Arial" w:hAnsi="Arial" w:cs="Arial"/>
          <w:color w:val="000000"/>
          <w:sz w:val="20"/>
          <w:szCs w:val="20"/>
          <w:lang w:val="en-GB"/>
        </w:rPr>
        <w:t xml:space="preserve"> Gonzalez-Mathiesen</w:t>
      </w:r>
      <w:r w:rsidRPr="000C0E9E">
        <w:rPr>
          <w:rFonts w:ascii="Arial" w:hAnsi="Arial" w:cs="Arial"/>
          <w:color w:val="000000"/>
          <w:sz w:val="20"/>
          <w:szCs w:val="20"/>
          <w:vertAlign w:val="superscript"/>
          <w:lang w:val="en-GB"/>
        </w:rPr>
        <w:t>12</w:t>
      </w:r>
      <w:r>
        <w:rPr>
          <w:rFonts w:ascii="Arial" w:hAnsi="Arial" w:cs="Arial"/>
          <w:color w:val="000000"/>
          <w:sz w:val="20"/>
          <w:szCs w:val="20"/>
          <w:lang w:val="en-GB"/>
        </w:rPr>
        <w:t>, Alan March</w:t>
      </w:r>
      <w:r w:rsidRPr="000C0E9E">
        <w:rPr>
          <w:rFonts w:ascii="Arial" w:hAnsi="Arial" w:cs="Arial"/>
          <w:color w:val="000000"/>
          <w:sz w:val="20"/>
          <w:szCs w:val="20"/>
          <w:vertAlign w:val="superscript"/>
          <w:lang w:val="en-GB"/>
        </w:rPr>
        <w:t>1</w:t>
      </w:r>
    </w:p>
    <w:p w14:paraId="2D422F0B" w14:textId="77777777" w:rsidR="009B7CA3" w:rsidRDefault="009B7CA3" w:rsidP="009B7CA3">
      <w:pPr>
        <w:spacing w:after="0" w:line="240" w:lineRule="auto"/>
        <w:jc w:val="center"/>
        <w:rPr>
          <w:rFonts w:ascii="Arial" w:hAnsi="Arial" w:cs="Arial"/>
          <w:color w:val="000000"/>
          <w:sz w:val="20"/>
          <w:szCs w:val="20"/>
          <w:lang w:val="en-GB"/>
        </w:rPr>
      </w:pPr>
      <w:r>
        <w:rPr>
          <w:rFonts w:ascii="Arial" w:hAnsi="Arial" w:cs="Arial"/>
          <w:color w:val="000000"/>
          <w:sz w:val="20"/>
          <w:szCs w:val="20"/>
          <w:lang w:val="en-GB"/>
        </w:rPr>
        <w:t>The University of Melbourne</w:t>
      </w:r>
      <w:r w:rsidRPr="000C0E9E">
        <w:rPr>
          <w:rFonts w:ascii="Arial" w:hAnsi="Arial" w:cs="Arial"/>
          <w:color w:val="000000"/>
          <w:sz w:val="20"/>
          <w:szCs w:val="20"/>
          <w:vertAlign w:val="superscript"/>
          <w:lang w:val="en-GB"/>
        </w:rPr>
        <w:t>1</w:t>
      </w:r>
      <w:r>
        <w:rPr>
          <w:rFonts w:ascii="Arial" w:hAnsi="Arial" w:cs="Arial"/>
          <w:color w:val="000000"/>
          <w:sz w:val="20"/>
          <w:szCs w:val="20"/>
          <w:lang w:val="en-GB"/>
        </w:rPr>
        <w:t>, University del Desarrollo</w:t>
      </w:r>
      <w:r w:rsidRPr="000C0E9E">
        <w:rPr>
          <w:rFonts w:ascii="Arial" w:hAnsi="Arial" w:cs="Arial"/>
          <w:color w:val="000000"/>
          <w:sz w:val="20"/>
          <w:szCs w:val="20"/>
          <w:vertAlign w:val="superscript"/>
          <w:lang w:val="en-GB"/>
        </w:rPr>
        <w:t>2</w:t>
      </w:r>
    </w:p>
    <w:p w14:paraId="2AA9611D" w14:textId="77777777" w:rsidR="00A53616" w:rsidRPr="00766C75" w:rsidRDefault="00A53616" w:rsidP="00766C75">
      <w:pPr>
        <w:spacing w:after="0" w:line="240" w:lineRule="auto"/>
        <w:jc w:val="both"/>
        <w:rPr>
          <w:rFonts w:ascii="Arial" w:hAnsi="Arial" w:cs="Arial"/>
          <w:color w:val="000000"/>
          <w:sz w:val="20"/>
          <w:szCs w:val="20"/>
          <w:lang w:val="en-GB"/>
        </w:rPr>
      </w:pPr>
    </w:p>
    <w:p w14:paraId="3EFF50F4" w14:textId="77777777" w:rsidR="00A53616" w:rsidRPr="00766C75" w:rsidRDefault="00A53616" w:rsidP="00766C75">
      <w:pPr>
        <w:pStyle w:val="NormalWeb"/>
        <w:spacing w:before="0" w:beforeAutospacing="0" w:after="0" w:afterAutospacing="0"/>
        <w:jc w:val="both"/>
        <w:rPr>
          <w:rFonts w:ascii="Arial" w:eastAsia="Times New Roman" w:hAnsi="Arial" w:cs="Arial"/>
          <w:sz w:val="20"/>
          <w:szCs w:val="20"/>
          <w:lang w:val="en-AU" w:eastAsia="en-US"/>
        </w:rPr>
      </w:pPr>
      <w:r w:rsidRPr="00C66A92">
        <w:rPr>
          <w:rFonts w:ascii="Arial" w:eastAsia="Times New Roman" w:hAnsi="Arial" w:cs="Arial"/>
          <w:b/>
          <w:sz w:val="20"/>
          <w:szCs w:val="20"/>
          <w:lang w:val="en-AU" w:eastAsia="en-US"/>
        </w:rPr>
        <w:t>Abstract:</w:t>
      </w:r>
      <w:r>
        <w:rPr>
          <w:rFonts w:ascii="Arial" w:eastAsia="Times New Roman" w:hAnsi="Arial" w:cs="Arial"/>
          <w:sz w:val="20"/>
          <w:szCs w:val="20"/>
          <w:lang w:val="en-AU" w:eastAsia="en-US"/>
        </w:rPr>
        <w:t xml:space="preserve"> </w:t>
      </w:r>
      <w:r w:rsidRPr="00766C75">
        <w:rPr>
          <w:rFonts w:ascii="Arial" w:eastAsia="Times New Roman" w:hAnsi="Arial" w:cs="Arial"/>
          <w:sz w:val="20"/>
          <w:szCs w:val="20"/>
          <w:lang w:val="en-AU" w:eastAsia="en-US"/>
        </w:rPr>
        <w:t xml:space="preserve">Internationally, there is increasing concern with developing improved ways of dealing with disasters (UNISDR, 2015). The development of policy and practices for the reduction of disaster risk is intimately related to knowledge about dynamic and spatially particular risks and relevant ways of managing these via informed decisions and coordinated action </w:t>
      </w:r>
      <w:r>
        <w:rPr>
          <w:rFonts w:ascii="Arial" w:eastAsia="Times New Roman" w:hAnsi="Arial" w:cs="Arial"/>
          <w:noProof/>
          <w:sz w:val="20"/>
          <w:szCs w:val="20"/>
          <w:lang w:val="en-AU" w:eastAsia="en-US"/>
        </w:rPr>
        <w:t>(Weichselgartner and Pigeon, 2015)</w:t>
      </w:r>
      <w:r w:rsidRPr="00766C75">
        <w:rPr>
          <w:rFonts w:ascii="Arial" w:eastAsia="Times New Roman" w:hAnsi="Arial" w:cs="Arial"/>
          <w:sz w:val="20"/>
          <w:szCs w:val="20"/>
          <w:lang w:val="en-AU" w:eastAsia="en-US"/>
        </w:rPr>
        <w:t>. It is now commonly accepted that integrating disaster risk considerations into urban planning process is advantageous - what is less widely discussed is urban planning’s proper role when interacting with disaster risk management knowledge.</w:t>
      </w:r>
    </w:p>
    <w:p w14:paraId="63D17C0D" w14:textId="69FE6FF4" w:rsidR="00A53616" w:rsidRDefault="00A53616" w:rsidP="00766C75">
      <w:pPr>
        <w:pStyle w:val="NormalWeb"/>
        <w:spacing w:before="0" w:beforeAutospacing="0" w:after="0" w:afterAutospacing="0"/>
        <w:jc w:val="both"/>
        <w:rPr>
          <w:rFonts w:ascii="Arial" w:eastAsia="Times New Roman" w:hAnsi="Arial" w:cs="Arial"/>
          <w:sz w:val="20"/>
          <w:szCs w:val="20"/>
          <w:lang w:val="en-AU" w:eastAsia="en-US"/>
        </w:rPr>
      </w:pPr>
      <w:r w:rsidRPr="00766C75">
        <w:rPr>
          <w:rFonts w:ascii="Arial" w:eastAsia="Times New Roman" w:hAnsi="Arial" w:cs="Arial"/>
          <w:sz w:val="20"/>
          <w:szCs w:val="20"/>
          <w:lang w:val="en-AU" w:eastAsia="en-US"/>
        </w:rPr>
        <w:t xml:space="preserve">This paper examines urban planning’s role in the development, transfer, and application of knowledge about bushfire risk management in Victoria. It argues that urban planning, in partnership with other disciplines, has the capacity to put risk management knowledge into action to manage risk by applying it in an effective and contextualized manner to overcome barriers, bridging the gap between spatial and </w:t>
      </w:r>
      <w:proofErr w:type="spellStart"/>
      <w:r w:rsidRPr="00766C75">
        <w:rPr>
          <w:rFonts w:ascii="Arial" w:eastAsia="Times New Roman" w:hAnsi="Arial" w:cs="Arial"/>
          <w:sz w:val="20"/>
          <w:szCs w:val="20"/>
          <w:lang w:val="en-AU" w:eastAsia="en-US"/>
        </w:rPr>
        <w:t>aspatial</w:t>
      </w:r>
      <w:proofErr w:type="spellEnd"/>
      <w:r w:rsidRPr="00766C75">
        <w:rPr>
          <w:rFonts w:ascii="Arial" w:eastAsia="Times New Roman" w:hAnsi="Arial" w:cs="Arial"/>
          <w:sz w:val="20"/>
          <w:szCs w:val="20"/>
          <w:lang w:val="en-AU" w:eastAsia="en-US"/>
        </w:rPr>
        <w:t xml:space="preserve"> policies. It reports the manner in which Victoria's connections between strategic and statutory planning, and other implementation activities and processes, are often incomplete, contradictory, or are simply uncertain in the outcomes they actually achieve. The paper contributes to planning theory and practice dealing with disasters and resilient settlements. It increases awareness of urban planning processes that develop, transfer, and apply bushfire risk management knowledge, and the barriers to overcome to be effective.</w:t>
      </w:r>
    </w:p>
    <w:p w14:paraId="7690EFA3" w14:textId="77777777" w:rsidR="00A53616" w:rsidRPr="00C66A92" w:rsidRDefault="00A53616" w:rsidP="00766C75">
      <w:pPr>
        <w:pStyle w:val="NormalWeb"/>
        <w:spacing w:before="0" w:beforeAutospacing="0" w:after="0" w:afterAutospacing="0"/>
        <w:jc w:val="both"/>
        <w:rPr>
          <w:rFonts w:ascii="Arial" w:eastAsia="Times New Roman" w:hAnsi="Arial" w:cs="Arial"/>
          <w:b/>
          <w:sz w:val="20"/>
          <w:szCs w:val="20"/>
          <w:lang w:val="en-AU" w:eastAsia="en-US"/>
        </w:rPr>
      </w:pPr>
    </w:p>
    <w:p w14:paraId="31463627" w14:textId="77777777" w:rsidR="00A53616" w:rsidRPr="00C66A92" w:rsidRDefault="00A53616" w:rsidP="00766C75">
      <w:pPr>
        <w:pStyle w:val="NormalWeb"/>
        <w:spacing w:before="0" w:beforeAutospacing="0" w:after="0" w:afterAutospacing="0"/>
        <w:jc w:val="both"/>
        <w:rPr>
          <w:rFonts w:ascii="Arial" w:eastAsia="Times New Roman" w:hAnsi="Arial" w:cs="Arial"/>
          <w:b/>
          <w:sz w:val="20"/>
          <w:szCs w:val="20"/>
          <w:lang w:val="en-AU" w:eastAsia="en-US"/>
        </w:rPr>
      </w:pPr>
      <w:r w:rsidRPr="00C66A92">
        <w:rPr>
          <w:rFonts w:ascii="Arial" w:hAnsi="Arial" w:cs="Arial"/>
          <w:b/>
          <w:sz w:val="22"/>
        </w:rPr>
        <w:t>Key words:</w:t>
      </w:r>
      <w:r>
        <w:rPr>
          <w:rFonts w:ascii="Arial" w:hAnsi="Arial" w:cs="Arial"/>
          <w:b/>
          <w:sz w:val="22"/>
        </w:rPr>
        <w:t xml:space="preserve"> </w:t>
      </w:r>
      <w:r w:rsidRPr="00C66A92">
        <w:rPr>
          <w:rFonts w:ascii="Arial" w:hAnsi="Arial" w:cs="Arial"/>
          <w:i/>
          <w:sz w:val="20"/>
          <w:szCs w:val="20"/>
        </w:rPr>
        <w:t>Urban planning; knowledge; resilience; disaster risk management.</w:t>
      </w:r>
    </w:p>
    <w:p w14:paraId="6D984C68" w14:textId="77777777" w:rsidR="00A53616" w:rsidRPr="00766C75" w:rsidRDefault="00A53616" w:rsidP="00766C75">
      <w:pPr>
        <w:spacing w:after="0" w:line="240" w:lineRule="auto"/>
        <w:jc w:val="both"/>
        <w:rPr>
          <w:rFonts w:ascii="Arial" w:hAnsi="Arial" w:cs="Arial"/>
          <w:color w:val="000000"/>
          <w:sz w:val="20"/>
          <w:szCs w:val="20"/>
          <w:lang w:val="en-US"/>
        </w:rPr>
      </w:pPr>
    </w:p>
    <w:p w14:paraId="06B8349C" w14:textId="77777777" w:rsidR="00A53616" w:rsidRPr="00C66A92" w:rsidRDefault="00A53616" w:rsidP="00766C75">
      <w:pPr>
        <w:spacing w:after="0" w:line="240" w:lineRule="auto"/>
        <w:jc w:val="both"/>
        <w:rPr>
          <w:rFonts w:ascii="Arial" w:hAnsi="Arial" w:cs="Arial"/>
          <w:b/>
          <w:color w:val="000000"/>
          <w:lang w:val="en-US"/>
        </w:rPr>
      </w:pPr>
      <w:r w:rsidRPr="00C66A92">
        <w:rPr>
          <w:rFonts w:ascii="Arial" w:hAnsi="Arial" w:cs="Arial"/>
          <w:b/>
          <w:color w:val="000000"/>
          <w:lang w:val="en-US"/>
        </w:rPr>
        <w:t>Introduction</w:t>
      </w:r>
    </w:p>
    <w:p w14:paraId="63C6FDD7" w14:textId="6119DF7F" w:rsidR="00A53616" w:rsidRPr="00C66A92" w:rsidRDefault="00A53616" w:rsidP="00C66A92">
      <w:pPr>
        <w:pStyle w:val="NormalWeb"/>
        <w:spacing w:before="0" w:beforeAutospacing="0" w:after="0" w:afterAutospacing="0"/>
        <w:jc w:val="both"/>
        <w:rPr>
          <w:rFonts w:ascii="Arial" w:eastAsia="Times New Roman" w:hAnsi="Arial" w:cs="Arial"/>
          <w:sz w:val="20"/>
          <w:szCs w:val="20"/>
          <w:lang w:val="en-AU" w:eastAsia="en-US"/>
        </w:rPr>
      </w:pPr>
      <w:r w:rsidRPr="00C66A92">
        <w:rPr>
          <w:rFonts w:ascii="Arial" w:eastAsia="Times New Roman" w:hAnsi="Arial" w:cs="Arial"/>
          <w:sz w:val="20"/>
          <w:szCs w:val="20"/>
          <w:lang w:val="en-AU" w:eastAsia="en-US"/>
        </w:rPr>
        <w:t xml:space="preserve">Improving the ways for dealing with disasters is an issue of increasing international relevance (UNISDR, 2015). The continuous development, update, sharing and application of Disaster Risk Management (DRM) knowledge through mechanisms set by communities and governments during the mitigation and preparedness phases can contribute to prevent and prepare to deal with disaster uncertainty and change. If mechanisms that allow flexibility and adaptation are set in advance to prevent and prepare to deal with hazards – such as values, norms, practices and governance systems </w:t>
      </w:r>
      <w:r>
        <w:rPr>
          <w:rFonts w:ascii="Arial" w:eastAsia="Times New Roman" w:hAnsi="Arial" w:cs="Arial"/>
          <w:noProof/>
          <w:sz w:val="20"/>
          <w:szCs w:val="20"/>
          <w:lang w:val="en-AU" w:eastAsia="en-US"/>
        </w:rPr>
        <w:t>(Manyena et al., 2011, p.419)</w:t>
      </w:r>
      <w:r w:rsidRPr="00C66A92">
        <w:rPr>
          <w:rFonts w:ascii="Arial" w:eastAsia="Times New Roman" w:hAnsi="Arial" w:cs="Arial"/>
          <w:sz w:val="20"/>
          <w:szCs w:val="20"/>
          <w:lang w:val="en-AU" w:eastAsia="en-US"/>
        </w:rPr>
        <w:t xml:space="preserve"> – considering previous experiences and international knowledge, societies may evolve into </w:t>
      </w:r>
      <w:r w:rsidR="00C36B8E">
        <w:rPr>
          <w:rFonts w:ascii="Arial" w:eastAsia="Times New Roman" w:hAnsi="Arial" w:cs="Arial"/>
          <w:sz w:val="20"/>
          <w:szCs w:val="20"/>
          <w:lang w:val="en-AU" w:eastAsia="en-US"/>
        </w:rPr>
        <w:t xml:space="preserve">states </w:t>
      </w:r>
      <w:r w:rsidRPr="00C66A92">
        <w:rPr>
          <w:rFonts w:ascii="Arial" w:eastAsia="Times New Roman" w:hAnsi="Arial" w:cs="Arial"/>
          <w:sz w:val="20"/>
          <w:szCs w:val="20"/>
          <w:lang w:val="en-AU" w:eastAsia="en-US"/>
        </w:rPr>
        <w:t>better prepare</w:t>
      </w:r>
      <w:r w:rsidR="00C36B8E">
        <w:rPr>
          <w:rFonts w:ascii="Arial" w:eastAsia="Times New Roman" w:hAnsi="Arial" w:cs="Arial"/>
          <w:sz w:val="20"/>
          <w:szCs w:val="20"/>
          <w:lang w:val="en-AU" w:eastAsia="en-US"/>
        </w:rPr>
        <w:t>d</w:t>
      </w:r>
      <w:r w:rsidRPr="00C66A92">
        <w:rPr>
          <w:rFonts w:ascii="Arial" w:eastAsia="Times New Roman" w:hAnsi="Arial" w:cs="Arial"/>
          <w:sz w:val="20"/>
          <w:szCs w:val="20"/>
          <w:lang w:val="en-AU" w:eastAsia="en-US"/>
        </w:rPr>
        <w:t xml:space="preserve"> </w:t>
      </w:r>
      <w:r>
        <w:rPr>
          <w:rFonts w:ascii="Arial" w:eastAsia="Times New Roman" w:hAnsi="Arial" w:cs="Arial"/>
          <w:noProof/>
          <w:sz w:val="20"/>
          <w:szCs w:val="20"/>
          <w:lang w:val="en-AU" w:eastAsia="en-US"/>
        </w:rPr>
        <w:t>(Villar and Guézo, 2016)</w:t>
      </w:r>
      <w:r w:rsidRPr="00C66A92">
        <w:rPr>
          <w:rFonts w:ascii="Arial" w:eastAsia="Times New Roman" w:hAnsi="Arial" w:cs="Arial"/>
          <w:sz w:val="20"/>
          <w:szCs w:val="20"/>
          <w:lang w:val="en-AU" w:eastAsia="en-US"/>
        </w:rPr>
        <w:t>. This calls attention to the need for better understandings of systems, communities and societies’ capacity to learn from previous disasters’ experience and to transfer disaster management knowledge, contextualizing it to each specific case.</w:t>
      </w:r>
    </w:p>
    <w:p w14:paraId="640511A5" w14:textId="77777777" w:rsidR="00A53616" w:rsidRPr="00C66A92" w:rsidRDefault="00A53616" w:rsidP="00C66A92">
      <w:pPr>
        <w:pStyle w:val="NormalWeb"/>
        <w:spacing w:before="0" w:beforeAutospacing="0" w:after="0" w:afterAutospacing="0"/>
        <w:jc w:val="both"/>
        <w:rPr>
          <w:rFonts w:ascii="Arial" w:eastAsia="Times New Roman" w:hAnsi="Arial" w:cs="Arial"/>
          <w:sz w:val="20"/>
          <w:szCs w:val="20"/>
          <w:lang w:val="en-AU" w:eastAsia="en-US"/>
        </w:rPr>
      </w:pPr>
      <w:r w:rsidRPr="00C66A92">
        <w:rPr>
          <w:rFonts w:ascii="Arial" w:eastAsia="Times New Roman" w:hAnsi="Arial" w:cs="Arial"/>
          <w:sz w:val="20"/>
          <w:szCs w:val="20"/>
          <w:lang w:val="en-AU" w:eastAsia="en-US"/>
        </w:rPr>
        <w:t xml:space="preserve">It is now widely accepted – by both academic and international organizations – that integrating DRM into urban planning process is advantageous </w:t>
      </w:r>
      <w:r>
        <w:rPr>
          <w:rFonts w:ascii="Arial" w:eastAsia="Times New Roman" w:hAnsi="Arial" w:cs="Arial"/>
          <w:noProof/>
          <w:sz w:val="20"/>
          <w:szCs w:val="20"/>
          <w:lang w:val="en-AU" w:eastAsia="en-US"/>
        </w:rPr>
        <w:t>(Alexander, 2009, Sapountzaki et al., 2011, UNISDR, 2004, UNISDR, 2015)</w:t>
      </w:r>
      <w:r w:rsidRPr="00C66A92">
        <w:rPr>
          <w:rFonts w:ascii="Arial" w:eastAsia="Times New Roman" w:hAnsi="Arial" w:cs="Arial"/>
          <w:sz w:val="20"/>
          <w:szCs w:val="20"/>
          <w:lang w:val="en-AU" w:eastAsia="en-US"/>
        </w:rPr>
        <w:t xml:space="preserve">. Integrating urban planning and DRM could be especially beneficial for dealing with the uneven evolution in knowledge and application of DRM </w:t>
      </w:r>
      <w:r>
        <w:rPr>
          <w:rFonts w:ascii="Arial" w:eastAsia="Times New Roman" w:hAnsi="Arial" w:cs="Arial"/>
          <w:noProof/>
          <w:sz w:val="20"/>
          <w:szCs w:val="20"/>
          <w:lang w:val="en-AU" w:eastAsia="en-US"/>
        </w:rPr>
        <w:t>(Briceño, 2015, Weichselgartner and Pigeon, 2015, Davies et al., 2015)</w:t>
      </w:r>
      <w:r w:rsidRPr="00C66A92">
        <w:rPr>
          <w:rFonts w:ascii="Arial" w:eastAsia="Times New Roman" w:hAnsi="Arial" w:cs="Arial"/>
          <w:sz w:val="20"/>
          <w:szCs w:val="20"/>
          <w:lang w:val="en-AU" w:eastAsia="en-US"/>
        </w:rPr>
        <w:t>. It can contribute to learning and acting on disaster risk at different spatial levels with a focus on mitigation rather than on preparing the response and recovery, allowing for relevant ways of managing these via informed decisions and coordinated action.  If fact, there are historical precedents of dealing with risk through the arrangement of settlements. These can range from locational measures (</w:t>
      </w:r>
      <w:proofErr w:type="spellStart"/>
      <w:r w:rsidRPr="00C66A92">
        <w:rPr>
          <w:rFonts w:ascii="Arial" w:eastAsia="Times New Roman" w:hAnsi="Arial" w:cs="Arial"/>
          <w:sz w:val="20"/>
          <w:szCs w:val="20"/>
          <w:lang w:val="en-AU" w:eastAsia="en-US"/>
        </w:rPr>
        <w:t>Burby</w:t>
      </w:r>
      <w:proofErr w:type="spellEnd"/>
      <w:r w:rsidRPr="00C66A92">
        <w:rPr>
          <w:rFonts w:ascii="Arial" w:eastAsia="Times New Roman" w:hAnsi="Arial" w:cs="Arial"/>
          <w:sz w:val="20"/>
          <w:szCs w:val="20"/>
          <w:lang w:val="en-AU" w:eastAsia="en-US"/>
        </w:rPr>
        <w:t>, 1998), such as the 1852 relocation of Gundagai, Australia, after a flood (Waters, 2011); to design solutions (</w:t>
      </w:r>
      <w:proofErr w:type="spellStart"/>
      <w:r w:rsidRPr="00C66A92">
        <w:rPr>
          <w:rFonts w:ascii="Arial" w:eastAsia="Times New Roman" w:hAnsi="Arial" w:cs="Arial"/>
          <w:sz w:val="20"/>
          <w:szCs w:val="20"/>
          <w:lang w:val="en-AU" w:eastAsia="en-US"/>
        </w:rPr>
        <w:t>Burby</w:t>
      </w:r>
      <w:proofErr w:type="spellEnd"/>
      <w:r w:rsidRPr="00C66A92">
        <w:rPr>
          <w:rFonts w:ascii="Arial" w:eastAsia="Times New Roman" w:hAnsi="Arial" w:cs="Arial"/>
          <w:sz w:val="20"/>
          <w:szCs w:val="20"/>
          <w:lang w:val="en-AU" w:eastAsia="en-US"/>
        </w:rPr>
        <w:t>, 1998), such as the building laws enforced after the Great Fire of London in 1666 (Hanson, 1989). However, the topic that is less widely discussed is urban planning’s proper role when interacting with disaster risk management knowledge.</w:t>
      </w:r>
    </w:p>
    <w:p w14:paraId="3182E067" w14:textId="77B26EA3" w:rsidR="00A53616" w:rsidRPr="00C66A92" w:rsidRDefault="00A53616" w:rsidP="00370770">
      <w:pPr>
        <w:pStyle w:val="NormalWeb"/>
        <w:spacing w:before="0" w:beforeAutospacing="0" w:after="0" w:afterAutospacing="0"/>
        <w:jc w:val="both"/>
        <w:rPr>
          <w:rFonts w:ascii="Arial" w:eastAsia="Times New Roman" w:hAnsi="Arial" w:cs="Arial"/>
          <w:sz w:val="20"/>
          <w:szCs w:val="20"/>
          <w:lang w:val="en-AU" w:eastAsia="en-US"/>
        </w:rPr>
      </w:pPr>
      <w:proofErr w:type="gramStart"/>
      <w:r w:rsidRPr="00C66A92">
        <w:rPr>
          <w:rFonts w:ascii="Arial" w:eastAsia="Times New Roman" w:hAnsi="Arial" w:cs="Arial"/>
          <w:sz w:val="20"/>
          <w:szCs w:val="20"/>
          <w:lang w:val="en-AU" w:eastAsia="en-US"/>
        </w:rPr>
        <w:t>This paper aims to examine urban planning’s role in the development, transfer, and application of knowledge about bushfire risk management in Victoria.</w:t>
      </w:r>
      <w:proofErr w:type="gramEnd"/>
      <w:r w:rsidRPr="00C66A92">
        <w:rPr>
          <w:rFonts w:ascii="Arial" w:eastAsia="Times New Roman" w:hAnsi="Arial" w:cs="Arial"/>
          <w:sz w:val="20"/>
          <w:szCs w:val="20"/>
          <w:lang w:val="en-AU" w:eastAsia="en-US"/>
        </w:rPr>
        <w:t xml:space="preserve"> To do so, this paper will first elaborate on urban planning’s relation and ways of dealing with knowledge, proposing a diagram of two overlaid axes: knowledge type and spatial scale to describe it. Second, it will argue that, in partnership with other disciplines, urban planning has the capacity to put risk management knowledge into action</w:t>
      </w:r>
      <w:r w:rsidR="00370770">
        <w:rPr>
          <w:rFonts w:ascii="Arial" w:eastAsia="Times New Roman" w:hAnsi="Arial" w:cs="Arial"/>
          <w:sz w:val="20"/>
          <w:szCs w:val="20"/>
          <w:lang w:val="en-AU" w:eastAsia="en-US"/>
        </w:rPr>
        <w:t xml:space="preserve">.  It </w:t>
      </w:r>
      <w:proofErr w:type="gramStart"/>
      <w:r w:rsidR="00370770">
        <w:rPr>
          <w:rFonts w:ascii="Arial" w:eastAsia="Times New Roman" w:hAnsi="Arial" w:cs="Arial"/>
          <w:sz w:val="20"/>
          <w:szCs w:val="20"/>
          <w:lang w:val="en-AU" w:eastAsia="en-US"/>
        </w:rPr>
        <w:t xml:space="preserve">can </w:t>
      </w:r>
      <w:r w:rsidRPr="00C66A92">
        <w:rPr>
          <w:rFonts w:ascii="Arial" w:eastAsia="Times New Roman" w:hAnsi="Arial" w:cs="Arial"/>
          <w:sz w:val="20"/>
          <w:szCs w:val="20"/>
          <w:lang w:val="en-AU" w:eastAsia="en-US"/>
        </w:rPr>
        <w:t xml:space="preserve"> manag</w:t>
      </w:r>
      <w:r w:rsidR="00370770">
        <w:rPr>
          <w:rFonts w:ascii="Arial" w:eastAsia="Times New Roman" w:hAnsi="Arial" w:cs="Arial"/>
          <w:sz w:val="20"/>
          <w:szCs w:val="20"/>
          <w:lang w:val="en-AU" w:eastAsia="en-US"/>
        </w:rPr>
        <w:t>e</w:t>
      </w:r>
      <w:proofErr w:type="gramEnd"/>
      <w:r w:rsidRPr="00C66A92">
        <w:rPr>
          <w:rFonts w:ascii="Arial" w:eastAsia="Times New Roman" w:hAnsi="Arial" w:cs="Arial"/>
          <w:sz w:val="20"/>
          <w:szCs w:val="20"/>
          <w:lang w:val="en-AU" w:eastAsia="en-US"/>
        </w:rPr>
        <w:t xml:space="preserve"> risk</w:t>
      </w:r>
      <w:r w:rsidR="00370770">
        <w:rPr>
          <w:rFonts w:ascii="Arial" w:eastAsia="Times New Roman" w:hAnsi="Arial" w:cs="Arial"/>
          <w:sz w:val="20"/>
          <w:szCs w:val="20"/>
          <w:lang w:val="en-AU" w:eastAsia="en-US"/>
        </w:rPr>
        <w:t>s</w:t>
      </w:r>
      <w:r w:rsidRPr="00C66A92">
        <w:rPr>
          <w:rFonts w:ascii="Arial" w:eastAsia="Times New Roman" w:hAnsi="Arial" w:cs="Arial"/>
          <w:sz w:val="20"/>
          <w:szCs w:val="20"/>
          <w:lang w:val="en-AU" w:eastAsia="en-US"/>
        </w:rPr>
        <w:t xml:space="preserve"> by applying effective and contextualized </w:t>
      </w:r>
      <w:r w:rsidR="00370770">
        <w:rPr>
          <w:rFonts w:ascii="Arial" w:eastAsia="Times New Roman" w:hAnsi="Arial" w:cs="Arial"/>
          <w:sz w:val="20"/>
          <w:szCs w:val="20"/>
          <w:lang w:val="en-AU" w:eastAsia="en-US"/>
        </w:rPr>
        <w:t xml:space="preserve">approaches </w:t>
      </w:r>
      <w:r w:rsidRPr="00C66A92">
        <w:rPr>
          <w:rFonts w:ascii="Arial" w:eastAsia="Times New Roman" w:hAnsi="Arial" w:cs="Arial"/>
          <w:sz w:val="20"/>
          <w:szCs w:val="20"/>
          <w:lang w:val="en-AU" w:eastAsia="en-US"/>
        </w:rPr>
        <w:t xml:space="preserve">to overcome barriers, bridging the gap between spatial and </w:t>
      </w:r>
      <w:proofErr w:type="spellStart"/>
      <w:r w:rsidRPr="00C66A92">
        <w:rPr>
          <w:rFonts w:ascii="Arial" w:eastAsia="Times New Roman" w:hAnsi="Arial" w:cs="Arial"/>
          <w:sz w:val="20"/>
          <w:szCs w:val="20"/>
          <w:lang w:val="en-AU" w:eastAsia="en-US"/>
        </w:rPr>
        <w:t>aspatial</w:t>
      </w:r>
      <w:proofErr w:type="spellEnd"/>
      <w:r w:rsidRPr="00C66A92">
        <w:rPr>
          <w:rFonts w:ascii="Arial" w:eastAsia="Times New Roman" w:hAnsi="Arial" w:cs="Arial"/>
          <w:sz w:val="20"/>
          <w:szCs w:val="20"/>
          <w:lang w:val="en-AU" w:eastAsia="en-US"/>
        </w:rPr>
        <w:t xml:space="preserve"> policies. Third, it will describe the way this is done in the case of Victoria, reporting on the connections between strategic and statutory planning, and other implementation activities and processes using the previously proposed diagram. It is suggested that these are often incomplete, contradictory, or simply uncertain in the outcomes they achieve. Lastly, </w:t>
      </w:r>
      <w:r w:rsidRPr="00C66A92">
        <w:rPr>
          <w:rFonts w:ascii="Arial" w:eastAsia="Times New Roman" w:hAnsi="Arial" w:cs="Arial"/>
          <w:sz w:val="20"/>
          <w:szCs w:val="20"/>
          <w:lang w:val="en-AU" w:eastAsia="en-US"/>
        </w:rPr>
        <w:lastRenderedPageBreak/>
        <w:t>conclusions that contribute to planning theory and practice dealing with disasters and resilient settlements will be provided.</w:t>
      </w:r>
    </w:p>
    <w:p w14:paraId="04E793C2" w14:textId="77777777" w:rsidR="00A53616" w:rsidRPr="00C66A92" w:rsidRDefault="00A53616" w:rsidP="00C66A92">
      <w:pPr>
        <w:pStyle w:val="NormalWeb"/>
        <w:spacing w:before="0" w:beforeAutospacing="0" w:after="0" w:afterAutospacing="0"/>
        <w:jc w:val="both"/>
        <w:rPr>
          <w:rFonts w:ascii="Arial" w:eastAsia="Times New Roman" w:hAnsi="Arial" w:cs="Arial"/>
          <w:sz w:val="20"/>
          <w:szCs w:val="20"/>
          <w:lang w:val="en-AU" w:eastAsia="en-US"/>
        </w:rPr>
      </w:pPr>
    </w:p>
    <w:p w14:paraId="431C1FC4" w14:textId="77777777" w:rsidR="00A53616" w:rsidRPr="00C66A92" w:rsidRDefault="00A53616" w:rsidP="00766C75">
      <w:pPr>
        <w:spacing w:after="0" w:line="240" w:lineRule="auto"/>
        <w:jc w:val="both"/>
        <w:rPr>
          <w:rFonts w:ascii="Arial" w:hAnsi="Arial" w:cs="Arial"/>
          <w:b/>
          <w:color w:val="000000"/>
          <w:lang w:val="en-US"/>
        </w:rPr>
      </w:pPr>
      <w:r w:rsidRPr="00C66A92">
        <w:rPr>
          <w:rFonts w:ascii="Arial" w:hAnsi="Arial" w:cs="Arial"/>
          <w:b/>
          <w:color w:val="000000"/>
          <w:lang w:val="en-US"/>
        </w:rPr>
        <w:t>Urban planning and knowledge</w:t>
      </w:r>
    </w:p>
    <w:p w14:paraId="28FB7513" w14:textId="50D25895" w:rsidR="00A53616" w:rsidRPr="00766C75" w:rsidRDefault="00B74977" w:rsidP="00766C75">
      <w:pPr>
        <w:spacing w:after="0" w:line="240" w:lineRule="auto"/>
        <w:jc w:val="both"/>
        <w:rPr>
          <w:rFonts w:ascii="Arial" w:hAnsi="Arial" w:cs="Arial"/>
          <w:color w:val="000000"/>
          <w:sz w:val="20"/>
          <w:szCs w:val="20"/>
          <w:lang w:val="en-US"/>
        </w:rPr>
      </w:pPr>
      <w:r w:rsidRPr="00766C75">
        <w:rPr>
          <w:rFonts w:ascii="Arial" w:hAnsi="Arial" w:cs="Arial"/>
          <w:color w:val="000000"/>
          <w:sz w:val="20"/>
          <w:szCs w:val="20"/>
          <w:lang w:val="en-US"/>
        </w:rPr>
        <w:t>Currently</w:t>
      </w:r>
      <w:r w:rsidR="00A53616" w:rsidRPr="00766C75">
        <w:rPr>
          <w:rFonts w:ascii="Arial" w:hAnsi="Arial" w:cs="Arial"/>
          <w:color w:val="000000"/>
          <w:sz w:val="20"/>
          <w:szCs w:val="20"/>
          <w:lang w:val="en-US"/>
        </w:rPr>
        <w:t xml:space="preserve">, urban planning can be defined as a process of dealing with the impacts of spatial problems and with the spatial coordination of policies to consciously achieve better settlements than the ones that would be in place without it </w:t>
      </w:r>
      <w:r w:rsidR="00A53616">
        <w:rPr>
          <w:rFonts w:ascii="Arial" w:hAnsi="Arial" w:cs="Arial"/>
          <w:noProof/>
          <w:color w:val="000000"/>
          <w:sz w:val="20"/>
          <w:szCs w:val="20"/>
          <w:lang w:val="en-US"/>
        </w:rPr>
        <w:t>(Hall and Tewdwr-Jones, 2002)</w:t>
      </w:r>
      <w:r w:rsidR="00A53616" w:rsidRPr="00766C75">
        <w:rPr>
          <w:rFonts w:ascii="Arial" w:hAnsi="Arial" w:cs="Arial"/>
          <w:color w:val="000000"/>
          <w:sz w:val="20"/>
          <w:szCs w:val="20"/>
          <w:lang w:val="en-US"/>
        </w:rPr>
        <w:t xml:space="preserve">. It should manage the dilemmas – physical and dynamic </w:t>
      </w:r>
      <w:proofErr w:type="gramStart"/>
      <w:r w:rsidR="00A53616" w:rsidRPr="00766C75">
        <w:rPr>
          <w:rFonts w:ascii="Arial" w:hAnsi="Arial" w:cs="Arial"/>
          <w:color w:val="000000"/>
          <w:sz w:val="20"/>
          <w:szCs w:val="20"/>
          <w:lang w:val="en-US"/>
        </w:rPr>
        <w:t>–  of</w:t>
      </w:r>
      <w:proofErr w:type="gramEnd"/>
      <w:r w:rsidR="00A53616" w:rsidRPr="00766C75">
        <w:rPr>
          <w:rFonts w:ascii="Arial" w:hAnsi="Arial" w:cs="Arial"/>
          <w:color w:val="000000"/>
          <w:sz w:val="20"/>
          <w:szCs w:val="20"/>
          <w:lang w:val="en-US"/>
        </w:rPr>
        <w:t xml:space="preserve"> co-existing in shared spaces </w:t>
      </w:r>
      <w:r w:rsidR="00A53616">
        <w:rPr>
          <w:rFonts w:ascii="Arial" w:hAnsi="Arial" w:cs="Arial"/>
          <w:noProof/>
          <w:color w:val="000000"/>
          <w:sz w:val="20"/>
          <w:szCs w:val="20"/>
          <w:lang w:val="en-US"/>
        </w:rPr>
        <w:t>(Healey, 2007)</w:t>
      </w:r>
      <w:r w:rsidR="00A53616" w:rsidRPr="00766C75">
        <w:rPr>
          <w:rFonts w:ascii="Arial" w:hAnsi="Arial" w:cs="Arial"/>
          <w:color w:val="000000"/>
          <w:sz w:val="20"/>
          <w:szCs w:val="20"/>
          <w:lang w:val="en-US"/>
        </w:rPr>
        <w:t xml:space="preserve">. It is concerned with the spatial impacts of different problems and with the spatial coordination of different policies </w:t>
      </w:r>
      <w:r w:rsidR="00A53616">
        <w:rPr>
          <w:rFonts w:ascii="Arial" w:hAnsi="Arial" w:cs="Arial"/>
          <w:noProof/>
          <w:color w:val="000000"/>
          <w:sz w:val="20"/>
          <w:szCs w:val="20"/>
          <w:lang w:val="en-US"/>
        </w:rPr>
        <w:t>(Hall and Tewdwr-Jones, 2002)</w:t>
      </w:r>
      <w:r w:rsidR="00A53616" w:rsidRPr="00766C75">
        <w:rPr>
          <w:rFonts w:ascii="Arial" w:hAnsi="Arial" w:cs="Arial"/>
          <w:color w:val="000000"/>
          <w:sz w:val="20"/>
          <w:szCs w:val="20"/>
          <w:lang w:val="en-US"/>
        </w:rPr>
        <w:t xml:space="preserve">, bridging the gap between spatial and </w:t>
      </w:r>
      <w:proofErr w:type="spellStart"/>
      <w:r w:rsidR="00A53616" w:rsidRPr="00766C75">
        <w:rPr>
          <w:rFonts w:ascii="Arial" w:hAnsi="Arial" w:cs="Arial"/>
          <w:color w:val="000000"/>
          <w:sz w:val="20"/>
          <w:szCs w:val="20"/>
          <w:lang w:val="en-US"/>
        </w:rPr>
        <w:t>aspatial</w:t>
      </w:r>
      <w:proofErr w:type="spellEnd"/>
      <w:r w:rsidR="00A53616" w:rsidRPr="00766C75">
        <w:rPr>
          <w:rFonts w:ascii="Arial" w:hAnsi="Arial" w:cs="Arial"/>
          <w:color w:val="000000"/>
          <w:sz w:val="20"/>
          <w:szCs w:val="20"/>
          <w:lang w:val="en-US"/>
        </w:rPr>
        <w:t xml:space="preserve"> policies </w:t>
      </w:r>
      <w:r w:rsidR="00A53616">
        <w:rPr>
          <w:rFonts w:ascii="Arial" w:hAnsi="Arial" w:cs="Arial"/>
          <w:noProof/>
          <w:color w:val="000000"/>
          <w:sz w:val="20"/>
          <w:szCs w:val="20"/>
          <w:lang w:val="en-US"/>
        </w:rPr>
        <w:t>(Bracken, 2014)</w:t>
      </w:r>
      <w:r w:rsidR="00A53616" w:rsidRPr="00766C75">
        <w:rPr>
          <w:rFonts w:ascii="Arial" w:hAnsi="Arial" w:cs="Arial"/>
          <w:color w:val="000000"/>
          <w:sz w:val="20"/>
          <w:szCs w:val="20"/>
          <w:lang w:val="en-US"/>
        </w:rPr>
        <w:t xml:space="preserve">. The concept ‘spatial’ is thus used its wider sense </w:t>
      </w:r>
      <w:r w:rsidR="00A53616">
        <w:rPr>
          <w:rFonts w:ascii="Arial" w:hAnsi="Arial" w:cs="Arial"/>
          <w:noProof/>
          <w:color w:val="000000"/>
          <w:sz w:val="20"/>
          <w:szCs w:val="20"/>
          <w:lang w:val="en-US"/>
        </w:rPr>
        <w:t>(Hall and Tewdwr-Jones, 2002)</w:t>
      </w:r>
      <w:r w:rsidR="00A53616" w:rsidRPr="00766C75">
        <w:rPr>
          <w:rFonts w:ascii="Arial" w:hAnsi="Arial" w:cs="Arial"/>
          <w:color w:val="000000"/>
          <w:sz w:val="20"/>
          <w:szCs w:val="20"/>
          <w:lang w:val="en-US"/>
        </w:rPr>
        <w:t xml:space="preserve">, extending to notions such as economy or psychology, rather than just being limited to three-dimensional geometrical spaces. </w:t>
      </w:r>
    </w:p>
    <w:p w14:paraId="51C72FB2" w14:textId="77777777" w:rsidR="00A53616" w:rsidRPr="00766C75" w:rsidRDefault="00A53616" w:rsidP="00766C75">
      <w:pPr>
        <w:spacing w:after="0" w:line="240" w:lineRule="auto"/>
        <w:jc w:val="both"/>
        <w:rPr>
          <w:rFonts w:ascii="Arial" w:hAnsi="Arial" w:cs="Arial"/>
          <w:color w:val="000000"/>
          <w:sz w:val="20"/>
          <w:szCs w:val="20"/>
          <w:lang w:val="en-US"/>
        </w:rPr>
      </w:pPr>
      <w:r w:rsidRPr="00766C75">
        <w:rPr>
          <w:rFonts w:ascii="Arial" w:hAnsi="Arial" w:cs="Arial"/>
          <w:color w:val="000000"/>
          <w:sz w:val="20"/>
          <w:szCs w:val="20"/>
          <w:lang w:val="en-US"/>
        </w:rPr>
        <w:t xml:space="preserve">Planning is strongly related to knowledge. Different authors emphasize that knowledge is at the core of planning. It can be argued that planning’s purpose is to handle multiple </w:t>
      </w:r>
      <w:proofErr w:type="spellStart"/>
      <w:r w:rsidRPr="00766C75">
        <w:rPr>
          <w:rFonts w:ascii="Arial" w:hAnsi="Arial" w:cs="Arial"/>
          <w:color w:val="000000"/>
          <w:sz w:val="20"/>
          <w:szCs w:val="20"/>
          <w:lang w:val="en-US"/>
        </w:rPr>
        <w:t>knowledges</w:t>
      </w:r>
      <w:proofErr w:type="spellEnd"/>
      <w:r w:rsidRPr="00766C75">
        <w:rPr>
          <w:rFonts w:ascii="Arial" w:hAnsi="Arial" w:cs="Arial"/>
          <w:color w:val="000000"/>
          <w:sz w:val="20"/>
          <w:szCs w:val="20"/>
          <w:lang w:val="en-US"/>
        </w:rPr>
        <w:t xml:space="preserve"> </w:t>
      </w:r>
      <w:r w:rsidRPr="00766C75">
        <w:rPr>
          <w:rFonts w:ascii="Arial" w:hAnsi="Arial" w:cs="Arial"/>
          <w:noProof/>
          <w:color w:val="000000"/>
          <w:sz w:val="20"/>
          <w:szCs w:val="20"/>
          <w:lang w:val="en-US"/>
        </w:rPr>
        <w:t>(Rydin, 2007, p. 55)</w:t>
      </w:r>
      <w:r w:rsidRPr="00766C75">
        <w:rPr>
          <w:rFonts w:ascii="Arial" w:hAnsi="Arial" w:cs="Arial"/>
          <w:color w:val="000000"/>
          <w:sz w:val="20"/>
          <w:szCs w:val="20"/>
          <w:lang w:val="en-US"/>
        </w:rPr>
        <w:t xml:space="preserve">, connecting them with actions in the public domain </w:t>
      </w:r>
      <w:r>
        <w:rPr>
          <w:rFonts w:ascii="Arial" w:hAnsi="Arial" w:cs="Arial"/>
          <w:noProof/>
          <w:color w:val="000000"/>
          <w:sz w:val="20"/>
          <w:szCs w:val="20"/>
          <w:lang w:val="en-US"/>
        </w:rPr>
        <w:t>(Friedmann, 1987)</w:t>
      </w:r>
      <w:r w:rsidRPr="00766C75">
        <w:rPr>
          <w:rFonts w:ascii="Arial" w:hAnsi="Arial" w:cs="Arial"/>
          <w:color w:val="000000"/>
          <w:sz w:val="20"/>
          <w:szCs w:val="20"/>
          <w:lang w:val="en-US"/>
        </w:rPr>
        <w:t xml:space="preserve">, which </w:t>
      </w:r>
      <w:r w:rsidRPr="00766C75">
        <w:rPr>
          <w:rFonts w:ascii="Arial" w:hAnsi="Arial" w:cs="Arial"/>
          <w:noProof/>
          <w:color w:val="000000"/>
          <w:sz w:val="20"/>
          <w:szCs w:val="20"/>
          <w:lang w:val="en-US"/>
        </w:rPr>
        <w:t>March (2012)</w:t>
      </w:r>
      <w:r w:rsidRPr="00766C75">
        <w:rPr>
          <w:rFonts w:ascii="Arial" w:hAnsi="Arial" w:cs="Arial"/>
          <w:color w:val="000000"/>
          <w:sz w:val="20"/>
          <w:szCs w:val="20"/>
          <w:lang w:val="en-US"/>
        </w:rPr>
        <w:t xml:space="preserve"> relates to </w:t>
      </w:r>
      <w:proofErr w:type="spellStart"/>
      <w:r w:rsidRPr="00766C75">
        <w:rPr>
          <w:rFonts w:ascii="Arial" w:hAnsi="Arial" w:cs="Arial"/>
          <w:color w:val="000000"/>
          <w:sz w:val="20"/>
          <w:szCs w:val="20"/>
          <w:lang w:val="en-US"/>
        </w:rPr>
        <w:t>Habermas</w:t>
      </w:r>
      <w:proofErr w:type="spellEnd"/>
      <w:r w:rsidRPr="00766C75">
        <w:rPr>
          <w:rFonts w:ascii="Arial" w:hAnsi="Arial" w:cs="Arial"/>
          <w:color w:val="000000"/>
          <w:sz w:val="20"/>
          <w:szCs w:val="20"/>
          <w:lang w:val="en-US"/>
        </w:rPr>
        <w:t xml:space="preserve">’ conception of knowing and steering. This recognizes that the role of planners is to develop possibilities for collective action by managing, facilitating and maintaining processes to know and steer, while recognizing and removing the range of impediments to it </w:t>
      </w:r>
      <w:r>
        <w:rPr>
          <w:rFonts w:ascii="Arial" w:hAnsi="Arial" w:cs="Arial"/>
          <w:noProof/>
          <w:color w:val="000000"/>
          <w:sz w:val="20"/>
          <w:szCs w:val="20"/>
          <w:lang w:val="en-US"/>
        </w:rPr>
        <w:t>(March, 2012)</w:t>
      </w:r>
      <w:r w:rsidRPr="00766C75">
        <w:rPr>
          <w:rFonts w:ascii="Arial" w:hAnsi="Arial" w:cs="Arial"/>
          <w:color w:val="000000"/>
          <w:sz w:val="20"/>
          <w:szCs w:val="20"/>
          <w:lang w:val="en-US"/>
        </w:rPr>
        <w:t xml:space="preserve">. Thus, planning – as a practice of knowing and steering - “seeks to ‘integrate’, to connect, different areas of knowledge and practice around a place-focus” </w:t>
      </w:r>
      <w:r>
        <w:rPr>
          <w:rFonts w:ascii="Arial" w:hAnsi="Arial" w:cs="Arial"/>
          <w:noProof/>
          <w:color w:val="000000"/>
          <w:sz w:val="20"/>
          <w:szCs w:val="20"/>
          <w:lang w:val="en-US"/>
        </w:rPr>
        <w:t>(Healey, 2007)</w:t>
      </w:r>
      <w:r w:rsidRPr="00766C75">
        <w:rPr>
          <w:rFonts w:ascii="Arial" w:hAnsi="Arial" w:cs="Arial"/>
          <w:color w:val="000000"/>
          <w:sz w:val="20"/>
          <w:szCs w:val="20"/>
          <w:lang w:val="en-US"/>
        </w:rPr>
        <w:t xml:space="preserve">. </w:t>
      </w:r>
    </w:p>
    <w:p w14:paraId="617D98AD" w14:textId="77777777" w:rsidR="00A53616" w:rsidRPr="00766C75" w:rsidRDefault="00A53616" w:rsidP="00766C75">
      <w:pPr>
        <w:spacing w:after="0" w:line="240" w:lineRule="auto"/>
        <w:jc w:val="both"/>
        <w:rPr>
          <w:rFonts w:ascii="Arial" w:hAnsi="Arial" w:cs="Arial"/>
          <w:color w:val="000000"/>
          <w:sz w:val="20"/>
          <w:szCs w:val="20"/>
          <w:lang w:val="en-US"/>
        </w:rPr>
      </w:pPr>
      <w:r w:rsidRPr="00766C75">
        <w:rPr>
          <w:rFonts w:ascii="Arial" w:hAnsi="Arial" w:cs="Arial"/>
          <w:color w:val="000000"/>
          <w:sz w:val="20"/>
          <w:szCs w:val="20"/>
          <w:lang w:val="en-US"/>
        </w:rPr>
        <w:t xml:space="preserve">Planning’s management of diverse </w:t>
      </w:r>
      <w:proofErr w:type="spellStart"/>
      <w:r w:rsidRPr="00766C75">
        <w:rPr>
          <w:rFonts w:ascii="Arial" w:hAnsi="Arial" w:cs="Arial"/>
          <w:color w:val="000000"/>
          <w:sz w:val="20"/>
          <w:szCs w:val="20"/>
          <w:lang w:val="en-US"/>
        </w:rPr>
        <w:t>knowledges</w:t>
      </w:r>
      <w:proofErr w:type="spellEnd"/>
      <w:r w:rsidRPr="00766C75">
        <w:rPr>
          <w:rFonts w:ascii="Arial" w:hAnsi="Arial" w:cs="Arial"/>
          <w:color w:val="000000"/>
          <w:sz w:val="20"/>
          <w:szCs w:val="20"/>
          <w:lang w:val="en-US"/>
        </w:rPr>
        <w:t xml:space="preserve">, and relating them to actions occurs as a process, a more exploratory and instructive variant of the systems’ methodology </w:t>
      </w:r>
      <w:r>
        <w:rPr>
          <w:rFonts w:ascii="Arial" w:hAnsi="Arial" w:cs="Arial"/>
          <w:noProof/>
          <w:color w:val="000000"/>
          <w:sz w:val="20"/>
          <w:szCs w:val="20"/>
          <w:lang w:val="en-US"/>
        </w:rPr>
        <w:t>(Hall and Tewdwr-Jones, 2002)</w:t>
      </w:r>
      <w:r w:rsidRPr="00766C75">
        <w:rPr>
          <w:rFonts w:ascii="Arial" w:hAnsi="Arial" w:cs="Arial"/>
          <w:color w:val="000000"/>
          <w:sz w:val="20"/>
          <w:szCs w:val="20"/>
          <w:lang w:val="en-US"/>
        </w:rPr>
        <w:t xml:space="preserve">. It tries to examine alternative actions by tracing their likely consequences for helping decision makers and communities to resolve their problems in a clear and logical manner while acknowledging underlying matters such as growth or equity, without claiming unique expertise or ability to solve complex problems instantly </w:t>
      </w:r>
      <w:r>
        <w:rPr>
          <w:rFonts w:ascii="Arial" w:hAnsi="Arial" w:cs="Arial"/>
          <w:noProof/>
          <w:color w:val="000000"/>
          <w:sz w:val="20"/>
          <w:szCs w:val="20"/>
          <w:lang w:val="en-US"/>
        </w:rPr>
        <w:t>(Hall and Tewdwr-Jones, 2002)</w:t>
      </w:r>
      <w:r w:rsidRPr="00766C75">
        <w:rPr>
          <w:rFonts w:ascii="Arial" w:hAnsi="Arial" w:cs="Arial"/>
          <w:color w:val="000000"/>
          <w:sz w:val="20"/>
          <w:szCs w:val="20"/>
          <w:lang w:val="en-US"/>
        </w:rPr>
        <w:t xml:space="preserve">. This implies that the knowledge generated, validated and applied by the planning system is no longer only considered </w:t>
      </w:r>
      <w:r w:rsidRPr="00766C75">
        <w:rPr>
          <w:rFonts w:ascii="Arial" w:hAnsi="Arial" w:cs="Arial"/>
          <w:i/>
          <w:color w:val="000000"/>
          <w:sz w:val="20"/>
          <w:szCs w:val="20"/>
          <w:lang w:val="en-US"/>
        </w:rPr>
        <w:t>scientific</w:t>
      </w:r>
      <w:r w:rsidRPr="00766C75">
        <w:rPr>
          <w:rFonts w:ascii="Arial" w:hAnsi="Arial" w:cs="Arial"/>
          <w:color w:val="000000"/>
          <w:sz w:val="20"/>
          <w:szCs w:val="20"/>
          <w:lang w:val="en-US"/>
        </w:rPr>
        <w:t xml:space="preserve"> knowledge generated by </w:t>
      </w:r>
      <w:r w:rsidRPr="00766C75">
        <w:rPr>
          <w:rFonts w:ascii="Arial" w:hAnsi="Arial" w:cs="Arial"/>
          <w:i/>
          <w:color w:val="000000"/>
          <w:sz w:val="20"/>
          <w:szCs w:val="20"/>
          <w:lang w:val="en-US"/>
        </w:rPr>
        <w:t>experts</w:t>
      </w:r>
      <w:r w:rsidRPr="00766C75">
        <w:rPr>
          <w:rFonts w:ascii="Arial" w:hAnsi="Arial" w:cs="Arial"/>
          <w:color w:val="000000"/>
          <w:sz w:val="20"/>
          <w:szCs w:val="20"/>
          <w:lang w:val="en-US"/>
        </w:rPr>
        <w:t xml:space="preserve">. </w:t>
      </w:r>
    </w:p>
    <w:p w14:paraId="2A571CF6" w14:textId="77777777" w:rsidR="00A53616" w:rsidRPr="00766C75" w:rsidRDefault="00A53616" w:rsidP="00766C75">
      <w:pPr>
        <w:spacing w:after="0" w:line="240" w:lineRule="auto"/>
        <w:jc w:val="both"/>
        <w:rPr>
          <w:rFonts w:ascii="Arial" w:hAnsi="Arial" w:cs="Arial"/>
          <w:color w:val="000000"/>
          <w:sz w:val="20"/>
          <w:szCs w:val="20"/>
          <w:lang w:val="en-US"/>
        </w:rPr>
      </w:pPr>
      <w:r w:rsidRPr="00766C75">
        <w:rPr>
          <w:rFonts w:ascii="Arial" w:hAnsi="Arial" w:cs="Arial"/>
          <w:color w:val="000000"/>
          <w:sz w:val="20"/>
          <w:szCs w:val="20"/>
          <w:lang w:val="en-US"/>
        </w:rPr>
        <w:t xml:space="preserve">There are formal and informal practices, as well as different types of knowledge and knowers involved in the development, transfer, validation, and application of knowledge within the planning system. This responds to an understanding of planning as a continuous process of adapting and evolving to adjust its responses to internal and external drivers by transferring, testing and storing experiences. Instead of focusing on arguing for an ‘ideal’ planning process, this section will focus on considering </w:t>
      </w:r>
      <w:r w:rsidRPr="00766C75">
        <w:rPr>
          <w:rFonts w:ascii="Arial" w:hAnsi="Arial" w:cs="Arial"/>
          <w:i/>
          <w:color w:val="000000"/>
          <w:sz w:val="20"/>
          <w:szCs w:val="20"/>
          <w:lang w:val="en-US"/>
        </w:rPr>
        <w:t xml:space="preserve">who </w:t>
      </w:r>
      <w:r w:rsidRPr="00766C75">
        <w:rPr>
          <w:rFonts w:ascii="Arial" w:hAnsi="Arial" w:cs="Arial"/>
          <w:color w:val="000000"/>
          <w:sz w:val="20"/>
          <w:szCs w:val="20"/>
          <w:lang w:val="en-US"/>
        </w:rPr>
        <w:t xml:space="preserve">possesses the knowledge, </w:t>
      </w:r>
      <w:r w:rsidRPr="00766C75">
        <w:rPr>
          <w:rFonts w:ascii="Arial" w:hAnsi="Arial" w:cs="Arial"/>
          <w:i/>
          <w:color w:val="000000"/>
          <w:sz w:val="20"/>
          <w:szCs w:val="20"/>
          <w:lang w:val="en-US"/>
        </w:rPr>
        <w:t>who</w:t>
      </w:r>
      <w:r w:rsidRPr="00766C75">
        <w:rPr>
          <w:rFonts w:ascii="Arial" w:hAnsi="Arial" w:cs="Arial"/>
          <w:color w:val="000000"/>
          <w:sz w:val="20"/>
          <w:szCs w:val="20"/>
          <w:lang w:val="en-US"/>
        </w:rPr>
        <w:t xml:space="preserve"> constructs it, </w:t>
      </w:r>
      <w:r w:rsidRPr="00766C75">
        <w:rPr>
          <w:rFonts w:ascii="Arial" w:hAnsi="Arial" w:cs="Arial"/>
          <w:i/>
          <w:color w:val="000000"/>
          <w:sz w:val="20"/>
          <w:szCs w:val="20"/>
          <w:lang w:val="en-US"/>
        </w:rPr>
        <w:t xml:space="preserve">how </w:t>
      </w:r>
      <w:r w:rsidRPr="00766C75">
        <w:rPr>
          <w:rFonts w:ascii="Arial" w:hAnsi="Arial" w:cs="Arial"/>
          <w:color w:val="000000"/>
          <w:sz w:val="20"/>
          <w:szCs w:val="20"/>
          <w:lang w:val="en-US"/>
        </w:rPr>
        <w:t xml:space="preserve">it is constructed, and </w:t>
      </w:r>
      <w:r w:rsidRPr="00766C75">
        <w:rPr>
          <w:rFonts w:ascii="Arial" w:hAnsi="Arial" w:cs="Arial"/>
          <w:i/>
          <w:color w:val="000000"/>
          <w:sz w:val="20"/>
          <w:szCs w:val="20"/>
          <w:lang w:val="en-US"/>
        </w:rPr>
        <w:t>what</w:t>
      </w:r>
      <w:r w:rsidRPr="00766C75">
        <w:rPr>
          <w:rFonts w:ascii="Arial" w:hAnsi="Arial" w:cs="Arial"/>
          <w:color w:val="000000"/>
          <w:sz w:val="20"/>
          <w:szCs w:val="20"/>
          <w:lang w:val="en-US"/>
        </w:rPr>
        <w:t xml:space="preserve"> types of knowledge are included, to examine urban planning’s role when dealing with knowledge about bushfire risk management in Victoria.</w:t>
      </w:r>
    </w:p>
    <w:p w14:paraId="6AFEC35C" w14:textId="1B868193" w:rsidR="00A53616" w:rsidRPr="00766C75" w:rsidRDefault="00A53616" w:rsidP="003E4C2B">
      <w:pPr>
        <w:spacing w:after="0" w:line="240" w:lineRule="auto"/>
        <w:jc w:val="both"/>
        <w:rPr>
          <w:rFonts w:ascii="Arial" w:hAnsi="Arial" w:cs="Arial"/>
          <w:color w:val="000000"/>
          <w:sz w:val="20"/>
          <w:szCs w:val="20"/>
          <w:lang w:val="en-US"/>
        </w:rPr>
      </w:pPr>
      <w:r w:rsidRPr="00766C75">
        <w:rPr>
          <w:rFonts w:ascii="Arial" w:hAnsi="Arial" w:cs="Arial"/>
          <w:color w:val="000000"/>
          <w:sz w:val="20"/>
          <w:szCs w:val="20"/>
          <w:lang w:val="en-US"/>
        </w:rPr>
        <w:t xml:space="preserve">When considering </w:t>
      </w:r>
      <w:r w:rsidRPr="00766C75">
        <w:rPr>
          <w:rFonts w:ascii="Arial" w:hAnsi="Arial" w:cs="Arial"/>
          <w:i/>
          <w:color w:val="000000"/>
          <w:sz w:val="20"/>
          <w:szCs w:val="20"/>
          <w:lang w:val="en-US"/>
        </w:rPr>
        <w:t>who</w:t>
      </w:r>
      <w:r w:rsidRPr="00766C75">
        <w:rPr>
          <w:rFonts w:ascii="Arial" w:hAnsi="Arial" w:cs="Arial"/>
          <w:color w:val="000000"/>
          <w:sz w:val="20"/>
          <w:szCs w:val="20"/>
          <w:lang w:val="en-US"/>
        </w:rPr>
        <w:t xml:space="preserve"> possesses the knowledge, it is important to point out that contemporary planning theory emphasizes </w:t>
      </w:r>
      <w:proofErr w:type="gramStart"/>
      <w:r w:rsidRPr="00766C75">
        <w:rPr>
          <w:rFonts w:ascii="Arial" w:hAnsi="Arial" w:cs="Arial"/>
          <w:color w:val="000000"/>
          <w:sz w:val="20"/>
          <w:szCs w:val="20"/>
          <w:lang w:val="en-US"/>
        </w:rPr>
        <w:t xml:space="preserve">that </w:t>
      </w:r>
      <w:r w:rsidR="003E4C2B">
        <w:rPr>
          <w:rFonts w:ascii="Arial" w:hAnsi="Arial" w:cs="Arial"/>
          <w:color w:val="000000"/>
          <w:sz w:val="20"/>
          <w:szCs w:val="20"/>
          <w:lang w:val="en-US"/>
        </w:rPr>
        <w:t xml:space="preserve">considerable </w:t>
      </w:r>
      <w:r w:rsidRPr="00766C75">
        <w:rPr>
          <w:rFonts w:ascii="Arial" w:hAnsi="Arial" w:cs="Arial"/>
          <w:color w:val="000000"/>
          <w:sz w:val="20"/>
          <w:szCs w:val="20"/>
          <w:lang w:val="en-US"/>
        </w:rPr>
        <w:t xml:space="preserve">knowledge is held outside the planning system, by </w:t>
      </w:r>
      <w:r w:rsidR="003E4C2B">
        <w:rPr>
          <w:rFonts w:ascii="Arial" w:hAnsi="Arial" w:cs="Arial"/>
          <w:color w:val="000000"/>
          <w:sz w:val="20"/>
          <w:szCs w:val="20"/>
          <w:lang w:val="en-US"/>
        </w:rPr>
        <w:t xml:space="preserve">actors </w:t>
      </w:r>
      <w:r w:rsidRPr="00766C75">
        <w:rPr>
          <w:rFonts w:ascii="Arial" w:hAnsi="Arial" w:cs="Arial"/>
          <w:color w:val="000000"/>
          <w:sz w:val="20"/>
          <w:szCs w:val="20"/>
          <w:lang w:val="en-US"/>
        </w:rPr>
        <w:t>other than professional planners</w:t>
      </w:r>
      <w:proofErr w:type="gramEnd"/>
      <w:r w:rsidRPr="00766C75">
        <w:rPr>
          <w:rFonts w:ascii="Arial" w:hAnsi="Arial" w:cs="Arial"/>
          <w:color w:val="000000"/>
          <w:sz w:val="20"/>
          <w:szCs w:val="20"/>
          <w:lang w:val="en-US"/>
        </w:rPr>
        <w:t xml:space="preserve"> </w:t>
      </w:r>
      <w:r w:rsidRPr="00766C75">
        <w:rPr>
          <w:rFonts w:ascii="Arial" w:hAnsi="Arial" w:cs="Arial"/>
          <w:noProof/>
          <w:color w:val="000000"/>
          <w:sz w:val="20"/>
          <w:szCs w:val="20"/>
          <w:lang w:val="en-US"/>
        </w:rPr>
        <w:t>(Rydin, 2007, p. 55)</w:t>
      </w:r>
      <w:r w:rsidRPr="00766C75">
        <w:rPr>
          <w:rFonts w:ascii="Arial" w:hAnsi="Arial" w:cs="Arial"/>
          <w:color w:val="000000"/>
          <w:sz w:val="20"/>
          <w:szCs w:val="20"/>
          <w:lang w:val="en-US"/>
        </w:rPr>
        <w:t xml:space="preserve">. It is now generally accepted that local knowledge is required to contextualize scientific knowledge. Based on this, </w:t>
      </w:r>
      <w:r>
        <w:rPr>
          <w:rFonts w:ascii="Arial" w:hAnsi="Arial" w:cs="Arial"/>
          <w:noProof/>
          <w:color w:val="000000"/>
          <w:sz w:val="20"/>
          <w:szCs w:val="20"/>
          <w:lang w:val="en-US"/>
        </w:rPr>
        <w:t>Rydin (2007)</w:t>
      </w:r>
      <w:r w:rsidRPr="00766C75">
        <w:rPr>
          <w:rFonts w:ascii="Arial" w:hAnsi="Arial" w:cs="Arial"/>
          <w:color w:val="000000"/>
          <w:sz w:val="20"/>
          <w:szCs w:val="20"/>
          <w:lang w:val="en-US"/>
        </w:rPr>
        <w:t xml:space="preserve"> supports that a ‘new orthodoxy’ is emerging around the idea that planning’s core should be to engage with a range of stakeholders seeking consensus, such as via Communicative Planning </w:t>
      </w:r>
      <w:r w:rsidRPr="00766C75">
        <w:rPr>
          <w:rFonts w:ascii="Arial" w:hAnsi="Arial" w:cs="Arial"/>
          <w:noProof/>
          <w:color w:val="000000"/>
          <w:sz w:val="20"/>
          <w:szCs w:val="20"/>
          <w:lang w:val="en-US"/>
        </w:rPr>
        <w:t>(Innes, 1998)</w:t>
      </w:r>
      <w:r w:rsidRPr="00766C75">
        <w:rPr>
          <w:rFonts w:ascii="Arial" w:hAnsi="Arial" w:cs="Arial"/>
          <w:color w:val="000000"/>
          <w:sz w:val="20"/>
          <w:szCs w:val="20"/>
          <w:lang w:val="en-US"/>
        </w:rPr>
        <w:t xml:space="preserve">. From this perspective, a variety of actors from different contexts hold valuable knowledge for the planning process. However, participatory planning process might not ensure that the appropriate knowledge guides </w:t>
      </w:r>
      <w:proofErr w:type="gramStart"/>
      <w:r w:rsidRPr="00766C75">
        <w:rPr>
          <w:rFonts w:ascii="Arial" w:hAnsi="Arial" w:cs="Arial"/>
          <w:color w:val="000000"/>
          <w:sz w:val="20"/>
          <w:szCs w:val="20"/>
          <w:lang w:val="en-US"/>
        </w:rPr>
        <w:t>decision making</w:t>
      </w:r>
      <w:proofErr w:type="gramEnd"/>
      <w:r w:rsidRPr="00766C75">
        <w:rPr>
          <w:rFonts w:ascii="Arial" w:hAnsi="Arial" w:cs="Arial"/>
          <w:color w:val="000000"/>
          <w:sz w:val="20"/>
          <w:szCs w:val="20"/>
          <w:lang w:val="en-US"/>
        </w:rPr>
        <w:t xml:space="preserve">. Also, by including everyone’s opinion in </w:t>
      </w:r>
      <w:r w:rsidR="00C36B8E">
        <w:rPr>
          <w:rFonts w:ascii="Arial" w:hAnsi="Arial" w:cs="Arial"/>
          <w:color w:val="000000"/>
          <w:sz w:val="20"/>
          <w:szCs w:val="20"/>
          <w:lang w:val="en-US"/>
        </w:rPr>
        <w:t xml:space="preserve">the </w:t>
      </w:r>
      <w:r w:rsidRPr="00766C75">
        <w:rPr>
          <w:rFonts w:ascii="Arial" w:hAnsi="Arial" w:cs="Arial"/>
          <w:color w:val="000000"/>
          <w:sz w:val="20"/>
          <w:szCs w:val="20"/>
          <w:lang w:val="en-US"/>
        </w:rPr>
        <w:t xml:space="preserve">decision-making, the ability for decisive strong action is often reduced </w:t>
      </w:r>
      <w:r>
        <w:rPr>
          <w:rFonts w:ascii="Arial" w:hAnsi="Arial" w:cs="Arial"/>
          <w:noProof/>
          <w:color w:val="000000"/>
          <w:sz w:val="20"/>
          <w:szCs w:val="20"/>
          <w:lang w:val="en-US"/>
        </w:rPr>
        <w:t>(March, 2012)</w:t>
      </w:r>
      <w:r w:rsidRPr="00766C75">
        <w:rPr>
          <w:rFonts w:ascii="Arial" w:hAnsi="Arial" w:cs="Arial"/>
          <w:color w:val="000000"/>
          <w:sz w:val="20"/>
          <w:szCs w:val="20"/>
          <w:lang w:val="en-US"/>
        </w:rPr>
        <w:t xml:space="preserve">. A valuable perspective to this discussion is provided by </w:t>
      </w:r>
      <w:r>
        <w:rPr>
          <w:rFonts w:ascii="Arial" w:hAnsi="Arial" w:cs="Arial"/>
          <w:noProof/>
          <w:color w:val="000000"/>
          <w:sz w:val="20"/>
          <w:szCs w:val="20"/>
          <w:lang w:val="en-US"/>
        </w:rPr>
        <w:t>Rydin (2007</w:t>
      </w:r>
      <w:r w:rsidR="00C36B8E">
        <w:rPr>
          <w:rFonts w:ascii="Arial" w:hAnsi="Arial" w:cs="Arial"/>
          <w:noProof/>
          <w:color w:val="000000"/>
          <w:sz w:val="20"/>
          <w:szCs w:val="20"/>
          <w:lang w:val="en-US"/>
        </w:rPr>
        <w:t>, p. 56</w:t>
      </w:r>
      <w:r>
        <w:rPr>
          <w:rFonts w:ascii="Arial" w:hAnsi="Arial" w:cs="Arial"/>
          <w:noProof/>
          <w:color w:val="000000"/>
          <w:sz w:val="20"/>
          <w:szCs w:val="20"/>
          <w:lang w:val="en-US"/>
        </w:rPr>
        <w:t>)</w:t>
      </w:r>
      <w:r w:rsidRPr="00766C75">
        <w:rPr>
          <w:rFonts w:ascii="Arial" w:hAnsi="Arial" w:cs="Arial"/>
          <w:color w:val="000000"/>
          <w:sz w:val="20"/>
          <w:szCs w:val="20"/>
          <w:lang w:val="en-US"/>
        </w:rPr>
        <w:t xml:space="preserve">, arguing that </w:t>
      </w:r>
      <w:r w:rsidR="00C36B8E">
        <w:rPr>
          <w:rFonts w:ascii="Arial" w:hAnsi="Arial" w:cs="Arial"/>
          <w:color w:val="000000"/>
          <w:sz w:val="20"/>
          <w:szCs w:val="20"/>
          <w:lang w:val="en-US"/>
        </w:rPr>
        <w:t xml:space="preserve">it is </w:t>
      </w:r>
      <w:r w:rsidRPr="00766C75">
        <w:rPr>
          <w:rFonts w:ascii="Arial" w:hAnsi="Arial" w:cs="Arial"/>
          <w:color w:val="000000"/>
          <w:sz w:val="20"/>
          <w:szCs w:val="20"/>
          <w:lang w:val="en-US"/>
        </w:rPr>
        <w:t xml:space="preserve">“necessary to acknowledge that engaging different </w:t>
      </w:r>
      <w:proofErr w:type="spellStart"/>
      <w:r w:rsidRPr="00766C75">
        <w:rPr>
          <w:rFonts w:ascii="Arial" w:hAnsi="Arial" w:cs="Arial"/>
          <w:color w:val="000000"/>
          <w:sz w:val="20"/>
          <w:szCs w:val="20"/>
          <w:lang w:val="en-US"/>
        </w:rPr>
        <w:t>knowledges</w:t>
      </w:r>
      <w:proofErr w:type="spellEnd"/>
      <w:r w:rsidRPr="00766C75">
        <w:rPr>
          <w:rFonts w:ascii="Arial" w:hAnsi="Arial" w:cs="Arial"/>
          <w:color w:val="000000"/>
          <w:sz w:val="20"/>
          <w:szCs w:val="20"/>
          <w:lang w:val="en-US"/>
        </w:rPr>
        <w:t xml:space="preserve"> is fundamentally different to engaging different voices”, suggesting a need to recast knowledge as knowledge claims that contribute to understand casual relationships from other claims that the participants may make. </w:t>
      </w:r>
    </w:p>
    <w:p w14:paraId="4A9990E4" w14:textId="12259C14" w:rsidR="00A53616" w:rsidRPr="00766C75" w:rsidRDefault="00A53616" w:rsidP="00766C75">
      <w:pPr>
        <w:spacing w:after="0" w:line="240" w:lineRule="auto"/>
        <w:jc w:val="both"/>
        <w:rPr>
          <w:rFonts w:ascii="Arial" w:hAnsi="Arial" w:cs="Arial"/>
          <w:color w:val="000000"/>
          <w:sz w:val="20"/>
          <w:szCs w:val="20"/>
          <w:lang w:val="en-US"/>
        </w:rPr>
      </w:pPr>
      <w:r w:rsidRPr="00766C75">
        <w:rPr>
          <w:rFonts w:ascii="Arial" w:hAnsi="Arial" w:cs="Arial"/>
          <w:color w:val="000000"/>
          <w:sz w:val="20"/>
          <w:szCs w:val="20"/>
          <w:lang w:val="en-US"/>
        </w:rPr>
        <w:t xml:space="preserve">When facing the question of </w:t>
      </w:r>
      <w:r w:rsidRPr="00766C75">
        <w:rPr>
          <w:rFonts w:ascii="Arial" w:hAnsi="Arial" w:cs="Arial"/>
          <w:i/>
          <w:color w:val="000000"/>
          <w:sz w:val="20"/>
          <w:szCs w:val="20"/>
          <w:lang w:val="en-US"/>
        </w:rPr>
        <w:t>who</w:t>
      </w:r>
      <w:r w:rsidRPr="00766C75">
        <w:rPr>
          <w:rFonts w:ascii="Arial" w:hAnsi="Arial" w:cs="Arial"/>
          <w:color w:val="000000"/>
          <w:sz w:val="20"/>
          <w:szCs w:val="20"/>
          <w:lang w:val="en-US"/>
        </w:rPr>
        <w:t xml:space="preserve"> constructs the knowledge, at first impression, it would seem likely that it is related primarily to planners, but this would overlook the fact that knowers are considered to be a variety of actors. Understanding of who constructs the knowledge must take into account the role of knowers outside the planning system as well as the one of planners as professional practitioners. In fact, </w:t>
      </w:r>
      <w:r>
        <w:rPr>
          <w:rFonts w:ascii="Arial" w:hAnsi="Arial" w:cs="Arial"/>
          <w:noProof/>
          <w:color w:val="000000"/>
          <w:sz w:val="20"/>
          <w:szCs w:val="20"/>
          <w:lang w:val="en-US"/>
        </w:rPr>
        <w:t>Alexander (2005)</w:t>
      </w:r>
      <w:r w:rsidRPr="00766C75">
        <w:rPr>
          <w:rFonts w:ascii="Arial" w:hAnsi="Arial" w:cs="Arial"/>
          <w:color w:val="000000"/>
          <w:sz w:val="20"/>
          <w:szCs w:val="20"/>
          <w:lang w:val="en-US"/>
        </w:rPr>
        <w:t xml:space="preserve"> proposes that two </w:t>
      </w:r>
      <w:r w:rsidR="00A42F9A" w:rsidRPr="00766C75">
        <w:rPr>
          <w:rFonts w:ascii="Arial" w:hAnsi="Arial" w:cs="Arial"/>
          <w:color w:val="000000"/>
          <w:sz w:val="20"/>
          <w:szCs w:val="20"/>
          <w:lang w:val="en-US"/>
        </w:rPr>
        <w:t>kinds</w:t>
      </w:r>
      <w:r w:rsidRPr="00766C75">
        <w:rPr>
          <w:rFonts w:ascii="Arial" w:hAnsi="Arial" w:cs="Arial"/>
          <w:color w:val="000000"/>
          <w:sz w:val="20"/>
          <w:szCs w:val="20"/>
          <w:lang w:val="en-US"/>
        </w:rPr>
        <w:t xml:space="preserve"> of planners can be identified: all people in active roles in the planning process as well as trained practitioners. Conceptualizing people involved in the process – such as activists, residents, community members, elected representatives, consultants – as planners emphasizes the active role that could have the diverse knowers involved in the process.  However, despite the inherent outsourcing of knowledge required for planning, the role of planners as </w:t>
      </w:r>
      <w:r w:rsidRPr="00766C75">
        <w:rPr>
          <w:rFonts w:ascii="Arial" w:hAnsi="Arial" w:cs="Arial"/>
          <w:color w:val="000000"/>
          <w:sz w:val="20"/>
          <w:szCs w:val="20"/>
          <w:lang w:val="en-US"/>
        </w:rPr>
        <w:lastRenderedPageBreak/>
        <w:t xml:space="preserve">expert practitioners that add value to the process should not be overlooked. Rather than further arguing who should be considered a planner, this paper supports that knowledge is co-constructed by all people actively involved in the planning process as well as trained practitioners, all having an important role in the process that should not stand alone without the others. </w:t>
      </w:r>
    </w:p>
    <w:p w14:paraId="00584709" w14:textId="77777777" w:rsidR="00A53616" w:rsidRPr="00766C75" w:rsidRDefault="00A53616" w:rsidP="00766C75">
      <w:pPr>
        <w:spacing w:after="0" w:line="240" w:lineRule="auto"/>
        <w:jc w:val="both"/>
        <w:rPr>
          <w:rFonts w:ascii="Arial" w:hAnsi="Arial" w:cs="Arial"/>
          <w:color w:val="000000"/>
          <w:sz w:val="20"/>
          <w:szCs w:val="20"/>
          <w:lang w:val="en-US"/>
        </w:rPr>
      </w:pPr>
      <w:r w:rsidRPr="00766C75">
        <w:rPr>
          <w:rFonts w:ascii="Arial" w:hAnsi="Arial" w:cs="Arial"/>
          <w:color w:val="000000"/>
          <w:sz w:val="20"/>
          <w:szCs w:val="20"/>
          <w:lang w:val="en-US"/>
        </w:rPr>
        <w:t xml:space="preserve">In terms of </w:t>
      </w:r>
      <w:r w:rsidRPr="00766C75">
        <w:rPr>
          <w:rFonts w:ascii="Arial" w:hAnsi="Arial" w:cs="Arial"/>
          <w:i/>
          <w:color w:val="000000"/>
          <w:sz w:val="20"/>
          <w:szCs w:val="20"/>
          <w:lang w:val="en-US"/>
        </w:rPr>
        <w:t>how</w:t>
      </w:r>
      <w:r w:rsidRPr="00766C75">
        <w:rPr>
          <w:rFonts w:ascii="Arial" w:hAnsi="Arial" w:cs="Arial"/>
          <w:color w:val="000000"/>
          <w:sz w:val="20"/>
          <w:szCs w:val="20"/>
          <w:lang w:val="en-US"/>
        </w:rPr>
        <w:t xml:space="preserve"> it is constructed, knowledge development within the planning system is viewed in this paper as developed through a process of creatively reframing understandings to give new meaning </w:t>
      </w:r>
      <w:r w:rsidRPr="00766C75">
        <w:rPr>
          <w:rFonts w:ascii="Arial" w:hAnsi="Arial" w:cs="Arial"/>
          <w:noProof/>
          <w:color w:val="000000"/>
          <w:sz w:val="20"/>
          <w:szCs w:val="20"/>
          <w:lang w:val="en-US"/>
        </w:rPr>
        <w:t>(Healey, 2007)</w:t>
      </w:r>
      <w:r w:rsidRPr="00766C75">
        <w:rPr>
          <w:rFonts w:ascii="Arial" w:hAnsi="Arial" w:cs="Arial"/>
          <w:color w:val="000000"/>
          <w:sz w:val="20"/>
          <w:szCs w:val="20"/>
          <w:lang w:val="en-US"/>
        </w:rPr>
        <w:t xml:space="preserve">. </w:t>
      </w:r>
      <w:r>
        <w:rPr>
          <w:rFonts w:ascii="Arial" w:hAnsi="Arial" w:cs="Arial"/>
          <w:noProof/>
          <w:color w:val="000000"/>
          <w:sz w:val="20"/>
          <w:szCs w:val="20"/>
          <w:lang w:val="en-US"/>
        </w:rPr>
        <w:t>Healey (2007)</w:t>
      </w:r>
      <w:r w:rsidRPr="00766C75">
        <w:rPr>
          <w:rFonts w:ascii="Arial" w:hAnsi="Arial" w:cs="Arial"/>
          <w:color w:val="000000"/>
          <w:sz w:val="20"/>
          <w:szCs w:val="20"/>
          <w:lang w:val="en-US"/>
        </w:rPr>
        <w:t xml:space="preserve"> supports that the construction of knowledge is achieved through the process of accessing, interpreting and re-assembling knowledge. Through this process of creative discovery and systematized learning, new and socially situated sense is generated from information. Thus, the development of knowledge is not accumulating information – or voices – but generating understandings through the creation of meaning. In practice the process of knowledge development usually proceeds in interactive, contested and uneven ways, rather than in a linear sequence </w:t>
      </w:r>
      <w:r>
        <w:rPr>
          <w:rFonts w:ascii="Arial" w:hAnsi="Arial" w:cs="Arial"/>
          <w:noProof/>
          <w:color w:val="000000"/>
          <w:sz w:val="20"/>
          <w:szCs w:val="20"/>
          <w:lang w:val="en-US"/>
        </w:rPr>
        <w:t>(Healey, 2007)</w:t>
      </w:r>
      <w:r w:rsidRPr="00766C75">
        <w:rPr>
          <w:rFonts w:ascii="Arial" w:hAnsi="Arial" w:cs="Arial"/>
          <w:color w:val="000000"/>
          <w:sz w:val="20"/>
          <w:szCs w:val="20"/>
          <w:lang w:val="en-US"/>
        </w:rPr>
        <w:t xml:space="preserve">. </w:t>
      </w:r>
    </w:p>
    <w:p w14:paraId="55A9CD54" w14:textId="47E15D2B" w:rsidR="00A53616" w:rsidRPr="00766C75" w:rsidRDefault="00A53616" w:rsidP="00766C75">
      <w:pPr>
        <w:spacing w:after="0" w:line="240" w:lineRule="auto"/>
        <w:jc w:val="both"/>
        <w:rPr>
          <w:rFonts w:ascii="Arial" w:hAnsi="Arial" w:cs="Arial"/>
          <w:color w:val="000000"/>
          <w:sz w:val="20"/>
          <w:szCs w:val="20"/>
          <w:lang w:val="en-US"/>
        </w:rPr>
      </w:pPr>
      <w:r w:rsidRPr="00766C75">
        <w:rPr>
          <w:rFonts w:ascii="Arial" w:hAnsi="Arial" w:cs="Arial"/>
          <w:color w:val="000000"/>
          <w:sz w:val="20"/>
          <w:szCs w:val="20"/>
          <w:lang w:val="en-US"/>
        </w:rPr>
        <w:t xml:space="preserve">In terms of </w:t>
      </w:r>
      <w:r w:rsidRPr="00766C75">
        <w:rPr>
          <w:rFonts w:ascii="Arial" w:hAnsi="Arial" w:cs="Arial"/>
          <w:i/>
          <w:color w:val="000000"/>
          <w:sz w:val="20"/>
          <w:szCs w:val="20"/>
          <w:lang w:val="en-US"/>
        </w:rPr>
        <w:t>what</w:t>
      </w:r>
      <w:r w:rsidRPr="00766C75">
        <w:rPr>
          <w:rFonts w:ascii="Arial" w:hAnsi="Arial" w:cs="Arial"/>
          <w:color w:val="000000"/>
          <w:sz w:val="20"/>
          <w:szCs w:val="20"/>
          <w:lang w:val="en-US"/>
        </w:rPr>
        <w:t xml:space="preserve"> types of knowledge, the planning literature addresses the various kinds of knowledge that are or should be involved in the planning process </w:t>
      </w:r>
      <w:r>
        <w:rPr>
          <w:rFonts w:ascii="Arial" w:hAnsi="Arial" w:cs="Arial"/>
          <w:noProof/>
          <w:color w:val="000000"/>
          <w:sz w:val="20"/>
          <w:szCs w:val="20"/>
          <w:lang w:val="en-US"/>
        </w:rPr>
        <w:t>(Alexander, 2005, Healey, 2007, Durning et al., 2010, Solesbury, 2002, Davoudi, 2015)</w:t>
      </w:r>
      <w:r w:rsidRPr="00766C75">
        <w:rPr>
          <w:rFonts w:ascii="Arial" w:hAnsi="Arial" w:cs="Arial"/>
          <w:color w:val="000000"/>
          <w:sz w:val="20"/>
          <w:szCs w:val="20"/>
          <w:lang w:val="en-US"/>
        </w:rPr>
        <w:t xml:space="preserve">. For instance, </w:t>
      </w:r>
      <w:r>
        <w:rPr>
          <w:rFonts w:ascii="Arial" w:hAnsi="Arial" w:cs="Arial"/>
          <w:noProof/>
          <w:color w:val="000000"/>
          <w:sz w:val="20"/>
          <w:szCs w:val="20"/>
          <w:lang w:val="en-US"/>
        </w:rPr>
        <w:t>Alexander (2005)</w:t>
      </w:r>
      <w:r w:rsidRPr="00766C75">
        <w:rPr>
          <w:rFonts w:ascii="Arial" w:hAnsi="Arial" w:cs="Arial"/>
          <w:color w:val="000000"/>
          <w:sz w:val="20"/>
          <w:szCs w:val="20"/>
          <w:lang w:val="en-US"/>
        </w:rPr>
        <w:t xml:space="preserve"> differentiates systematic-scientific, </w:t>
      </w:r>
      <w:proofErr w:type="spellStart"/>
      <w:r w:rsidRPr="00766C75">
        <w:rPr>
          <w:rFonts w:ascii="Arial" w:hAnsi="Arial" w:cs="Arial"/>
          <w:color w:val="000000"/>
          <w:sz w:val="20"/>
          <w:szCs w:val="20"/>
          <w:lang w:val="en-US"/>
        </w:rPr>
        <w:t>performative</w:t>
      </w:r>
      <w:proofErr w:type="spellEnd"/>
      <w:r w:rsidRPr="00766C75">
        <w:rPr>
          <w:rFonts w:ascii="Arial" w:hAnsi="Arial" w:cs="Arial"/>
          <w:color w:val="000000"/>
          <w:sz w:val="20"/>
          <w:szCs w:val="20"/>
          <w:lang w:val="en-US"/>
        </w:rPr>
        <w:t xml:space="preserve"> expertise and appreciative knowledge, supporting that the required knowledge varies depending on the governance level of planning. General planning at lower levels needs more appreciative knowledge and less expertise, and as the governance level rises and planning becomes more </w:t>
      </w:r>
      <w:proofErr w:type="spellStart"/>
      <w:r w:rsidRPr="00766C75">
        <w:rPr>
          <w:rFonts w:ascii="Arial" w:hAnsi="Arial" w:cs="Arial"/>
          <w:color w:val="000000"/>
          <w:sz w:val="20"/>
          <w:szCs w:val="20"/>
          <w:lang w:val="en-US"/>
        </w:rPr>
        <w:t>sectoral</w:t>
      </w:r>
      <w:proofErr w:type="spellEnd"/>
      <w:r w:rsidRPr="00766C75">
        <w:rPr>
          <w:rFonts w:ascii="Arial" w:hAnsi="Arial" w:cs="Arial"/>
          <w:color w:val="000000"/>
          <w:sz w:val="20"/>
          <w:szCs w:val="20"/>
          <w:lang w:val="en-US"/>
        </w:rPr>
        <w:t xml:space="preserve">, more scientific knowledge and expertise is required. In its turn, </w:t>
      </w:r>
      <w:r>
        <w:rPr>
          <w:rFonts w:ascii="Arial" w:hAnsi="Arial" w:cs="Arial"/>
          <w:noProof/>
          <w:color w:val="000000"/>
          <w:sz w:val="20"/>
          <w:szCs w:val="20"/>
          <w:lang w:val="en-US"/>
        </w:rPr>
        <w:t>Healey (2007)</w:t>
      </w:r>
      <w:r w:rsidRPr="00766C75">
        <w:rPr>
          <w:rFonts w:ascii="Arial" w:hAnsi="Arial" w:cs="Arial"/>
          <w:color w:val="000000"/>
          <w:sz w:val="20"/>
          <w:szCs w:val="20"/>
          <w:lang w:val="en-US"/>
        </w:rPr>
        <w:t xml:space="preserve"> – arguing that important contributions to urban planning come from the natural and physical scientific knowledge, technical knowledge, and from experiential knowledge – distinguishes knowledge that can be explicit or implicit, and experiential or systematized. This elaboration is closely related to the one developed in this research and would benefit by including the distinction of the scale – macro or situated – of knowledge. </w:t>
      </w:r>
    </w:p>
    <w:p w14:paraId="4EBC846C" w14:textId="77777777" w:rsidR="00A53616" w:rsidRDefault="00A53616" w:rsidP="00766C75">
      <w:pPr>
        <w:spacing w:after="0" w:line="240" w:lineRule="auto"/>
        <w:jc w:val="both"/>
        <w:rPr>
          <w:rFonts w:ascii="Arial" w:hAnsi="Arial" w:cs="Arial"/>
          <w:color w:val="000000"/>
          <w:sz w:val="20"/>
          <w:szCs w:val="20"/>
          <w:lang w:val="en-US"/>
        </w:rPr>
      </w:pPr>
      <w:r w:rsidRPr="00766C75">
        <w:rPr>
          <w:rFonts w:ascii="Arial" w:hAnsi="Arial" w:cs="Arial"/>
          <w:color w:val="000000"/>
          <w:sz w:val="20"/>
          <w:szCs w:val="20"/>
          <w:lang w:val="en-US"/>
        </w:rPr>
        <w:t>We suggest that a key starting point for description and assessment is to understand know along then, would follow two fundamental continua: knowledge type and spatial scale.  Specifically, these can be described as two overlaid axes as shown in Figure 1 below.</w:t>
      </w:r>
    </w:p>
    <w:p w14:paraId="31310577" w14:textId="77777777" w:rsidR="00A53616" w:rsidRDefault="00A53616" w:rsidP="00C66A92">
      <w:pPr>
        <w:spacing w:after="0" w:line="240" w:lineRule="auto"/>
        <w:jc w:val="center"/>
        <w:rPr>
          <w:rFonts w:ascii="Arial" w:hAnsi="Arial" w:cs="Arial"/>
          <w:color w:val="000000"/>
          <w:sz w:val="20"/>
          <w:szCs w:val="20"/>
          <w:lang w:val="en-US"/>
        </w:rPr>
      </w:pPr>
    </w:p>
    <w:p w14:paraId="40AB8517" w14:textId="77777777" w:rsidR="00A53616" w:rsidRDefault="00A53616" w:rsidP="00C66A92">
      <w:pPr>
        <w:spacing w:after="0" w:line="240" w:lineRule="auto"/>
        <w:jc w:val="center"/>
        <w:rPr>
          <w:rFonts w:ascii="Arial" w:hAnsi="Arial" w:cs="Arial"/>
          <w:b/>
          <w:color w:val="000000"/>
          <w:sz w:val="20"/>
          <w:szCs w:val="20"/>
          <w:u w:val="single"/>
          <w:lang w:val="en-US"/>
        </w:rPr>
      </w:pPr>
      <w:r w:rsidRPr="00C66A92">
        <w:rPr>
          <w:rFonts w:ascii="Arial" w:hAnsi="Arial" w:cs="Arial"/>
          <w:b/>
          <w:color w:val="000000"/>
          <w:sz w:val="20"/>
          <w:szCs w:val="20"/>
          <w:u w:val="single"/>
          <w:lang w:val="en-US"/>
        </w:rPr>
        <w:t>Figure 1: Knowledge by Scale and Type</w:t>
      </w:r>
      <w:r>
        <w:rPr>
          <w:rFonts w:ascii="Arial" w:hAnsi="Arial" w:cs="Arial"/>
          <w:b/>
          <w:color w:val="000000"/>
          <w:sz w:val="20"/>
          <w:szCs w:val="20"/>
          <w:u w:val="single"/>
          <w:lang w:val="en-US"/>
        </w:rPr>
        <w:t xml:space="preserve"> </w:t>
      </w:r>
    </w:p>
    <w:p w14:paraId="0F1D9B8D" w14:textId="77777777" w:rsidR="00A53616" w:rsidRPr="00C66A92" w:rsidRDefault="00A53616" w:rsidP="00C66A92">
      <w:pPr>
        <w:spacing w:after="0" w:line="240" w:lineRule="auto"/>
        <w:jc w:val="center"/>
        <w:rPr>
          <w:rFonts w:ascii="Arial" w:hAnsi="Arial" w:cs="Arial"/>
          <w:b/>
          <w:color w:val="000000"/>
          <w:sz w:val="20"/>
          <w:szCs w:val="20"/>
          <w:u w:val="single"/>
          <w:lang w:val="en-US"/>
        </w:rPr>
      </w:pPr>
      <w:r w:rsidRPr="00766C75">
        <w:rPr>
          <w:rFonts w:ascii="Arial" w:hAnsi="Arial" w:cs="Arial"/>
          <w:color w:val="000000"/>
          <w:sz w:val="20"/>
          <w:szCs w:val="20"/>
          <w:lang w:val="en-US"/>
        </w:rPr>
        <w:t>(</w:t>
      </w:r>
      <w:proofErr w:type="gramStart"/>
      <w:r w:rsidRPr="00766C75">
        <w:rPr>
          <w:rFonts w:ascii="Arial" w:hAnsi="Arial" w:cs="Arial"/>
          <w:color w:val="000000"/>
          <w:sz w:val="20"/>
          <w:szCs w:val="20"/>
          <w:lang w:val="en-US"/>
        </w:rPr>
        <w:t>authors’</w:t>
      </w:r>
      <w:proofErr w:type="gramEnd"/>
      <w:r w:rsidRPr="00766C75">
        <w:rPr>
          <w:rFonts w:ascii="Arial" w:hAnsi="Arial" w:cs="Arial"/>
          <w:color w:val="000000"/>
          <w:sz w:val="20"/>
          <w:szCs w:val="20"/>
          <w:lang w:val="en-US"/>
        </w:rPr>
        <w:t xml:space="preserve"> own development)</w:t>
      </w:r>
    </w:p>
    <w:p w14:paraId="7DE51BAD" w14:textId="77777777" w:rsidR="00A53616" w:rsidRPr="00766C75" w:rsidRDefault="00A53616" w:rsidP="00766C75">
      <w:pPr>
        <w:spacing w:after="0" w:line="240" w:lineRule="auto"/>
        <w:jc w:val="both"/>
        <w:rPr>
          <w:rFonts w:ascii="Arial" w:hAnsi="Arial" w:cs="Arial"/>
          <w:color w:val="000000"/>
          <w:sz w:val="20"/>
          <w:szCs w:val="20"/>
          <w:lang w:val="en-US"/>
        </w:rPr>
      </w:pPr>
    </w:p>
    <w:p w14:paraId="5963C989" w14:textId="2BC0136A" w:rsidR="00A53616" w:rsidRPr="00766C75" w:rsidRDefault="00D62A69" w:rsidP="00C66A92">
      <w:pPr>
        <w:spacing w:after="0" w:line="240" w:lineRule="auto"/>
        <w:jc w:val="center"/>
        <w:rPr>
          <w:rFonts w:ascii="Arial" w:hAnsi="Arial" w:cs="Arial"/>
          <w:color w:val="000000"/>
          <w:sz w:val="20"/>
          <w:szCs w:val="20"/>
          <w:lang w:val="en-US"/>
        </w:rPr>
      </w:pPr>
      <w:r>
        <w:rPr>
          <w:noProof/>
          <w:lang w:val="en-US"/>
        </w:rPr>
        <w:drawing>
          <wp:inline distT="0" distB="0" distL="0" distR="0" wp14:anchorId="57E8156D" wp14:editId="7D8AE723">
            <wp:extent cx="4424934" cy="2813050"/>
            <wp:effectExtent l="0" t="0" r="0" b="6350"/>
            <wp:docPr id="1" name="Picture 1" descr="C:\Users\conti\AppData\Local\Microsoft\Windows\INetCache\Content.Word\Slid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onti\AppData\Local\Microsoft\Windows\INetCache\Content.Word\Slide1.jpg"/>
                    <pic:cNvPicPr>
                      <a:picLocks noChangeAspect="1" noChangeArrowheads="1"/>
                    </pic:cNvPicPr>
                  </pic:nvPicPr>
                  <pic:blipFill rotWithShape="1">
                    <a:blip r:embed="rId7">
                      <a:extLst>
                        <a:ext uri="{28A0092B-C50C-407E-A947-70E740481C1C}">
                          <a14:useLocalDpi xmlns:a14="http://schemas.microsoft.com/office/drawing/2010/main" val="0"/>
                        </a:ext>
                      </a:extLst>
                    </a:blip>
                    <a:srcRect l="15732" t="10439" r="20998" b="18055"/>
                    <a:stretch/>
                  </pic:blipFill>
                  <pic:spPr bwMode="auto">
                    <a:xfrm>
                      <a:off x="0" y="0"/>
                      <a:ext cx="4438770" cy="2821846"/>
                    </a:xfrm>
                    <a:prstGeom prst="rect">
                      <a:avLst/>
                    </a:prstGeom>
                    <a:noFill/>
                    <a:ln>
                      <a:noFill/>
                    </a:ln>
                    <a:extLst>
                      <a:ext uri="{53640926-AAD7-44d8-BBD7-CCE9431645EC}">
                        <a14:shadowObscured xmlns:a14="http://schemas.microsoft.com/office/drawing/2010/main"/>
                      </a:ext>
                    </a:extLst>
                  </pic:spPr>
                </pic:pic>
              </a:graphicData>
            </a:graphic>
          </wp:inline>
        </w:drawing>
      </w:r>
    </w:p>
    <w:p w14:paraId="64377930" w14:textId="77777777" w:rsidR="00A53616" w:rsidRPr="00766C75" w:rsidRDefault="00A53616" w:rsidP="00766C75">
      <w:pPr>
        <w:spacing w:after="0" w:line="240" w:lineRule="auto"/>
        <w:jc w:val="both"/>
        <w:rPr>
          <w:rFonts w:ascii="Arial" w:hAnsi="Arial" w:cs="Arial"/>
          <w:color w:val="000000"/>
          <w:sz w:val="20"/>
          <w:szCs w:val="20"/>
          <w:lang w:val="en-US"/>
        </w:rPr>
      </w:pPr>
    </w:p>
    <w:p w14:paraId="3F312045" w14:textId="77777777" w:rsidR="00A53616" w:rsidRPr="00C66A92" w:rsidRDefault="00A53616" w:rsidP="00766C75">
      <w:pPr>
        <w:spacing w:after="0" w:line="240" w:lineRule="auto"/>
        <w:jc w:val="both"/>
        <w:rPr>
          <w:rFonts w:ascii="Arial" w:hAnsi="Arial" w:cs="Arial"/>
          <w:b/>
          <w:color w:val="000000"/>
          <w:lang w:val="en-US"/>
        </w:rPr>
      </w:pPr>
      <w:r w:rsidRPr="00C66A92">
        <w:rPr>
          <w:rFonts w:ascii="Arial" w:hAnsi="Arial" w:cs="Arial"/>
          <w:b/>
          <w:color w:val="000000"/>
          <w:lang w:val="en-US"/>
        </w:rPr>
        <w:t>Urban Planning and DRM knowledge</w:t>
      </w:r>
    </w:p>
    <w:p w14:paraId="5AAFDE3E" w14:textId="77777777" w:rsidR="00A53616" w:rsidRPr="00766C75" w:rsidRDefault="00A53616" w:rsidP="00766C75">
      <w:pPr>
        <w:spacing w:after="0" w:line="240" w:lineRule="auto"/>
        <w:jc w:val="both"/>
        <w:rPr>
          <w:rFonts w:ascii="Arial" w:hAnsi="Arial" w:cs="Arial"/>
          <w:color w:val="000000"/>
          <w:sz w:val="20"/>
          <w:szCs w:val="20"/>
          <w:lang w:val="en-US"/>
        </w:rPr>
      </w:pPr>
      <w:r w:rsidRPr="00766C75">
        <w:rPr>
          <w:rFonts w:ascii="Arial" w:hAnsi="Arial" w:cs="Arial"/>
          <w:color w:val="000000"/>
          <w:sz w:val="20"/>
          <w:szCs w:val="20"/>
          <w:lang w:val="en-US"/>
        </w:rPr>
        <w:t xml:space="preserve">In this section it will be argued that, in partnership with other disciplines, urban planning has the capacity to put risk management knowledge into action to manage risk by applying it in an effective and contextualized manner to overcome barriers, including bridging the gaps between spatial and </w:t>
      </w:r>
      <w:proofErr w:type="spellStart"/>
      <w:r w:rsidRPr="00766C75">
        <w:rPr>
          <w:rFonts w:ascii="Arial" w:hAnsi="Arial" w:cs="Arial"/>
          <w:color w:val="000000"/>
          <w:sz w:val="20"/>
          <w:szCs w:val="20"/>
          <w:lang w:val="en-US"/>
        </w:rPr>
        <w:t>aspatial</w:t>
      </w:r>
      <w:proofErr w:type="spellEnd"/>
      <w:r w:rsidRPr="00766C75">
        <w:rPr>
          <w:rFonts w:ascii="Arial" w:hAnsi="Arial" w:cs="Arial"/>
          <w:color w:val="000000"/>
          <w:sz w:val="20"/>
          <w:szCs w:val="20"/>
          <w:lang w:val="en-US"/>
        </w:rPr>
        <w:t xml:space="preserve"> elements.</w:t>
      </w:r>
    </w:p>
    <w:p w14:paraId="27EDCEEF" w14:textId="77777777" w:rsidR="00A53616" w:rsidRPr="00766C75" w:rsidRDefault="00A53616" w:rsidP="00766C75">
      <w:pPr>
        <w:spacing w:after="0" w:line="240" w:lineRule="auto"/>
        <w:jc w:val="both"/>
        <w:rPr>
          <w:rFonts w:ascii="Arial" w:hAnsi="Arial" w:cs="Arial"/>
          <w:color w:val="000000"/>
          <w:sz w:val="20"/>
          <w:szCs w:val="20"/>
          <w:lang w:val="en-US"/>
        </w:rPr>
      </w:pPr>
      <w:r w:rsidRPr="00766C75">
        <w:rPr>
          <w:rFonts w:ascii="Arial" w:hAnsi="Arial" w:cs="Arial"/>
          <w:color w:val="000000"/>
          <w:sz w:val="20"/>
          <w:szCs w:val="20"/>
          <w:lang w:val="en-US"/>
        </w:rPr>
        <w:t xml:space="preserve">DRM actions regarding the development and application of knowledge is not new; yet it appears to be a renewed emphasis on this </w:t>
      </w:r>
      <w:r>
        <w:rPr>
          <w:rFonts w:ascii="Arial" w:hAnsi="Arial" w:cs="Arial"/>
          <w:noProof/>
          <w:color w:val="000000"/>
          <w:sz w:val="20"/>
          <w:szCs w:val="20"/>
          <w:lang w:val="en-US"/>
        </w:rPr>
        <w:t>(Weichselgartner and Pigeon, 2015, UNISDR, 2015, Sharpe, 2016, Aitsi-Selmi et al., 2016, Twigg, 2015, Spiekermann et al., 2015, Davies et al., 2015)</w:t>
      </w:r>
      <w:r w:rsidRPr="00766C75">
        <w:rPr>
          <w:rFonts w:ascii="Arial" w:hAnsi="Arial" w:cs="Arial"/>
          <w:color w:val="000000"/>
          <w:sz w:val="20"/>
          <w:szCs w:val="20"/>
          <w:lang w:val="en-US"/>
        </w:rPr>
        <w:t xml:space="preserve">. The development of </w:t>
      </w:r>
      <w:r w:rsidRPr="00766C75">
        <w:rPr>
          <w:rFonts w:ascii="Arial" w:hAnsi="Arial" w:cs="Arial"/>
          <w:color w:val="000000"/>
          <w:sz w:val="20"/>
          <w:szCs w:val="20"/>
          <w:lang w:val="en-US"/>
        </w:rPr>
        <w:lastRenderedPageBreak/>
        <w:t xml:space="preserve">policy and practices for the reduction of disaster risk requires knowledge that supports making informed decisions and coordinating actions </w:t>
      </w:r>
      <w:r>
        <w:rPr>
          <w:rFonts w:ascii="Arial" w:hAnsi="Arial" w:cs="Arial"/>
          <w:noProof/>
          <w:color w:val="000000"/>
          <w:sz w:val="20"/>
          <w:szCs w:val="20"/>
          <w:lang w:val="en-US"/>
        </w:rPr>
        <w:t>(Weichselgartner and Pigeon, 2015)</w:t>
      </w:r>
      <w:r w:rsidRPr="00766C75">
        <w:rPr>
          <w:rFonts w:ascii="Arial" w:hAnsi="Arial" w:cs="Arial"/>
          <w:color w:val="000000"/>
          <w:sz w:val="20"/>
          <w:szCs w:val="20"/>
          <w:lang w:val="en-US"/>
        </w:rPr>
        <w:t xml:space="preserve">. This need is emphasized by the Sendai Framework, which establishes that knowledge must be strengthened to increase the understanding of risk, promoting cooperation between experts, governments and communities to facilitate effective policy </w:t>
      </w:r>
      <w:proofErr w:type="gramStart"/>
      <w:r w:rsidRPr="00766C75">
        <w:rPr>
          <w:rFonts w:ascii="Arial" w:hAnsi="Arial" w:cs="Arial"/>
          <w:color w:val="000000"/>
          <w:sz w:val="20"/>
          <w:szCs w:val="20"/>
          <w:lang w:val="en-US"/>
        </w:rPr>
        <w:t>decision making</w:t>
      </w:r>
      <w:proofErr w:type="gramEnd"/>
      <w:r w:rsidRPr="00766C75">
        <w:rPr>
          <w:rFonts w:ascii="Arial" w:hAnsi="Arial" w:cs="Arial"/>
          <w:color w:val="000000"/>
          <w:sz w:val="20"/>
          <w:szCs w:val="20"/>
          <w:lang w:val="en-US"/>
        </w:rPr>
        <w:t xml:space="preserve"> </w:t>
      </w:r>
      <w:r>
        <w:rPr>
          <w:rFonts w:ascii="Arial" w:hAnsi="Arial" w:cs="Arial"/>
          <w:noProof/>
          <w:color w:val="000000"/>
          <w:sz w:val="20"/>
          <w:szCs w:val="20"/>
          <w:lang w:val="en-US"/>
        </w:rPr>
        <w:t>(UNISDR, 2015)</w:t>
      </w:r>
      <w:r w:rsidRPr="00766C75">
        <w:rPr>
          <w:rFonts w:ascii="Arial" w:hAnsi="Arial" w:cs="Arial"/>
          <w:color w:val="000000"/>
          <w:sz w:val="20"/>
          <w:szCs w:val="20"/>
          <w:lang w:val="en-US"/>
        </w:rPr>
        <w:t xml:space="preserve">.  Furthermore, it indicates that developed countries and partners should support developing countries in the development of knowledge, technology transfer and capacity building </w:t>
      </w:r>
      <w:r>
        <w:rPr>
          <w:rFonts w:ascii="Arial" w:hAnsi="Arial" w:cs="Arial"/>
          <w:noProof/>
          <w:color w:val="000000"/>
          <w:sz w:val="20"/>
          <w:szCs w:val="20"/>
          <w:lang w:val="en-US"/>
        </w:rPr>
        <w:t>(UNISDR, 2015)</w:t>
      </w:r>
      <w:r w:rsidRPr="00766C75">
        <w:rPr>
          <w:rFonts w:ascii="Arial" w:hAnsi="Arial" w:cs="Arial"/>
          <w:color w:val="000000"/>
          <w:sz w:val="20"/>
          <w:szCs w:val="20"/>
          <w:lang w:val="en-US"/>
        </w:rPr>
        <w:t>. This points to the need to develop further understandings of how to develop and apply DRM knowledge.</w:t>
      </w:r>
    </w:p>
    <w:p w14:paraId="69287B91" w14:textId="77777777" w:rsidR="00A53616" w:rsidRPr="00766C75" w:rsidRDefault="00A53616" w:rsidP="00766C75">
      <w:pPr>
        <w:spacing w:after="0" w:line="240" w:lineRule="auto"/>
        <w:jc w:val="both"/>
        <w:rPr>
          <w:rFonts w:ascii="Arial" w:hAnsi="Arial" w:cs="Arial"/>
          <w:color w:val="000000"/>
          <w:sz w:val="20"/>
          <w:szCs w:val="20"/>
          <w:lang w:val="en-US"/>
        </w:rPr>
      </w:pPr>
      <w:r w:rsidRPr="00766C75">
        <w:rPr>
          <w:rFonts w:ascii="Arial" w:hAnsi="Arial" w:cs="Arial"/>
          <w:color w:val="000000"/>
          <w:sz w:val="20"/>
          <w:szCs w:val="20"/>
          <w:lang w:val="en-US"/>
        </w:rPr>
        <w:t xml:space="preserve">Knowledge in itself does not imply that disaster risk will be reduced. Sixteen years ago, </w:t>
      </w:r>
      <w:r>
        <w:rPr>
          <w:rFonts w:ascii="Arial" w:hAnsi="Arial" w:cs="Arial"/>
          <w:noProof/>
          <w:color w:val="000000"/>
          <w:sz w:val="20"/>
          <w:szCs w:val="20"/>
          <w:lang w:val="en-US"/>
        </w:rPr>
        <w:t>White et al. (2001)</w:t>
      </w:r>
      <w:r w:rsidRPr="00766C75">
        <w:rPr>
          <w:rFonts w:ascii="Arial" w:hAnsi="Arial" w:cs="Arial"/>
          <w:color w:val="000000"/>
          <w:sz w:val="20"/>
          <w:szCs w:val="20"/>
          <w:lang w:val="en-US"/>
        </w:rPr>
        <w:t xml:space="preserve"> observed that losses caused by disasters were increasing, even though there was better knowledge about the subject, supporting that knowledge by itself is not sufficient to reduce disaster risk. During the past decades, there has been an uneven evolution in knowledge and application of DRM, which has not conducted to the development of the full range of institutional and technical mechanisms and actions to address risk at different spatial levels, still focusing on preparing the response and recovery </w:t>
      </w:r>
      <w:r>
        <w:rPr>
          <w:rFonts w:ascii="Arial" w:hAnsi="Arial" w:cs="Arial"/>
          <w:noProof/>
          <w:color w:val="000000"/>
          <w:sz w:val="20"/>
          <w:szCs w:val="20"/>
          <w:lang w:val="en-US"/>
        </w:rPr>
        <w:t>(Briceño, 2015, Weichselgartner and Pigeon, 2015, Davies et al., 2015)</w:t>
      </w:r>
      <w:r w:rsidRPr="00766C75">
        <w:rPr>
          <w:rFonts w:ascii="Arial" w:hAnsi="Arial" w:cs="Arial"/>
          <w:color w:val="000000"/>
          <w:sz w:val="20"/>
          <w:szCs w:val="20"/>
          <w:lang w:val="en-US"/>
        </w:rPr>
        <w:t xml:space="preserve">. This emphasizes that not only a continuous development, update and sharing of knowledge is required to deal with disasters, but also putting it into action to actively mitigate risk by applying it in an effective and contextualized manner. </w:t>
      </w:r>
    </w:p>
    <w:p w14:paraId="51195439" w14:textId="594401FE" w:rsidR="00A53616" w:rsidRPr="00766C75" w:rsidRDefault="00A53616" w:rsidP="00766C75">
      <w:pPr>
        <w:spacing w:after="0" w:line="240" w:lineRule="auto"/>
        <w:jc w:val="both"/>
        <w:rPr>
          <w:rFonts w:ascii="Arial" w:hAnsi="Arial" w:cs="Arial"/>
          <w:color w:val="000000"/>
          <w:sz w:val="20"/>
          <w:szCs w:val="20"/>
          <w:lang w:val="en-US"/>
        </w:rPr>
      </w:pPr>
      <w:r w:rsidRPr="00766C75">
        <w:rPr>
          <w:rFonts w:ascii="Arial" w:hAnsi="Arial" w:cs="Arial"/>
          <w:color w:val="000000"/>
          <w:sz w:val="20"/>
          <w:szCs w:val="20"/>
          <w:lang w:val="en-US"/>
        </w:rPr>
        <w:t xml:space="preserve">Urban planning has the capacity to put disaster knowledge into action. If adequately managed, urbanization can contribute to improve people’s quality of life, offering a number of benefits such as better access to opportunities and services. However, the speed and scale of current urbanization trends pose great challenges, including from the disaster management perspective. Concentrations of population, industry, infrastructure, and economic activities in cities contribute to increase disaster risk </w:t>
      </w:r>
      <w:r>
        <w:rPr>
          <w:rFonts w:ascii="Arial" w:hAnsi="Arial" w:cs="Arial"/>
          <w:noProof/>
          <w:color w:val="000000"/>
          <w:sz w:val="20"/>
          <w:szCs w:val="20"/>
          <w:lang w:val="en-US"/>
        </w:rPr>
        <w:t>(Brecht et al., 2013, The World Bank, 2016, CRED, 2015)</w:t>
      </w:r>
      <w:r w:rsidRPr="00766C75">
        <w:rPr>
          <w:rFonts w:ascii="Arial" w:hAnsi="Arial" w:cs="Arial"/>
          <w:color w:val="000000"/>
          <w:sz w:val="20"/>
          <w:szCs w:val="20"/>
          <w:lang w:val="en-US"/>
        </w:rPr>
        <w:t xml:space="preserve">. Moreover, </w:t>
      </w:r>
      <w:r w:rsidRPr="00766C75">
        <w:rPr>
          <w:rFonts w:ascii="Arial" w:hAnsi="Arial" w:cs="Arial"/>
          <w:noProof/>
          <w:color w:val="000000"/>
          <w:sz w:val="20"/>
          <w:szCs w:val="20"/>
          <w:lang w:val="en-US"/>
        </w:rPr>
        <w:t>Brecht et al. (2013)</w:t>
      </w:r>
      <w:r w:rsidRPr="00766C75">
        <w:rPr>
          <w:rFonts w:ascii="Arial" w:hAnsi="Arial" w:cs="Arial"/>
          <w:color w:val="000000"/>
          <w:sz w:val="20"/>
          <w:szCs w:val="20"/>
          <w:lang w:val="en-US"/>
        </w:rPr>
        <w:t xml:space="preserve"> projections support that urban disaster risk will increase, even suggesting that population exposed to earthquake and cyclone risks will double in developing country cities by 2050. This implies that it is crucial to address disaster risk research, policy and action in relation to the planning and governance of cities. Urban planning has the ability to develop DRM actions through its processes of knowing, steering, and dealing with the barriers for action. In fact, it is currently accepted that integrating DRM into urban planning process would be advantageous </w:t>
      </w:r>
      <w:r>
        <w:rPr>
          <w:rFonts w:ascii="Arial" w:hAnsi="Arial" w:cs="Arial"/>
          <w:noProof/>
          <w:color w:val="000000"/>
          <w:sz w:val="20"/>
          <w:szCs w:val="20"/>
          <w:lang w:val="en-US"/>
        </w:rPr>
        <w:t>(Alexander, 2009, Sapountzaki et al., 2011, UNISDR, 2004, UNISDR, 2015, Burby, 1998)</w:t>
      </w:r>
      <w:r w:rsidRPr="00766C75">
        <w:rPr>
          <w:rFonts w:ascii="Arial" w:hAnsi="Arial" w:cs="Arial"/>
          <w:color w:val="000000"/>
          <w:sz w:val="20"/>
          <w:szCs w:val="20"/>
          <w:lang w:val="en-US"/>
        </w:rPr>
        <w:t xml:space="preserve">. This could be especially beneficial for dealing with the identified uneven evolution in knowledge and application of DRM </w:t>
      </w:r>
      <w:r>
        <w:rPr>
          <w:rFonts w:ascii="Arial" w:hAnsi="Arial" w:cs="Arial"/>
          <w:noProof/>
          <w:color w:val="000000"/>
          <w:sz w:val="20"/>
          <w:szCs w:val="20"/>
          <w:lang w:val="en-US"/>
        </w:rPr>
        <w:t>(Briceño, 2015, Weichselgartner and Pigeon, 2015, Davies et al., 2015)</w:t>
      </w:r>
      <w:r w:rsidRPr="00766C75">
        <w:rPr>
          <w:rFonts w:ascii="Arial" w:hAnsi="Arial" w:cs="Arial"/>
          <w:color w:val="000000"/>
          <w:sz w:val="20"/>
          <w:szCs w:val="20"/>
          <w:lang w:val="en-US"/>
        </w:rPr>
        <w:t xml:space="preserve">, learning and acting on disaster risk at different spatial levels with a focus on mitigation rather than on preparing the response and recovery. </w:t>
      </w:r>
    </w:p>
    <w:p w14:paraId="53C0F3C9" w14:textId="3C76CF28" w:rsidR="00A53616" w:rsidRPr="00766C75" w:rsidRDefault="00A53616" w:rsidP="000A60E7">
      <w:pPr>
        <w:spacing w:after="0" w:line="240" w:lineRule="auto"/>
        <w:jc w:val="both"/>
        <w:rPr>
          <w:rFonts w:ascii="Arial" w:hAnsi="Arial" w:cs="Arial"/>
          <w:color w:val="000000"/>
          <w:sz w:val="20"/>
          <w:szCs w:val="20"/>
          <w:lang w:val="en-US"/>
        </w:rPr>
      </w:pPr>
      <w:r w:rsidRPr="00766C75">
        <w:rPr>
          <w:rFonts w:ascii="Arial" w:hAnsi="Arial" w:cs="Arial"/>
          <w:color w:val="000000"/>
          <w:sz w:val="20"/>
          <w:szCs w:val="20"/>
          <w:lang w:val="en-US"/>
        </w:rPr>
        <w:t xml:space="preserve">Urban planning is able to manage risk by applying knowledge about it in an effective and contextualized manner to overcome barriers, bridging the gap between spatial and </w:t>
      </w:r>
      <w:proofErr w:type="spellStart"/>
      <w:r w:rsidRPr="00766C75">
        <w:rPr>
          <w:rFonts w:ascii="Arial" w:hAnsi="Arial" w:cs="Arial"/>
          <w:color w:val="000000"/>
          <w:sz w:val="20"/>
          <w:szCs w:val="20"/>
          <w:lang w:val="en-US"/>
        </w:rPr>
        <w:t>aspatial</w:t>
      </w:r>
      <w:proofErr w:type="spellEnd"/>
      <w:r w:rsidRPr="00766C75">
        <w:rPr>
          <w:rFonts w:ascii="Arial" w:hAnsi="Arial" w:cs="Arial"/>
          <w:color w:val="000000"/>
          <w:sz w:val="20"/>
          <w:szCs w:val="20"/>
          <w:lang w:val="en-US"/>
        </w:rPr>
        <w:t xml:space="preserve"> policies. Disaster risk reduction and life protection are major collective challenges with multiple and sometimes conflicting considerations to anticipate. Urban planning has the means to address them in the long-term, if prevention measures are included at all levels of its decision-making process. </w:t>
      </w:r>
      <w:r w:rsidR="00FA6E89">
        <w:rPr>
          <w:rFonts w:ascii="Arial" w:hAnsi="Arial" w:cs="Arial"/>
          <w:color w:val="000000"/>
          <w:sz w:val="20"/>
          <w:szCs w:val="20"/>
          <w:lang w:val="en-US"/>
        </w:rPr>
        <w:t xml:space="preserve">This </w:t>
      </w:r>
      <w:r w:rsidR="00C36B8E">
        <w:rPr>
          <w:rFonts w:ascii="Arial" w:hAnsi="Arial" w:cs="Arial"/>
          <w:color w:val="000000"/>
          <w:sz w:val="20"/>
          <w:szCs w:val="20"/>
          <w:lang w:val="en-US"/>
        </w:rPr>
        <w:t xml:space="preserve">process </w:t>
      </w:r>
      <w:r w:rsidR="00FA6E89">
        <w:rPr>
          <w:rFonts w:ascii="Arial" w:hAnsi="Arial" w:cs="Arial"/>
          <w:color w:val="000000"/>
          <w:sz w:val="20"/>
          <w:szCs w:val="20"/>
          <w:lang w:val="en-US"/>
        </w:rPr>
        <w:t xml:space="preserve">also </w:t>
      </w:r>
      <w:r w:rsidR="000A60E7">
        <w:rPr>
          <w:rFonts w:ascii="Arial" w:hAnsi="Arial" w:cs="Arial"/>
          <w:color w:val="000000"/>
          <w:sz w:val="20"/>
          <w:szCs w:val="20"/>
          <w:lang w:val="en-US"/>
        </w:rPr>
        <w:t xml:space="preserve">ideally </w:t>
      </w:r>
      <w:r w:rsidR="00C36B8E">
        <w:rPr>
          <w:rFonts w:ascii="Arial" w:hAnsi="Arial" w:cs="Arial"/>
          <w:color w:val="000000"/>
          <w:sz w:val="20"/>
          <w:szCs w:val="20"/>
          <w:lang w:val="en-US"/>
        </w:rPr>
        <w:t xml:space="preserve">allows </w:t>
      </w:r>
      <w:r w:rsidR="000A60E7">
        <w:rPr>
          <w:rFonts w:ascii="Arial" w:hAnsi="Arial" w:cs="Arial"/>
          <w:color w:val="000000"/>
          <w:sz w:val="20"/>
          <w:szCs w:val="20"/>
          <w:lang w:val="en-US"/>
        </w:rPr>
        <w:t xml:space="preserve">the </w:t>
      </w:r>
      <w:r w:rsidR="00FA6E89">
        <w:rPr>
          <w:rFonts w:ascii="Arial" w:hAnsi="Arial" w:cs="Arial"/>
          <w:color w:val="000000"/>
          <w:sz w:val="20"/>
          <w:szCs w:val="20"/>
          <w:lang w:val="en-US"/>
        </w:rPr>
        <w:t>defin</w:t>
      </w:r>
      <w:r w:rsidR="000A60E7">
        <w:rPr>
          <w:rFonts w:ascii="Arial" w:hAnsi="Arial" w:cs="Arial"/>
          <w:color w:val="000000"/>
          <w:sz w:val="20"/>
          <w:szCs w:val="20"/>
          <w:lang w:val="en-US"/>
        </w:rPr>
        <w:t xml:space="preserve">ition of </w:t>
      </w:r>
      <w:r w:rsidR="00C36B8E">
        <w:rPr>
          <w:rFonts w:ascii="Arial" w:hAnsi="Arial" w:cs="Arial"/>
          <w:color w:val="000000"/>
          <w:sz w:val="20"/>
          <w:szCs w:val="20"/>
          <w:lang w:val="en-US"/>
        </w:rPr>
        <w:t>risk levels</w:t>
      </w:r>
      <w:r w:rsidR="000A60E7">
        <w:rPr>
          <w:rFonts w:ascii="Arial" w:hAnsi="Arial" w:cs="Arial"/>
          <w:color w:val="000000"/>
          <w:sz w:val="20"/>
          <w:szCs w:val="20"/>
          <w:lang w:val="en-US"/>
        </w:rPr>
        <w:t>,</w:t>
      </w:r>
      <w:r w:rsidR="00C36B8E">
        <w:rPr>
          <w:rFonts w:ascii="Arial" w:hAnsi="Arial" w:cs="Arial"/>
          <w:color w:val="000000"/>
          <w:sz w:val="20"/>
          <w:szCs w:val="20"/>
          <w:lang w:val="en-US"/>
        </w:rPr>
        <w:t xml:space="preserve"> </w:t>
      </w:r>
      <w:r w:rsidR="00FA6E89">
        <w:rPr>
          <w:rFonts w:ascii="Arial" w:hAnsi="Arial" w:cs="Arial"/>
          <w:color w:val="000000"/>
          <w:sz w:val="20"/>
          <w:szCs w:val="20"/>
          <w:lang w:val="en-US"/>
        </w:rPr>
        <w:t xml:space="preserve">validating and </w:t>
      </w:r>
      <w:r w:rsidR="00C36B8E">
        <w:rPr>
          <w:rFonts w:ascii="Arial" w:hAnsi="Arial" w:cs="Arial"/>
          <w:color w:val="000000"/>
          <w:sz w:val="20"/>
          <w:szCs w:val="20"/>
          <w:lang w:val="en-US"/>
        </w:rPr>
        <w:t xml:space="preserve">acting on them when appropriate; contributing to the construction and perception of the notion of acceptable risk levels. </w:t>
      </w:r>
      <w:r w:rsidR="000A60E7">
        <w:rPr>
          <w:rFonts w:ascii="Arial" w:hAnsi="Arial" w:cs="Arial"/>
          <w:color w:val="000000"/>
          <w:sz w:val="20"/>
          <w:szCs w:val="20"/>
          <w:lang w:val="en-US"/>
        </w:rPr>
        <w:t xml:space="preserve">It must be acknowledged, however, that prior assumptions, acceptable levels of risk, residual risk, levels of uncertainty and imperfect knowledge provide contextual constraints to any planning process. </w:t>
      </w:r>
      <w:r w:rsidRPr="00766C75">
        <w:rPr>
          <w:rFonts w:ascii="Arial" w:hAnsi="Arial" w:cs="Arial"/>
          <w:color w:val="000000"/>
          <w:sz w:val="20"/>
          <w:szCs w:val="20"/>
          <w:lang w:val="en-US"/>
        </w:rPr>
        <w:t xml:space="preserve">Furthermore, urban planning allows agencies to think and act in different scales of space, time and governance </w:t>
      </w:r>
      <w:r>
        <w:rPr>
          <w:rFonts w:ascii="Arial" w:hAnsi="Arial" w:cs="Arial"/>
          <w:noProof/>
          <w:color w:val="000000"/>
          <w:sz w:val="20"/>
          <w:szCs w:val="20"/>
          <w:lang w:val="en-US"/>
        </w:rPr>
        <w:t>(Hürlimann and March, 2012)</w:t>
      </w:r>
      <w:r w:rsidRPr="00766C75">
        <w:rPr>
          <w:rFonts w:ascii="Arial" w:hAnsi="Arial" w:cs="Arial"/>
          <w:color w:val="000000"/>
          <w:sz w:val="20"/>
          <w:szCs w:val="20"/>
          <w:lang w:val="en-US"/>
        </w:rPr>
        <w:t xml:space="preserve"> while performing locally to establish the most favorable spatial arrangement for each particular place </w:t>
      </w:r>
      <w:r>
        <w:rPr>
          <w:rFonts w:ascii="Arial" w:hAnsi="Arial" w:cs="Arial"/>
          <w:noProof/>
          <w:color w:val="000000"/>
          <w:sz w:val="20"/>
          <w:szCs w:val="20"/>
          <w:lang w:val="en-US"/>
        </w:rPr>
        <w:t>(March and Henry, 2007)</w:t>
      </w:r>
      <w:r w:rsidRPr="00766C75">
        <w:rPr>
          <w:rFonts w:ascii="Arial" w:hAnsi="Arial" w:cs="Arial"/>
          <w:color w:val="000000"/>
          <w:sz w:val="20"/>
          <w:szCs w:val="20"/>
          <w:lang w:val="en-US"/>
        </w:rPr>
        <w:t>. This is of great significance for disaster management, because of the specificity of hazards.</w:t>
      </w:r>
      <w:r w:rsidR="006E1A4A">
        <w:rPr>
          <w:rFonts w:ascii="Arial" w:hAnsi="Arial" w:cs="Arial"/>
          <w:color w:val="000000"/>
          <w:sz w:val="20"/>
          <w:szCs w:val="20"/>
          <w:lang w:val="en-US"/>
        </w:rPr>
        <w:t xml:space="preserve"> </w:t>
      </w:r>
      <w:r w:rsidRPr="00766C75">
        <w:rPr>
          <w:rFonts w:ascii="Arial" w:hAnsi="Arial" w:cs="Arial"/>
          <w:color w:val="000000"/>
          <w:sz w:val="20"/>
          <w:szCs w:val="20"/>
          <w:lang w:val="en-US"/>
        </w:rPr>
        <w:t xml:space="preserve">All levels of spatial decision making should consider disaster risk, starting at the highest level of strategic spatial planning; up until the implementation through site-specific land-use planning decisions that respond to the range of possible contexts </w:t>
      </w:r>
      <w:r>
        <w:rPr>
          <w:rFonts w:ascii="Arial" w:hAnsi="Arial" w:cs="Arial"/>
          <w:noProof/>
          <w:color w:val="000000"/>
          <w:sz w:val="20"/>
          <w:szCs w:val="20"/>
          <w:lang w:val="en-US"/>
        </w:rPr>
        <w:t>(Ellis et al., 2004, Teague et al., 2010b)</w:t>
      </w:r>
      <w:r w:rsidRPr="00766C75">
        <w:rPr>
          <w:rFonts w:ascii="Arial" w:hAnsi="Arial" w:cs="Arial"/>
          <w:color w:val="000000"/>
          <w:sz w:val="20"/>
          <w:szCs w:val="20"/>
          <w:lang w:val="en-US"/>
        </w:rPr>
        <w:t>.</w:t>
      </w:r>
    </w:p>
    <w:p w14:paraId="2C554122" w14:textId="77777777" w:rsidR="00A53616" w:rsidRPr="00766C75" w:rsidRDefault="00A53616" w:rsidP="00766C75">
      <w:pPr>
        <w:spacing w:after="0" w:line="240" w:lineRule="auto"/>
        <w:jc w:val="both"/>
        <w:rPr>
          <w:rFonts w:ascii="Arial" w:hAnsi="Arial" w:cs="Arial"/>
          <w:color w:val="000000"/>
          <w:sz w:val="20"/>
          <w:szCs w:val="20"/>
          <w:lang w:val="en-US"/>
        </w:rPr>
      </w:pPr>
      <w:r w:rsidRPr="00766C75">
        <w:rPr>
          <w:rFonts w:ascii="Arial" w:hAnsi="Arial" w:cs="Arial"/>
          <w:color w:val="000000"/>
          <w:sz w:val="20"/>
          <w:szCs w:val="20"/>
          <w:lang w:val="en-US"/>
        </w:rPr>
        <w:t xml:space="preserve"> </w:t>
      </w:r>
    </w:p>
    <w:p w14:paraId="5DB08A65" w14:textId="77777777" w:rsidR="00A53616" w:rsidRPr="00C66A92" w:rsidRDefault="00A53616" w:rsidP="00766C75">
      <w:pPr>
        <w:spacing w:after="0" w:line="240" w:lineRule="auto"/>
        <w:jc w:val="both"/>
        <w:rPr>
          <w:rFonts w:ascii="Arial" w:hAnsi="Arial" w:cs="Arial"/>
          <w:b/>
          <w:bCs/>
          <w:color w:val="000000"/>
          <w:lang w:val="en-US"/>
        </w:rPr>
      </w:pPr>
      <w:r w:rsidRPr="00C66A92">
        <w:rPr>
          <w:rFonts w:ascii="Arial" w:hAnsi="Arial" w:cs="Arial"/>
          <w:b/>
          <w:bCs/>
          <w:color w:val="000000"/>
          <w:lang w:val="en-US"/>
        </w:rPr>
        <w:t>Urban Planning's Ability to Translate and Apply Bushfire Knowledge</w:t>
      </w:r>
    </w:p>
    <w:p w14:paraId="58BA24C0" w14:textId="34F60587" w:rsidR="00A53616" w:rsidRPr="00766C75" w:rsidRDefault="00A53616" w:rsidP="00766C75">
      <w:pPr>
        <w:spacing w:after="0" w:line="240" w:lineRule="auto"/>
        <w:jc w:val="both"/>
        <w:rPr>
          <w:rFonts w:ascii="Arial" w:hAnsi="Arial" w:cs="Arial"/>
          <w:color w:val="000000"/>
          <w:sz w:val="20"/>
          <w:szCs w:val="20"/>
          <w:lang w:val="en-US"/>
        </w:rPr>
      </w:pPr>
      <w:r w:rsidRPr="00766C75">
        <w:rPr>
          <w:rFonts w:ascii="Arial" w:hAnsi="Arial" w:cs="Arial"/>
          <w:color w:val="000000"/>
          <w:sz w:val="20"/>
          <w:szCs w:val="20"/>
          <w:lang w:val="en-US"/>
        </w:rPr>
        <w:t xml:space="preserve">This section will examine urban planning’s role when dealing with knowledge about bushfire risk management in Victoria. It reports on the connections between strategic and statutory planning, and other implementation activities and processes, </w:t>
      </w:r>
      <w:r w:rsidR="00EB169D">
        <w:rPr>
          <w:rFonts w:ascii="Arial" w:hAnsi="Arial" w:cs="Arial"/>
          <w:color w:val="000000"/>
          <w:sz w:val="20"/>
          <w:szCs w:val="20"/>
          <w:lang w:val="en-US"/>
        </w:rPr>
        <w:t xml:space="preserve">which </w:t>
      </w:r>
      <w:r w:rsidRPr="00766C75">
        <w:rPr>
          <w:rFonts w:ascii="Arial" w:hAnsi="Arial" w:cs="Arial"/>
          <w:color w:val="000000"/>
          <w:sz w:val="20"/>
          <w:szCs w:val="20"/>
          <w:lang w:val="en-US"/>
        </w:rPr>
        <w:t xml:space="preserve">are often incomplete, contradictory, or are simply uncertain in the outcomes they achieve.  Data were collected and described according to these continua, followed by arranging them thematically. Qualitative data </w:t>
      </w:r>
      <w:r w:rsidR="00EB169D">
        <w:rPr>
          <w:rFonts w:ascii="Arial" w:hAnsi="Arial" w:cs="Arial"/>
          <w:color w:val="000000"/>
          <w:sz w:val="20"/>
          <w:szCs w:val="20"/>
          <w:lang w:val="en-US"/>
        </w:rPr>
        <w:t xml:space="preserve">from </w:t>
      </w:r>
      <w:r w:rsidR="00FA6E89">
        <w:rPr>
          <w:rFonts w:ascii="Arial" w:hAnsi="Arial" w:cs="Arial"/>
          <w:color w:val="000000"/>
          <w:sz w:val="20"/>
          <w:szCs w:val="20"/>
          <w:lang w:val="en-US"/>
        </w:rPr>
        <w:t xml:space="preserve">key </w:t>
      </w:r>
      <w:r w:rsidR="00EB169D">
        <w:rPr>
          <w:rFonts w:ascii="Arial" w:hAnsi="Arial" w:cs="Arial"/>
          <w:color w:val="000000"/>
          <w:sz w:val="20"/>
          <w:szCs w:val="20"/>
          <w:lang w:val="en-US"/>
        </w:rPr>
        <w:t>urban planning documents</w:t>
      </w:r>
      <w:r w:rsidR="00FA6E89">
        <w:rPr>
          <w:rFonts w:ascii="Arial" w:hAnsi="Arial" w:cs="Arial"/>
          <w:color w:val="000000"/>
          <w:sz w:val="20"/>
          <w:szCs w:val="20"/>
          <w:lang w:val="en-US"/>
        </w:rPr>
        <w:t xml:space="preserve"> and policies from different levels</w:t>
      </w:r>
      <w:r w:rsidR="00EB169D">
        <w:rPr>
          <w:rFonts w:ascii="Arial" w:hAnsi="Arial" w:cs="Arial"/>
          <w:color w:val="000000"/>
          <w:sz w:val="20"/>
          <w:szCs w:val="20"/>
          <w:lang w:val="en-US"/>
        </w:rPr>
        <w:t xml:space="preserve"> </w:t>
      </w:r>
      <w:r w:rsidRPr="00766C75">
        <w:rPr>
          <w:rFonts w:ascii="Arial" w:hAnsi="Arial" w:cs="Arial"/>
          <w:color w:val="000000"/>
          <w:sz w:val="20"/>
          <w:szCs w:val="20"/>
          <w:lang w:val="en-US"/>
        </w:rPr>
        <w:t>were used</w:t>
      </w:r>
      <w:r w:rsidR="00EB169D">
        <w:rPr>
          <w:rFonts w:ascii="Arial" w:hAnsi="Arial" w:cs="Arial"/>
          <w:color w:val="000000"/>
          <w:sz w:val="20"/>
          <w:szCs w:val="20"/>
          <w:lang w:val="en-US"/>
        </w:rPr>
        <w:t>;</w:t>
      </w:r>
      <w:r w:rsidRPr="00766C75">
        <w:rPr>
          <w:rFonts w:ascii="Arial" w:hAnsi="Arial" w:cs="Arial"/>
          <w:color w:val="000000"/>
          <w:sz w:val="20"/>
          <w:szCs w:val="20"/>
          <w:lang w:val="en-US"/>
        </w:rPr>
        <w:t xml:space="preserve"> they </w:t>
      </w:r>
      <w:r w:rsidR="00EB169D">
        <w:rPr>
          <w:rFonts w:ascii="Arial" w:hAnsi="Arial" w:cs="Arial"/>
          <w:color w:val="000000"/>
          <w:sz w:val="20"/>
          <w:szCs w:val="20"/>
          <w:lang w:val="en-US"/>
        </w:rPr>
        <w:t xml:space="preserve">were </w:t>
      </w:r>
      <w:r w:rsidRPr="00766C75">
        <w:rPr>
          <w:rFonts w:ascii="Arial" w:hAnsi="Arial" w:cs="Arial"/>
          <w:color w:val="000000"/>
          <w:sz w:val="20"/>
          <w:szCs w:val="20"/>
          <w:lang w:val="en-US"/>
        </w:rPr>
        <w:t xml:space="preserve">selected for inclusion on the basis of having relevance to the potential or actual connection of urban planning and bushfire risk reduction practices. </w:t>
      </w:r>
    </w:p>
    <w:p w14:paraId="7820AE57" w14:textId="77777777" w:rsidR="00A53616" w:rsidRDefault="00A53616" w:rsidP="00766C75">
      <w:pPr>
        <w:spacing w:after="0" w:line="240" w:lineRule="auto"/>
        <w:jc w:val="both"/>
        <w:rPr>
          <w:rFonts w:ascii="Arial" w:hAnsi="Arial" w:cs="Arial"/>
          <w:color w:val="000000"/>
          <w:sz w:val="20"/>
          <w:szCs w:val="20"/>
          <w:lang w:val="en-US"/>
        </w:rPr>
      </w:pPr>
      <w:r w:rsidRPr="00766C75">
        <w:rPr>
          <w:rFonts w:ascii="Arial" w:hAnsi="Arial" w:cs="Arial"/>
          <w:color w:val="000000"/>
          <w:sz w:val="20"/>
          <w:szCs w:val="20"/>
          <w:lang w:val="en-US"/>
        </w:rPr>
        <w:lastRenderedPageBreak/>
        <w:t xml:space="preserve">This paper suggests that a first step in understanding planning knowledge is to recognize two interrelated categorizations of knowledge: procedural/declarative and micro-situated/macro-generalized (see Figure 2). Knowledge can be categorized in diverse ways </w:t>
      </w:r>
      <w:r>
        <w:rPr>
          <w:rFonts w:ascii="Arial" w:hAnsi="Arial" w:cs="Arial"/>
          <w:noProof/>
          <w:color w:val="000000"/>
          <w:sz w:val="20"/>
          <w:szCs w:val="20"/>
          <w:lang w:val="en-US"/>
        </w:rPr>
        <w:t>(Goldblatt, 2000, Weingart, 2010, Alavi and Leidner, 2001, Polanyi, 2012</w:t>
      </w:r>
      <w:r w:rsidRPr="00BB7500">
        <w:rPr>
          <w:rFonts w:ascii="Arial" w:hAnsi="Arial" w:cs="Arial"/>
          <w:i/>
          <w:noProof/>
          <w:color w:val="000000"/>
          <w:sz w:val="20"/>
          <w:szCs w:val="20"/>
          <w:lang w:val="en-US"/>
        </w:rPr>
        <w:t xml:space="preserve"> [1962], </w:t>
      </w:r>
      <w:r>
        <w:rPr>
          <w:rFonts w:ascii="Arial" w:hAnsi="Arial" w:cs="Arial"/>
          <w:noProof/>
          <w:color w:val="000000"/>
          <w:sz w:val="20"/>
          <w:szCs w:val="20"/>
          <w:lang w:val="en-US"/>
        </w:rPr>
        <w:t>Polanyi, 1962, Polanyi, 1966)</w:t>
      </w:r>
      <w:r w:rsidRPr="00766C75">
        <w:rPr>
          <w:rFonts w:ascii="Arial" w:hAnsi="Arial" w:cs="Arial"/>
          <w:color w:val="000000"/>
          <w:sz w:val="20"/>
          <w:szCs w:val="20"/>
          <w:lang w:val="en-US"/>
        </w:rPr>
        <w:t xml:space="preserve">. One categorization is declarative versus procedural knowledge </w:t>
      </w:r>
      <w:r>
        <w:rPr>
          <w:rFonts w:ascii="Arial" w:hAnsi="Arial" w:cs="Arial"/>
          <w:noProof/>
          <w:color w:val="000000"/>
          <w:sz w:val="20"/>
          <w:szCs w:val="20"/>
          <w:lang w:val="en-US"/>
        </w:rPr>
        <w:t xml:space="preserve">(Squire, 1987, Cohen and Squire, 1980, Squire, 1986, Ryle, 2009 </w:t>
      </w:r>
      <w:r w:rsidRPr="00BB7500">
        <w:rPr>
          <w:rFonts w:ascii="Arial" w:hAnsi="Arial" w:cs="Arial"/>
          <w:i/>
          <w:noProof/>
          <w:color w:val="000000"/>
          <w:sz w:val="20"/>
          <w:szCs w:val="20"/>
          <w:lang w:val="en-US"/>
        </w:rPr>
        <w:t>[1949]</w:t>
      </w:r>
      <w:r>
        <w:rPr>
          <w:rFonts w:ascii="Arial" w:hAnsi="Arial" w:cs="Arial"/>
          <w:noProof/>
          <w:color w:val="000000"/>
          <w:sz w:val="20"/>
          <w:szCs w:val="20"/>
          <w:lang w:val="en-US"/>
        </w:rPr>
        <w:t>)</w:t>
      </w:r>
      <w:r w:rsidRPr="00766C75">
        <w:rPr>
          <w:rFonts w:ascii="Arial" w:hAnsi="Arial" w:cs="Arial"/>
          <w:color w:val="000000"/>
          <w:sz w:val="20"/>
          <w:szCs w:val="20"/>
          <w:lang w:val="en-US"/>
        </w:rPr>
        <w:t xml:space="preserve">, distinguishing between knowing that – codified, formal, and justified truth beliefs – and knowing how – skills or cognitive operations. Another categorization is per its scale of place: situated knowledge, culturally and geographically, which should be used to contextualize policy development and practice </w:t>
      </w:r>
      <w:r w:rsidRPr="00766C75">
        <w:rPr>
          <w:rFonts w:ascii="Arial" w:hAnsi="Arial" w:cs="Arial"/>
          <w:noProof/>
          <w:color w:val="000000"/>
          <w:sz w:val="20"/>
          <w:szCs w:val="20"/>
          <w:lang w:val="en-US"/>
        </w:rPr>
        <w:t>(Eversole, 2012)</w:t>
      </w:r>
      <w:r w:rsidRPr="00766C75">
        <w:rPr>
          <w:rFonts w:ascii="Arial" w:hAnsi="Arial" w:cs="Arial"/>
          <w:color w:val="000000"/>
          <w:sz w:val="20"/>
          <w:szCs w:val="20"/>
          <w:lang w:val="en-US"/>
        </w:rPr>
        <w:t xml:space="preserve">; and macro knowledge, associated with a wider scale – national, regional or even global – providing framing and common interpretation </w:t>
      </w:r>
      <w:r>
        <w:rPr>
          <w:rFonts w:ascii="Arial" w:hAnsi="Arial" w:cs="Arial"/>
          <w:noProof/>
          <w:color w:val="000000"/>
          <w:sz w:val="20"/>
          <w:szCs w:val="20"/>
          <w:lang w:val="en-US"/>
        </w:rPr>
        <w:t>(Fuchs et al., 2014, Evans, 2009)</w:t>
      </w:r>
      <w:r w:rsidRPr="00766C75">
        <w:rPr>
          <w:rFonts w:ascii="Arial" w:hAnsi="Arial" w:cs="Arial"/>
          <w:color w:val="000000"/>
          <w:sz w:val="20"/>
          <w:szCs w:val="20"/>
          <w:lang w:val="en-US"/>
        </w:rPr>
        <w:t xml:space="preserve">. These distinctions are important because they imply that diverse types of knowledge must be considered for any comprehensive act of knowing. </w:t>
      </w:r>
    </w:p>
    <w:p w14:paraId="18CD4295" w14:textId="77777777" w:rsidR="00A53616" w:rsidRDefault="00A53616" w:rsidP="00766C75">
      <w:pPr>
        <w:spacing w:after="0" w:line="240" w:lineRule="auto"/>
        <w:jc w:val="both"/>
        <w:rPr>
          <w:rFonts w:ascii="Arial" w:hAnsi="Arial" w:cs="Arial"/>
          <w:color w:val="000000"/>
          <w:sz w:val="20"/>
          <w:szCs w:val="20"/>
          <w:lang w:val="en-US"/>
        </w:rPr>
      </w:pPr>
    </w:p>
    <w:p w14:paraId="15801517" w14:textId="77777777" w:rsidR="00A53616" w:rsidRPr="00766C75" w:rsidRDefault="00A53616" w:rsidP="00766C75">
      <w:pPr>
        <w:spacing w:after="0" w:line="240" w:lineRule="auto"/>
        <w:jc w:val="both"/>
        <w:rPr>
          <w:rFonts w:ascii="Arial" w:hAnsi="Arial" w:cs="Arial"/>
          <w:color w:val="000000"/>
          <w:sz w:val="20"/>
          <w:szCs w:val="20"/>
          <w:lang w:val="en-US"/>
        </w:rPr>
      </w:pPr>
    </w:p>
    <w:p w14:paraId="6DB5C75A" w14:textId="5D3ED745" w:rsidR="00A53616" w:rsidRPr="00766C75" w:rsidRDefault="006E1A4A" w:rsidP="00C66A92">
      <w:pPr>
        <w:spacing w:after="0" w:line="240" w:lineRule="auto"/>
        <w:jc w:val="center"/>
        <w:rPr>
          <w:rFonts w:ascii="Arial" w:hAnsi="Arial" w:cs="Arial"/>
          <w:color w:val="000000"/>
          <w:sz w:val="20"/>
          <w:szCs w:val="20"/>
          <w:lang w:val="en-US"/>
        </w:rPr>
      </w:pPr>
      <w:r w:rsidRPr="006E1A4A">
        <w:t xml:space="preserve"> </w:t>
      </w:r>
      <w:r>
        <w:rPr>
          <w:noProof/>
          <w:lang w:val="en-US"/>
        </w:rPr>
        <w:drawing>
          <wp:inline distT="0" distB="0" distL="0" distR="0" wp14:anchorId="5866AD8C" wp14:editId="761CA959">
            <wp:extent cx="4819650" cy="3347234"/>
            <wp:effectExtent l="0" t="0" r="0" b="5715"/>
            <wp:docPr id="5" name="Picture 5" descr="C:\Users\conti\AppData\Local\Microsoft\Windows\INetCache\Content.Word\Knowled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onti\AppData\Local\Microsoft\Windows\INetCache\Content.Word\Knowledge.jpg"/>
                    <pic:cNvPicPr>
                      <a:picLocks noChangeAspect="1" noChangeArrowheads="1"/>
                    </pic:cNvPicPr>
                  </pic:nvPicPr>
                  <pic:blipFill rotWithShape="1">
                    <a:blip r:embed="rId8">
                      <a:extLst>
                        <a:ext uri="{28A0092B-C50C-407E-A947-70E740481C1C}">
                          <a14:useLocalDpi xmlns:a14="http://schemas.microsoft.com/office/drawing/2010/main" val="0"/>
                        </a:ext>
                      </a:extLst>
                    </a:blip>
                    <a:srcRect l="19389" t="10439" r="22217" b="17463"/>
                    <a:stretch/>
                  </pic:blipFill>
                  <pic:spPr bwMode="auto">
                    <a:xfrm>
                      <a:off x="0" y="0"/>
                      <a:ext cx="4832877" cy="3356420"/>
                    </a:xfrm>
                    <a:prstGeom prst="rect">
                      <a:avLst/>
                    </a:prstGeom>
                    <a:noFill/>
                    <a:ln>
                      <a:noFill/>
                    </a:ln>
                    <a:extLst>
                      <a:ext uri="{53640926-AAD7-44d8-BBD7-CCE9431645EC}">
                        <a14:shadowObscured xmlns:a14="http://schemas.microsoft.com/office/drawing/2010/main"/>
                      </a:ext>
                    </a:extLst>
                  </pic:spPr>
                </pic:pic>
              </a:graphicData>
            </a:graphic>
          </wp:inline>
        </w:drawing>
      </w:r>
    </w:p>
    <w:p w14:paraId="71ADCA25" w14:textId="77777777" w:rsidR="00A53616" w:rsidRDefault="00A53616" w:rsidP="00766C75">
      <w:pPr>
        <w:spacing w:after="0" w:line="240" w:lineRule="auto"/>
        <w:jc w:val="center"/>
        <w:rPr>
          <w:rFonts w:ascii="Arial" w:hAnsi="Arial" w:cs="Arial"/>
          <w:b/>
          <w:color w:val="000000"/>
          <w:sz w:val="20"/>
          <w:szCs w:val="20"/>
          <w:u w:val="single"/>
          <w:lang w:val="en-US"/>
        </w:rPr>
      </w:pPr>
    </w:p>
    <w:p w14:paraId="3330D06C" w14:textId="77777777" w:rsidR="00A53616" w:rsidRPr="00C66A92" w:rsidRDefault="00A53616" w:rsidP="00766C75">
      <w:pPr>
        <w:spacing w:after="0" w:line="240" w:lineRule="auto"/>
        <w:jc w:val="center"/>
        <w:rPr>
          <w:rFonts w:ascii="Arial" w:hAnsi="Arial" w:cs="Arial"/>
          <w:b/>
          <w:color w:val="000000"/>
          <w:sz w:val="20"/>
          <w:szCs w:val="20"/>
          <w:u w:val="single"/>
          <w:lang w:val="en-US"/>
        </w:rPr>
      </w:pPr>
      <w:r w:rsidRPr="00C66A92">
        <w:rPr>
          <w:rFonts w:ascii="Arial" w:hAnsi="Arial" w:cs="Arial"/>
          <w:b/>
          <w:color w:val="000000"/>
          <w:sz w:val="20"/>
          <w:szCs w:val="20"/>
          <w:u w:val="single"/>
          <w:lang w:val="en-US"/>
        </w:rPr>
        <w:t xml:space="preserve">Figure 2: Types of </w:t>
      </w:r>
      <w:proofErr w:type="spellStart"/>
      <w:r>
        <w:rPr>
          <w:rFonts w:ascii="Arial" w:hAnsi="Arial" w:cs="Arial"/>
          <w:b/>
          <w:color w:val="000000"/>
          <w:sz w:val="20"/>
          <w:szCs w:val="20"/>
          <w:u w:val="single"/>
          <w:lang w:val="en-US"/>
        </w:rPr>
        <w:t>K</w:t>
      </w:r>
      <w:r w:rsidRPr="00C66A92">
        <w:rPr>
          <w:rFonts w:ascii="Arial" w:hAnsi="Arial" w:cs="Arial"/>
          <w:b/>
          <w:color w:val="000000"/>
          <w:sz w:val="20"/>
          <w:szCs w:val="20"/>
          <w:u w:val="single"/>
          <w:lang w:val="en-US"/>
        </w:rPr>
        <w:t>nowledges</w:t>
      </w:r>
      <w:proofErr w:type="spellEnd"/>
      <w:r w:rsidRPr="00C66A92">
        <w:rPr>
          <w:rFonts w:ascii="Arial" w:hAnsi="Arial" w:cs="Arial"/>
          <w:b/>
          <w:color w:val="000000"/>
          <w:sz w:val="20"/>
          <w:szCs w:val="20"/>
          <w:u w:val="single"/>
          <w:lang w:val="en-US"/>
        </w:rPr>
        <w:t xml:space="preserve"> </w:t>
      </w:r>
    </w:p>
    <w:p w14:paraId="72B8971F" w14:textId="77777777" w:rsidR="00A53616" w:rsidRDefault="00A53616" w:rsidP="00766C75">
      <w:pPr>
        <w:spacing w:after="0" w:line="240" w:lineRule="auto"/>
        <w:jc w:val="center"/>
        <w:rPr>
          <w:rFonts w:ascii="Arial" w:hAnsi="Arial" w:cs="Arial"/>
          <w:color w:val="000000"/>
          <w:sz w:val="20"/>
          <w:szCs w:val="20"/>
          <w:lang w:val="en-US"/>
        </w:rPr>
      </w:pPr>
      <w:r w:rsidRPr="00766C75">
        <w:rPr>
          <w:rFonts w:ascii="Arial" w:hAnsi="Arial" w:cs="Arial"/>
          <w:color w:val="000000"/>
          <w:sz w:val="20"/>
          <w:szCs w:val="20"/>
          <w:lang w:val="en-US"/>
        </w:rPr>
        <w:t>(</w:t>
      </w:r>
      <w:proofErr w:type="gramStart"/>
      <w:r w:rsidRPr="00766C75">
        <w:rPr>
          <w:rFonts w:ascii="Arial" w:hAnsi="Arial" w:cs="Arial"/>
          <w:color w:val="000000"/>
          <w:sz w:val="20"/>
          <w:szCs w:val="20"/>
          <w:lang w:val="en-US"/>
        </w:rPr>
        <w:t>authors’</w:t>
      </w:r>
      <w:proofErr w:type="gramEnd"/>
      <w:r w:rsidRPr="00766C75">
        <w:rPr>
          <w:rFonts w:ascii="Arial" w:hAnsi="Arial" w:cs="Arial"/>
          <w:color w:val="000000"/>
          <w:sz w:val="20"/>
          <w:szCs w:val="20"/>
          <w:lang w:val="en-US"/>
        </w:rPr>
        <w:t xml:space="preserve"> own development)</w:t>
      </w:r>
    </w:p>
    <w:p w14:paraId="2E8A82F0" w14:textId="77777777" w:rsidR="00A53616" w:rsidRPr="00766C75" w:rsidRDefault="00A53616" w:rsidP="00766C75">
      <w:pPr>
        <w:spacing w:after="0" w:line="240" w:lineRule="auto"/>
        <w:jc w:val="center"/>
        <w:rPr>
          <w:rFonts w:ascii="Arial" w:hAnsi="Arial" w:cs="Arial"/>
          <w:color w:val="000000"/>
          <w:sz w:val="20"/>
          <w:szCs w:val="20"/>
          <w:lang w:val="en-US"/>
        </w:rPr>
      </w:pPr>
    </w:p>
    <w:p w14:paraId="12CE02A3" w14:textId="77777777" w:rsidR="00A53616" w:rsidRDefault="00A53616" w:rsidP="00766C75">
      <w:pPr>
        <w:spacing w:after="0" w:line="240" w:lineRule="auto"/>
        <w:jc w:val="both"/>
        <w:rPr>
          <w:rFonts w:ascii="Arial" w:hAnsi="Arial" w:cs="Arial"/>
          <w:color w:val="000000"/>
          <w:sz w:val="20"/>
          <w:szCs w:val="20"/>
          <w:lang w:val="en-US"/>
        </w:rPr>
      </w:pPr>
    </w:p>
    <w:p w14:paraId="0447EBB4" w14:textId="77777777" w:rsidR="00A53616" w:rsidRPr="00766C75" w:rsidRDefault="00A53616" w:rsidP="00766C75">
      <w:pPr>
        <w:spacing w:after="0" w:line="240" w:lineRule="auto"/>
        <w:jc w:val="both"/>
        <w:rPr>
          <w:rFonts w:ascii="Arial" w:hAnsi="Arial" w:cs="Arial"/>
          <w:color w:val="000000"/>
          <w:sz w:val="20"/>
          <w:szCs w:val="20"/>
          <w:lang w:val="en-US"/>
        </w:rPr>
      </w:pPr>
      <w:r w:rsidRPr="00766C75">
        <w:rPr>
          <w:rFonts w:ascii="Arial" w:hAnsi="Arial" w:cs="Arial"/>
          <w:color w:val="000000"/>
          <w:sz w:val="20"/>
          <w:szCs w:val="20"/>
          <w:lang w:val="en-US"/>
        </w:rPr>
        <w:t>The following sections expand upon each of the four quadrants shown in figure 2 above, illustrating the location and nature of knowledge and its transfer.</w:t>
      </w:r>
    </w:p>
    <w:p w14:paraId="562A0C9D" w14:textId="77777777" w:rsidR="00A53616" w:rsidRPr="00766C75" w:rsidRDefault="00A53616" w:rsidP="00766C75">
      <w:pPr>
        <w:pStyle w:val="NormalWeb"/>
        <w:spacing w:before="0" w:beforeAutospacing="0" w:after="0" w:afterAutospacing="0"/>
        <w:rPr>
          <w:rFonts w:ascii="Arial" w:hAnsi="Arial" w:cs="Arial"/>
          <w:color w:val="000000" w:themeColor="text1"/>
          <w:kern w:val="24"/>
          <w:sz w:val="20"/>
          <w:szCs w:val="20"/>
        </w:rPr>
      </w:pPr>
    </w:p>
    <w:p w14:paraId="2632D407" w14:textId="4ED559FE" w:rsidR="00A53616" w:rsidRPr="00BB7500" w:rsidRDefault="00A53616" w:rsidP="00766C75">
      <w:pPr>
        <w:pStyle w:val="NormalWeb"/>
        <w:spacing w:before="0" w:beforeAutospacing="0" w:after="0" w:afterAutospacing="0"/>
        <w:rPr>
          <w:rFonts w:ascii="Arial" w:hAnsi="Arial" w:cs="Arial"/>
          <w:b/>
          <w:bCs/>
          <w:i/>
          <w:color w:val="000000" w:themeColor="text1"/>
          <w:kern w:val="24"/>
          <w:sz w:val="22"/>
          <w:szCs w:val="22"/>
        </w:rPr>
      </w:pPr>
      <w:r w:rsidRPr="00BB7500">
        <w:rPr>
          <w:rFonts w:ascii="Arial" w:hAnsi="Arial" w:cs="Arial"/>
          <w:b/>
          <w:bCs/>
          <w:i/>
          <w:color w:val="000000" w:themeColor="text1"/>
          <w:kern w:val="24"/>
          <w:sz w:val="22"/>
          <w:szCs w:val="22"/>
        </w:rPr>
        <w:t>High</w:t>
      </w:r>
      <w:r w:rsidR="006E1A4A">
        <w:rPr>
          <w:rFonts w:ascii="Arial" w:hAnsi="Arial" w:cs="Arial"/>
          <w:b/>
          <w:bCs/>
          <w:i/>
          <w:color w:val="000000" w:themeColor="text1"/>
          <w:kern w:val="24"/>
          <w:sz w:val="22"/>
          <w:szCs w:val="22"/>
        </w:rPr>
        <w:t xml:space="preserve"> </w:t>
      </w:r>
      <w:r w:rsidRPr="00BB7500">
        <w:rPr>
          <w:rFonts w:ascii="Arial" w:hAnsi="Arial" w:cs="Arial"/>
          <w:b/>
          <w:bCs/>
          <w:i/>
          <w:color w:val="000000" w:themeColor="text1"/>
          <w:kern w:val="24"/>
          <w:sz w:val="22"/>
          <w:szCs w:val="22"/>
        </w:rPr>
        <w:t>Level, Declared Knowledge</w:t>
      </w:r>
    </w:p>
    <w:p w14:paraId="06FCE717" w14:textId="77777777" w:rsidR="00A53616" w:rsidRPr="00766C75" w:rsidRDefault="00A53616" w:rsidP="00BB7500">
      <w:pPr>
        <w:pStyle w:val="NormalWeb"/>
        <w:spacing w:before="0" w:beforeAutospacing="0" w:after="0" w:afterAutospacing="0"/>
        <w:jc w:val="both"/>
        <w:rPr>
          <w:rFonts w:ascii="Arial" w:hAnsi="Arial" w:cs="Arial"/>
          <w:color w:val="000000" w:themeColor="text1"/>
          <w:kern w:val="24"/>
          <w:sz w:val="20"/>
          <w:szCs w:val="20"/>
        </w:rPr>
      </w:pPr>
      <w:r w:rsidRPr="00766C75">
        <w:rPr>
          <w:rFonts w:ascii="Arial" w:hAnsi="Arial" w:cs="Arial"/>
          <w:color w:val="000000" w:themeColor="text1"/>
          <w:kern w:val="24"/>
          <w:sz w:val="20"/>
          <w:szCs w:val="20"/>
        </w:rPr>
        <w:t xml:space="preserve">A defining characteristic of planning and bushfire risk management systems in Australia and in the particular case to be studied, Victoria, is the level of centralization at upper governance tiers that set out the fundamental qualities of bushfire assessment and treatment.  As will be shown, this centralizing tendency has a range of impacts on processes used and the qualities of outcomes achieved.  This fundamental dilemma between central systems and local place-based approaches is a common challenge in planning systems, while the actual manifestations and implications of any particular resolution vary considerably between cases </w:t>
      </w:r>
      <w:r w:rsidRPr="00766C75">
        <w:rPr>
          <w:rFonts w:ascii="Arial" w:hAnsi="Arial" w:cs="Arial"/>
          <w:noProof/>
          <w:color w:val="000000" w:themeColor="text1"/>
          <w:kern w:val="24"/>
          <w:sz w:val="20"/>
          <w:szCs w:val="20"/>
        </w:rPr>
        <w:t>(March, 2012)</w:t>
      </w:r>
      <w:r w:rsidRPr="00766C75">
        <w:rPr>
          <w:rFonts w:ascii="Arial" w:hAnsi="Arial" w:cs="Arial"/>
          <w:color w:val="000000" w:themeColor="text1"/>
          <w:kern w:val="24"/>
          <w:sz w:val="20"/>
          <w:szCs w:val="20"/>
        </w:rPr>
        <w:t xml:space="preserve">.  </w:t>
      </w:r>
    </w:p>
    <w:p w14:paraId="2F3A08F7" w14:textId="5A253179" w:rsidR="00A53616" w:rsidRPr="00766C75" w:rsidRDefault="00A53616" w:rsidP="00BB7500">
      <w:pPr>
        <w:pStyle w:val="NormalWeb"/>
        <w:spacing w:before="0" w:beforeAutospacing="0" w:after="0" w:afterAutospacing="0"/>
        <w:jc w:val="both"/>
        <w:rPr>
          <w:rFonts w:ascii="Arial" w:hAnsi="Arial" w:cs="Arial"/>
          <w:color w:val="000000" w:themeColor="text1"/>
          <w:kern w:val="24"/>
          <w:sz w:val="20"/>
          <w:szCs w:val="20"/>
        </w:rPr>
      </w:pPr>
      <w:r w:rsidRPr="00766C75">
        <w:rPr>
          <w:rFonts w:ascii="Arial" w:hAnsi="Arial" w:cs="Arial"/>
          <w:color w:val="000000" w:themeColor="text1"/>
          <w:kern w:val="24"/>
          <w:sz w:val="20"/>
          <w:szCs w:val="20"/>
        </w:rPr>
        <w:t xml:space="preserve">We argue in this paper that in Victoria, bushfire integration with urban planning case shows many centralist tendencies, and that one of the implications of this </w:t>
      </w:r>
      <w:r w:rsidR="00FA6E89">
        <w:rPr>
          <w:rFonts w:ascii="Arial" w:hAnsi="Arial" w:cs="Arial"/>
          <w:color w:val="000000" w:themeColor="text1"/>
          <w:kern w:val="24"/>
          <w:sz w:val="20"/>
          <w:szCs w:val="20"/>
        </w:rPr>
        <w:t xml:space="preserve">is </w:t>
      </w:r>
      <w:r w:rsidRPr="00766C75">
        <w:rPr>
          <w:rFonts w:ascii="Arial" w:hAnsi="Arial" w:cs="Arial"/>
          <w:color w:val="000000" w:themeColor="text1"/>
          <w:kern w:val="24"/>
          <w:sz w:val="20"/>
          <w:szCs w:val="20"/>
        </w:rPr>
        <w:t xml:space="preserve">that knowledge development, translation and application to practice occurs in specific ways. At a fundamental base of scientific knowledge considerable influence is exerted by science-based research and this provides for high levels of trust in the fundamental science that underpins many other aspects of the planning system, despite any controversy that might exist in terms of how science knowledge is then translated. Accordingly, examination of key documents that underpin many </w:t>
      </w:r>
      <w:proofErr w:type="gramStart"/>
      <w:r w:rsidRPr="00766C75">
        <w:rPr>
          <w:rFonts w:ascii="Arial" w:hAnsi="Arial" w:cs="Arial"/>
          <w:color w:val="000000" w:themeColor="text1"/>
          <w:kern w:val="24"/>
          <w:sz w:val="20"/>
          <w:szCs w:val="20"/>
        </w:rPr>
        <w:t>decision making</w:t>
      </w:r>
      <w:proofErr w:type="gramEnd"/>
      <w:r w:rsidRPr="00766C75">
        <w:rPr>
          <w:rFonts w:ascii="Arial" w:hAnsi="Arial" w:cs="Arial"/>
          <w:color w:val="000000" w:themeColor="text1"/>
          <w:kern w:val="24"/>
          <w:sz w:val="20"/>
          <w:szCs w:val="20"/>
        </w:rPr>
        <w:t xml:space="preserve"> processes such as </w:t>
      </w:r>
      <w:r w:rsidRPr="00766C75">
        <w:rPr>
          <w:rFonts w:ascii="Arial" w:hAnsi="Arial" w:cs="Arial"/>
          <w:color w:val="000000" w:themeColor="text1"/>
          <w:kern w:val="24"/>
          <w:sz w:val="20"/>
          <w:szCs w:val="20"/>
        </w:rPr>
        <w:lastRenderedPageBreak/>
        <w:t xml:space="preserve">AS3959 </w:t>
      </w:r>
      <w:r w:rsidRPr="00766C75">
        <w:rPr>
          <w:rFonts w:ascii="Arial" w:hAnsi="Arial" w:cs="Arial"/>
          <w:noProof/>
          <w:color w:val="000000" w:themeColor="text1"/>
          <w:kern w:val="24"/>
          <w:sz w:val="20"/>
          <w:szCs w:val="20"/>
        </w:rPr>
        <w:t>(2009)</w:t>
      </w:r>
      <w:r w:rsidRPr="00766C75">
        <w:rPr>
          <w:rFonts w:ascii="Arial" w:hAnsi="Arial" w:cs="Arial"/>
          <w:color w:val="000000" w:themeColor="text1"/>
          <w:kern w:val="24"/>
          <w:sz w:val="20"/>
          <w:szCs w:val="20"/>
        </w:rPr>
        <w:t xml:space="preserve"> Building in Bushfire Prone Areas reveals strong links back to respected scientific peer reviewed journals. These articles provide a strong base in fire intensity in a range of terrains, and include calculations to consider weather conditions, fuel loads for various landscapes, and a range of building materials. This is international-level science that is expressed in National building code with little variation across states.  </w:t>
      </w:r>
    </w:p>
    <w:p w14:paraId="6076BAA1" w14:textId="77777777" w:rsidR="00A53616" w:rsidRPr="00766C75" w:rsidRDefault="00A53616" w:rsidP="00BB7500">
      <w:pPr>
        <w:pStyle w:val="NormalWeb"/>
        <w:spacing w:before="0" w:beforeAutospacing="0" w:after="0" w:afterAutospacing="0"/>
        <w:jc w:val="both"/>
        <w:rPr>
          <w:rFonts w:ascii="Arial" w:hAnsi="Arial" w:cs="Arial"/>
          <w:color w:val="000000" w:themeColor="text1"/>
          <w:kern w:val="24"/>
          <w:sz w:val="20"/>
          <w:szCs w:val="20"/>
        </w:rPr>
      </w:pPr>
      <w:r w:rsidRPr="00766C75">
        <w:rPr>
          <w:rFonts w:ascii="Arial" w:hAnsi="Arial" w:cs="Arial"/>
          <w:color w:val="000000" w:themeColor="text1"/>
          <w:kern w:val="24"/>
          <w:sz w:val="20"/>
          <w:szCs w:val="20"/>
        </w:rPr>
        <w:t xml:space="preserve">In Australia, there are many high level documents and policies that set out goals and the general position of government in terms of urban planning and bushfire, albeit often under umbrella terms such as disaster management and more recently resilience. These include the National Strategy for Disaster Resilience </w:t>
      </w:r>
      <w:r w:rsidRPr="00766C75">
        <w:rPr>
          <w:rFonts w:ascii="Arial" w:hAnsi="Arial" w:cs="Arial"/>
          <w:noProof/>
          <w:color w:val="000000" w:themeColor="text1"/>
          <w:kern w:val="24"/>
          <w:sz w:val="20"/>
          <w:szCs w:val="20"/>
        </w:rPr>
        <w:t>(2011)</w:t>
      </w:r>
      <w:r w:rsidRPr="00766C75">
        <w:rPr>
          <w:rFonts w:ascii="Arial" w:hAnsi="Arial" w:cs="Arial"/>
          <w:color w:val="000000" w:themeColor="text1"/>
          <w:kern w:val="24"/>
          <w:sz w:val="20"/>
          <w:szCs w:val="20"/>
        </w:rPr>
        <w:t xml:space="preserve"> and the National Climate Resilience and Adaptation Strategy </w:t>
      </w:r>
      <w:r w:rsidRPr="00766C75">
        <w:rPr>
          <w:rFonts w:ascii="Arial" w:hAnsi="Arial" w:cs="Arial"/>
          <w:noProof/>
          <w:color w:val="000000" w:themeColor="text1"/>
          <w:kern w:val="24"/>
          <w:sz w:val="20"/>
          <w:szCs w:val="20"/>
        </w:rPr>
        <w:t>(2015)</w:t>
      </w:r>
      <w:r w:rsidRPr="00766C75">
        <w:rPr>
          <w:rFonts w:ascii="Arial" w:hAnsi="Arial" w:cs="Arial"/>
          <w:color w:val="000000" w:themeColor="text1"/>
          <w:kern w:val="24"/>
          <w:sz w:val="20"/>
          <w:szCs w:val="20"/>
        </w:rPr>
        <w:t xml:space="preserve">.  At Victorian state level there is the Bushfire Safety Policy Framework </w:t>
      </w:r>
      <w:r w:rsidRPr="00766C75">
        <w:rPr>
          <w:rFonts w:ascii="Arial" w:hAnsi="Arial" w:cs="Arial"/>
          <w:noProof/>
          <w:color w:val="000000" w:themeColor="text1"/>
          <w:kern w:val="24"/>
          <w:sz w:val="20"/>
          <w:szCs w:val="20"/>
        </w:rPr>
        <w:t>(2013)</w:t>
      </w:r>
      <w:r w:rsidRPr="00766C75">
        <w:rPr>
          <w:rFonts w:ascii="Arial" w:hAnsi="Arial" w:cs="Arial"/>
          <w:color w:val="000000" w:themeColor="text1"/>
          <w:kern w:val="24"/>
          <w:sz w:val="20"/>
          <w:szCs w:val="20"/>
        </w:rPr>
        <w:t xml:space="preserve"> published by Emergency Management Victoria and the Victorian Planning Provisions </w:t>
      </w:r>
      <w:r w:rsidRPr="00766C75">
        <w:rPr>
          <w:rFonts w:ascii="Arial" w:hAnsi="Arial" w:cs="Arial"/>
          <w:noProof/>
          <w:color w:val="000000" w:themeColor="text1"/>
          <w:kern w:val="24"/>
          <w:sz w:val="20"/>
          <w:szCs w:val="20"/>
        </w:rPr>
        <w:t>(2017)</w:t>
      </w:r>
      <w:r w:rsidRPr="00766C75">
        <w:rPr>
          <w:rFonts w:ascii="Arial" w:hAnsi="Arial" w:cs="Arial"/>
          <w:color w:val="000000" w:themeColor="text1"/>
          <w:kern w:val="24"/>
          <w:sz w:val="20"/>
          <w:szCs w:val="20"/>
        </w:rPr>
        <w:t xml:space="preserve"> that include a range of state level policies that treat bushfire risks via Building and Planning Provisions.  In particular, all Victorian Planning Schemes, (prepared at state level adapted by individual local governments) and the Bushfire Safety Policy Framework include provisions that </w:t>
      </w:r>
      <w:proofErr w:type="spellStart"/>
      <w:r w:rsidRPr="00766C75">
        <w:rPr>
          <w:rFonts w:ascii="Arial" w:hAnsi="Arial" w:cs="Arial"/>
          <w:color w:val="000000" w:themeColor="text1"/>
          <w:kern w:val="24"/>
          <w:sz w:val="20"/>
          <w:szCs w:val="20"/>
        </w:rPr>
        <w:t>prioritisation</w:t>
      </w:r>
      <w:proofErr w:type="spellEnd"/>
      <w:r w:rsidRPr="00766C75">
        <w:rPr>
          <w:rFonts w:ascii="Arial" w:hAnsi="Arial" w:cs="Arial"/>
          <w:color w:val="000000" w:themeColor="text1"/>
          <w:kern w:val="24"/>
          <w:sz w:val="20"/>
          <w:szCs w:val="20"/>
        </w:rPr>
        <w:t xml:space="preserve"> of human life is paramount, in addition to there being a general understanding in the community that the principle of shared responsibility be adopted </w:t>
      </w:r>
      <w:r>
        <w:rPr>
          <w:rFonts w:ascii="Arial" w:hAnsi="Arial" w:cs="Arial"/>
          <w:noProof/>
          <w:color w:val="000000" w:themeColor="text1"/>
          <w:kern w:val="24"/>
          <w:sz w:val="20"/>
          <w:szCs w:val="20"/>
        </w:rPr>
        <w:t>(Emergency Management Victoria, 2013)</w:t>
      </w:r>
      <w:r w:rsidRPr="00766C75">
        <w:rPr>
          <w:rFonts w:ascii="Arial" w:hAnsi="Arial" w:cs="Arial"/>
          <w:color w:val="000000" w:themeColor="text1"/>
          <w:kern w:val="24"/>
          <w:sz w:val="20"/>
          <w:szCs w:val="20"/>
        </w:rPr>
        <w:t xml:space="preserve">.  </w:t>
      </w:r>
    </w:p>
    <w:p w14:paraId="45E29698" w14:textId="77777777" w:rsidR="00A53616" w:rsidRPr="00766C75" w:rsidRDefault="00A53616" w:rsidP="00BB7500">
      <w:pPr>
        <w:pStyle w:val="NormalWeb"/>
        <w:spacing w:before="0" w:beforeAutospacing="0" w:after="0" w:afterAutospacing="0"/>
        <w:jc w:val="both"/>
        <w:rPr>
          <w:rFonts w:ascii="Arial" w:hAnsi="Arial" w:cs="Arial"/>
          <w:color w:val="000000" w:themeColor="text1"/>
          <w:kern w:val="24"/>
          <w:sz w:val="20"/>
          <w:szCs w:val="20"/>
        </w:rPr>
      </w:pPr>
      <w:r w:rsidRPr="00766C75">
        <w:rPr>
          <w:rFonts w:ascii="Arial" w:hAnsi="Arial" w:cs="Arial"/>
          <w:color w:val="000000" w:themeColor="text1"/>
          <w:kern w:val="24"/>
          <w:sz w:val="20"/>
          <w:szCs w:val="20"/>
        </w:rPr>
        <w:t xml:space="preserve">High level mapping at state government level has been carried out over most of the state of Victoria, and this provides a starting point for the identification of broad bushfire risk categories.  Science based calculations of fire intensity developed using geographic information systems are expressed in key documents such as Planning Advisory Note 46 </w:t>
      </w:r>
      <w:r w:rsidRPr="00766C75">
        <w:rPr>
          <w:rFonts w:ascii="Arial" w:hAnsi="Arial" w:cs="Arial"/>
          <w:noProof/>
          <w:color w:val="000000" w:themeColor="text1"/>
          <w:kern w:val="24"/>
          <w:sz w:val="20"/>
          <w:szCs w:val="20"/>
        </w:rPr>
        <w:t>(DPTI, 2013)</w:t>
      </w:r>
      <w:r w:rsidRPr="00766C75">
        <w:rPr>
          <w:rFonts w:ascii="Arial" w:hAnsi="Arial" w:cs="Arial"/>
          <w:color w:val="000000" w:themeColor="text1"/>
          <w:kern w:val="24"/>
          <w:sz w:val="20"/>
          <w:szCs w:val="20"/>
        </w:rPr>
        <w:t xml:space="preserve">. As a result, there are three main categories of risk that act as triggers for further assessment of fire risk on a given site should it be identified. The Bushfire Prone Area (BPA) mapping, which covers much of the state indicates medium risk that a bushfire risk assessment must be carried out and an appropriate treatment of risk be applied to any new development. Inclusion in the Bushfire Management Overlay (BMO), a smaller proportion but still considerable proportion of the state, indicates that more stringent tests and treatment are necessary prior to approval of subdivision or development of land. Inclusion within the </w:t>
      </w:r>
      <w:proofErr w:type="gramStart"/>
      <w:r w:rsidRPr="00766C75">
        <w:rPr>
          <w:rFonts w:ascii="Arial" w:hAnsi="Arial" w:cs="Arial"/>
          <w:color w:val="000000" w:themeColor="text1"/>
          <w:kern w:val="24"/>
          <w:sz w:val="20"/>
          <w:szCs w:val="20"/>
        </w:rPr>
        <w:t>BMO,</w:t>
      </w:r>
      <w:proofErr w:type="gramEnd"/>
      <w:r w:rsidRPr="00766C75">
        <w:rPr>
          <w:rFonts w:ascii="Arial" w:hAnsi="Arial" w:cs="Arial"/>
          <w:color w:val="000000" w:themeColor="text1"/>
          <w:kern w:val="24"/>
          <w:sz w:val="20"/>
          <w:szCs w:val="20"/>
        </w:rPr>
        <w:t xml:space="preserve"> requires that Building and Urban Planning controls be applied and approved prior to any subdivision or development on the land (Victorian Planning Provisions: Clause 44.06).   </w:t>
      </w:r>
    </w:p>
    <w:p w14:paraId="20B81279" w14:textId="77777777" w:rsidR="00A53616" w:rsidRPr="00766C75" w:rsidRDefault="00A53616" w:rsidP="00BB7500">
      <w:pPr>
        <w:spacing w:after="0" w:line="240" w:lineRule="auto"/>
        <w:jc w:val="both"/>
        <w:rPr>
          <w:rFonts w:ascii="Arial" w:hAnsi="Arial" w:cs="Arial"/>
          <w:color w:val="000000" w:themeColor="text1"/>
          <w:kern w:val="24"/>
          <w:sz w:val="20"/>
          <w:szCs w:val="20"/>
        </w:rPr>
      </w:pPr>
      <w:bookmarkStart w:id="0" w:name="_Hlk488655926"/>
      <w:r w:rsidRPr="00766C75">
        <w:rPr>
          <w:rFonts w:ascii="Arial" w:hAnsi="Arial" w:cs="Arial"/>
          <w:color w:val="000000" w:themeColor="text1"/>
          <w:kern w:val="24"/>
          <w:sz w:val="20"/>
          <w:szCs w:val="20"/>
        </w:rPr>
        <w:t xml:space="preserve">After </w:t>
      </w:r>
      <w:proofErr w:type="gramStart"/>
      <w:r w:rsidRPr="00766C75">
        <w:rPr>
          <w:rFonts w:ascii="Arial" w:hAnsi="Arial" w:cs="Arial"/>
          <w:color w:val="000000" w:themeColor="text1"/>
          <w:kern w:val="24"/>
          <w:sz w:val="20"/>
          <w:szCs w:val="20"/>
        </w:rPr>
        <w:t>large scale</w:t>
      </w:r>
      <w:proofErr w:type="gramEnd"/>
      <w:r w:rsidRPr="00766C75">
        <w:rPr>
          <w:rFonts w:ascii="Arial" w:hAnsi="Arial" w:cs="Arial"/>
          <w:color w:val="000000" w:themeColor="text1"/>
          <w:kern w:val="24"/>
          <w:sz w:val="20"/>
          <w:szCs w:val="20"/>
        </w:rPr>
        <w:t xml:space="preserve"> fire events, it is common for royal commissions or enquiries to be established to examine causes, culpability and lessons from the event.  The large 2009 Victorian fire complex in which 173 deaths occurred resulted in the establishment of the 2009 Victorian Bushfires Royal Commission. The lengthy and thorough hearings resulted in a Final Report in 2010 </w:t>
      </w:r>
      <w:bookmarkEnd w:id="0"/>
      <w:r w:rsidRPr="00766C75">
        <w:rPr>
          <w:rFonts w:ascii="Arial" w:hAnsi="Arial" w:cs="Arial"/>
          <w:color w:val="000000" w:themeColor="text1"/>
          <w:kern w:val="24"/>
          <w:sz w:val="20"/>
          <w:szCs w:val="20"/>
        </w:rPr>
        <w:t xml:space="preserve">that included five Volumes plus a Summary Report </w:t>
      </w:r>
      <w:r>
        <w:rPr>
          <w:rFonts w:ascii="Arial" w:hAnsi="Arial" w:cs="Arial"/>
          <w:noProof/>
          <w:color w:val="000000" w:themeColor="text1"/>
          <w:kern w:val="24"/>
          <w:sz w:val="20"/>
          <w:szCs w:val="20"/>
        </w:rPr>
        <w:t>(Teague et al., 2010b, Teague et al., 2010a)</w:t>
      </w:r>
      <w:r w:rsidRPr="00766C75">
        <w:rPr>
          <w:rFonts w:ascii="Arial" w:hAnsi="Arial" w:cs="Arial"/>
          <w:color w:val="000000" w:themeColor="text1"/>
          <w:kern w:val="24"/>
          <w:sz w:val="20"/>
          <w:szCs w:val="20"/>
        </w:rPr>
        <w:t xml:space="preserve">. The report now provides a statement of findings and of recommendations that continue to be used as a reference and source of information and guidance regarding further actions combatting bushfire risks across a number of domains, including bushfires and urban planning.    </w:t>
      </w:r>
      <w:bookmarkStart w:id="1" w:name="_GoBack"/>
      <w:bookmarkEnd w:id="1"/>
    </w:p>
    <w:p w14:paraId="50A969D9" w14:textId="77777777" w:rsidR="00A53616" w:rsidRPr="00766C75" w:rsidRDefault="00A53616" w:rsidP="00BB7500">
      <w:pPr>
        <w:pStyle w:val="NormalWeb"/>
        <w:spacing w:before="0" w:beforeAutospacing="0" w:after="0" w:afterAutospacing="0"/>
        <w:jc w:val="both"/>
        <w:rPr>
          <w:rFonts w:ascii="Arial" w:hAnsi="Arial" w:cs="Arial"/>
          <w:color w:val="000000" w:themeColor="text1"/>
          <w:kern w:val="24"/>
          <w:sz w:val="20"/>
          <w:szCs w:val="20"/>
        </w:rPr>
      </w:pPr>
    </w:p>
    <w:p w14:paraId="0E4E8506" w14:textId="5D1FC879" w:rsidR="00A53616" w:rsidRPr="00BB7500" w:rsidRDefault="00A53616" w:rsidP="00BB7500">
      <w:pPr>
        <w:pStyle w:val="NormalWeb"/>
        <w:spacing w:before="0" w:beforeAutospacing="0" w:after="0" w:afterAutospacing="0"/>
        <w:jc w:val="both"/>
        <w:rPr>
          <w:rFonts w:ascii="Arial" w:hAnsi="Arial" w:cs="Arial"/>
          <w:b/>
          <w:bCs/>
          <w:i/>
          <w:color w:val="000000" w:themeColor="text1"/>
          <w:kern w:val="24"/>
          <w:sz w:val="22"/>
          <w:szCs w:val="22"/>
        </w:rPr>
      </w:pPr>
      <w:r w:rsidRPr="00BB7500">
        <w:rPr>
          <w:rFonts w:ascii="Arial" w:hAnsi="Arial" w:cs="Arial"/>
          <w:b/>
          <w:bCs/>
          <w:i/>
          <w:color w:val="000000" w:themeColor="text1"/>
          <w:kern w:val="24"/>
          <w:sz w:val="22"/>
          <w:szCs w:val="22"/>
        </w:rPr>
        <w:t xml:space="preserve">High Level, </w:t>
      </w:r>
      <w:r w:rsidR="006E1A4A">
        <w:rPr>
          <w:rFonts w:ascii="Arial" w:hAnsi="Arial" w:cs="Arial"/>
          <w:b/>
          <w:bCs/>
          <w:i/>
          <w:color w:val="000000" w:themeColor="text1"/>
          <w:kern w:val="24"/>
          <w:sz w:val="22"/>
          <w:szCs w:val="22"/>
        </w:rPr>
        <w:t>Procedural</w:t>
      </w:r>
      <w:r w:rsidRPr="00BB7500">
        <w:rPr>
          <w:rFonts w:ascii="Arial" w:hAnsi="Arial" w:cs="Arial"/>
          <w:b/>
          <w:bCs/>
          <w:i/>
          <w:color w:val="000000" w:themeColor="text1"/>
          <w:kern w:val="24"/>
          <w:sz w:val="22"/>
          <w:szCs w:val="22"/>
        </w:rPr>
        <w:t xml:space="preserve"> Knowledge</w:t>
      </w:r>
    </w:p>
    <w:p w14:paraId="7551ECD3" w14:textId="28C5EF72" w:rsidR="00A53616" w:rsidRPr="00766C75" w:rsidRDefault="00A53616" w:rsidP="00BB7500">
      <w:pPr>
        <w:pStyle w:val="NormalWeb"/>
        <w:spacing w:before="0" w:beforeAutospacing="0" w:after="0" w:afterAutospacing="0"/>
        <w:jc w:val="both"/>
        <w:rPr>
          <w:rFonts w:ascii="Arial" w:hAnsi="Arial" w:cs="Arial"/>
          <w:color w:val="000000" w:themeColor="text1"/>
          <w:kern w:val="24"/>
          <w:sz w:val="20"/>
          <w:szCs w:val="20"/>
        </w:rPr>
      </w:pPr>
      <w:r w:rsidRPr="00766C75">
        <w:rPr>
          <w:rFonts w:ascii="Arial" w:hAnsi="Arial" w:cs="Arial"/>
          <w:color w:val="000000" w:themeColor="text1"/>
          <w:kern w:val="24"/>
          <w:sz w:val="20"/>
          <w:szCs w:val="20"/>
        </w:rPr>
        <w:t>As shown above, there is relative coherence of scientific, legal, planning policy and procedural knowledge declared via mandatory regulation, statute and policy at state level in Victoria relating to bushfire.  In parallel, there is considerable translation of knowledge via the actions of the various agencies and various actors charged with responsibilities or provided with powers to act in accordance with their charters.  For instance, the</w:t>
      </w:r>
      <w:bookmarkStart w:id="2" w:name="_Hlk488656010"/>
      <w:r w:rsidRPr="00766C75">
        <w:rPr>
          <w:rFonts w:ascii="Arial" w:hAnsi="Arial" w:cs="Arial"/>
          <w:color w:val="000000" w:themeColor="text1"/>
          <w:kern w:val="24"/>
          <w:sz w:val="20"/>
          <w:szCs w:val="20"/>
        </w:rPr>
        <w:t xml:space="preserve"> </w:t>
      </w:r>
      <w:r w:rsidRPr="00766C75">
        <w:rPr>
          <w:rFonts w:ascii="Arial" w:hAnsi="Arial" w:cs="Arial"/>
          <w:noProof/>
          <w:color w:val="000000" w:themeColor="text1"/>
          <w:kern w:val="24"/>
          <w:sz w:val="20"/>
          <w:szCs w:val="20"/>
        </w:rPr>
        <w:t>Planning and Environment Act (</w:t>
      </w:r>
      <w:r w:rsidR="00E70012">
        <w:rPr>
          <w:rFonts w:ascii="Arial" w:hAnsi="Arial" w:cs="Arial"/>
          <w:noProof/>
          <w:color w:val="000000" w:themeColor="text1"/>
          <w:kern w:val="24"/>
          <w:sz w:val="20"/>
          <w:szCs w:val="20"/>
        </w:rPr>
        <w:t xml:space="preserve">Victorian State Government, </w:t>
      </w:r>
      <w:r w:rsidRPr="00766C75">
        <w:rPr>
          <w:rFonts w:ascii="Arial" w:hAnsi="Arial" w:cs="Arial"/>
          <w:noProof/>
          <w:color w:val="000000" w:themeColor="text1"/>
          <w:kern w:val="24"/>
          <w:sz w:val="20"/>
          <w:szCs w:val="20"/>
        </w:rPr>
        <w:t>1987 as amended)</w:t>
      </w:r>
      <w:r w:rsidRPr="00766C75">
        <w:rPr>
          <w:rFonts w:ascii="Arial" w:hAnsi="Arial" w:cs="Arial"/>
          <w:color w:val="000000" w:themeColor="text1"/>
          <w:kern w:val="24"/>
          <w:sz w:val="20"/>
          <w:szCs w:val="20"/>
        </w:rPr>
        <w:t xml:space="preserve"> </w:t>
      </w:r>
      <w:bookmarkEnd w:id="2"/>
      <w:r w:rsidRPr="00766C75">
        <w:rPr>
          <w:rFonts w:ascii="Arial" w:hAnsi="Arial" w:cs="Arial"/>
          <w:color w:val="000000" w:themeColor="text1"/>
          <w:kern w:val="24"/>
          <w:sz w:val="20"/>
          <w:szCs w:val="20"/>
        </w:rPr>
        <w:t xml:space="preserve">sets out a number of processes that must be followed for typical planning processes. Many of these processes, in matters pertaining to bushfire, bring about knowledge transfer and implementation accordingly.  </w:t>
      </w:r>
    </w:p>
    <w:p w14:paraId="62F75CF3" w14:textId="77777777" w:rsidR="00A53616" w:rsidRPr="00766C75" w:rsidRDefault="00A53616" w:rsidP="00BB7500">
      <w:pPr>
        <w:pStyle w:val="NormalWeb"/>
        <w:spacing w:before="0" w:beforeAutospacing="0" w:after="0" w:afterAutospacing="0"/>
        <w:jc w:val="both"/>
        <w:rPr>
          <w:rFonts w:ascii="Arial" w:hAnsi="Arial" w:cs="Arial"/>
          <w:color w:val="000000" w:themeColor="text1"/>
          <w:kern w:val="24"/>
          <w:sz w:val="20"/>
          <w:szCs w:val="20"/>
        </w:rPr>
      </w:pPr>
      <w:r w:rsidRPr="00766C75">
        <w:rPr>
          <w:rFonts w:ascii="Arial" w:hAnsi="Arial" w:cs="Arial"/>
          <w:color w:val="000000" w:themeColor="text1"/>
          <w:kern w:val="24"/>
          <w:sz w:val="20"/>
          <w:szCs w:val="20"/>
        </w:rPr>
        <w:t xml:space="preserve">In parallel with the above, and despite contention in some areas, detailed policy regarding appropriate application of regulation and policy is widely accepted and applied across state-based agencies regarding urban planning and fire agencies.  In parallel, key agency personnel and experts commonly share knowledge, skills and ideas across agencies at state level. This is supported by the planning system of Victoria having a strong centralizing force, due the head of power in planning being located in state based legislation under extensive state government planning Ministerial powers </w:t>
      </w:r>
      <w:r w:rsidRPr="00766C75">
        <w:rPr>
          <w:rFonts w:ascii="Arial" w:hAnsi="Arial" w:cs="Arial"/>
          <w:noProof/>
          <w:color w:val="000000" w:themeColor="text1"/>
          <w:kern w:val="24"/>
          <w:sz w:val="20"/>
          <w:szCs w:val="20"/>
        </w:rPr>
        <w:t>(March, 2012)</w:t>
      </w:r>
      <w:r w:rsidRPr="00766C75">
        <w:rPr>
          <w:rFonts w:ascii="Arial" w:hAnsi="Arial" w:cs="Arial"/>
          <w:color w:val="000000" w:themeColor="text1"/>
          <w:kern w:val="24"/>
          <w:sz w:val="20"/>
          <w:szCs w:val="20"/>
        </w:rPr>
        <w:t xml:space="preserve">. Accordingly, acceptable solutions to the design of subdivisions, housing design and materials, vegetation clearing, access for fire fighters, and reasonable community expectations of agencies' responsibilities.  </w:t>
      </w:r>
    </w:p>
    <w:p w14:paraId="46B5D1AF" w14:textId="77777777" w:rsidR="00A53616" w:rsidRPr="00766C75" w:rsidRDefault="00A53616" w:rsidP="00BB7500">
      <w:pPr>
        <w:pStyle w:val="NormalWeb"/>
        <w:spacing w:before="0" w:beforeAutospacing="0" w:after="0" w:afterAutospacing="0"/>
        <w:jc w:val="both"/>
        <w:rPr>
          <w:rFonts w:ascii="Arial" w:hAnsi="Arial" w:cs="Arial"/>
          <w:color w:val="000000" w:themeColor="text1"/>
          <w:kern w:val="24"/>
          <w:sz w:val="20"/>
          <w:szCs w:val="20"/>
        </w:rPr>
      </w:pPr>
      <w:r w:rsidRPr="00766C75">
        <w:rPr>
          <w:rFonts w:ascii="Arial" w:hAnsi="Arial" w:cs="Arial"/>
          <w:color w:val="000000" w:themeColor="text1"/>
          <w:kern w:val="24"/>
          <w:sz w:val="20"/>
          <w:szCs w:val="20"/>
        </w:rPr>
        <w:t xml:space="preserve">The referral processes required by Section 55 of the Act and detailed procedurally by Clause 66 of Victorian Planning Provisions planning schemes include mandatory opportunities for fire response agencies to make comments regarding the compliance of planning applications for subdivision or development of land for buildings with bushfire codes.  Accordingly, this has brought about considerable bushfire knowledge transfer across planning agencies, state level responders, water </w:t>
      </w:r>
      <w:r w:rsidRPr="00766C75">
        <w:rPr>
          <w:rFonts w:ascii="Arial" w:hAnsi="Arial" w:cs="Arial"/>
          <w:color w:val="000000" w:themeColor="text1"/>
          <w:kern w:val="24"/>
          <w:sz w:val="20"/>
          <w:szCs w:val="20"/>
        </w:rPr>
        <w:lastRenderedPageBreak/>
        <w:t xml:space="preserve">management, </w:t>
      </w:r>
      <w:proofErr w:type="gramStart"/>
      <w:r w:rsidRPr="00766C75">
        <w:rPr>
          <w:rFonts w:ascii="Arial" w:hAnsi="Arial" w:cs="Arial"/>
          <w:color w:val="000000" w:themeColor="text1"/>
          <w:kern w:val="24"/>
          <w:sz w:val="20"/>
          <w:szCs w:val="20"/>
        </w:rPr>
        <w:t>vegetation</w:t>
      </w:r>
      <w:proofErr w:type="gramEnd"/>
      <w:r w:rsidRPr="00766C75">
        <w:rPr>
          <w:rFonts w:ascii="Arial" w:hAnsi="Arial" w:cs="Arial"/>
          <w:color w:val="000000" w:themeColor="text1"/>
          <w:kern w:val="24"/>
          <w:sz w:val="20"/>
          <w:szCs w:val="20"/>
        </w:rPr>
        <w:t xml:space="preserve"> protection and road agencies. Most powerfully, the development of generally shared standards of understanding of the contributory factors leading to specific Bushfire Attack Levels on sites and appropriate development of built responses that comply with regulatory requirements has become increasingly consistent over time since the 2009 fires. In particular, the requirement to assess all applications according to the requirements of the Bushfire Management Overlay has meant that planners, required in their roles to process and make recommendations relating to these matters, have developed considerable knowledge in this area that complies with the state-based policies and regulation.</w:t>
      </w:r>
    </w:p>
    <w:p w14:paraId="483A06A2" w14:textId="77777777" w:rsidR="00A53616" w:rsidRPr="00766C75" w:rsidRDefault="00A53616" w:rsidP="00BB7500">
      <w:pPr>
        <w:pStyle w:val="NormalWeb"/>
        <w:spacing w:before="0" w:beforeAutospacing="0" w:after="0" w:afterAutospacing="0"/>
        <w:jc w:val="both"/>
        <w:rPr>
          <w:rFonts w:ascii="Arial" w:hAnsi="Arial" w:cs="Arial"/>
          <w:color w:val="000000" w:themeColor="text1"/>
          <w:kern w:val="24"/>
          <w:sz w:val="20"/>
          <w:szCs w:val="20"/>
        </w:rPr>
      </w:pPr>
      <w:r w:rsidRPr="00766C75">
        <w:rPr>
          <w:rFonts w:ascii="Arial" w:hAnsi="Arial" w:cs="Arial"/>
          <w:color w:val="000000" w:themeColor="text1"/>
          <w:kern w:val="24"/>
          <w:sz w:val="20"/>
          <w:szCs w:val="20"/>
        </w:rPr>
        <w:t xml:space="preserve">As a result of heightened requirements for specific skills that deal with bushfire risks, urban planners and their managers in areas that are bushfire prone or have interfaces with vegetated areas now seek skills appropriate to the required assessments.  In parallel, and as a result of the 2009 Royal Commission, state government agencies including planning and building allocated considerable monies to a higher education provider to deliver, with extensive industry consultation, higher degree qualifications supporting fundamental bushfire science and regulatory compliance </w:t>
      </w:r>
      <w:bookmarkStart w:id="3" w:name="_Hlk488656071"/>
      <w:r w:rsidRPr="00766C75">
        <w:rPr>
          <w:rFonts w:ascii="Arial" w:hAnsi="Arial" w:cs="Arial"/>
          <w:noProof/>
          <w:color w:val="000000" w:themeColor="text1"/>
          <w:kern w:val="24"/>
          <w:sz w:val="20"/>
          <w:szCs w:val="20"/>
        </w:rPr>
        <w:t>(March, 2015)</w:t>
      </w:r>
      <w:r w:rsidRPr="00766C75">
        <w:rPr>
          <w:rFonts w:ascii="Arial" w:hAnsi="Arial" w:cs="Arial"/>
          <w:color w:val="000000" w:themeColor="text1"/>
          <w:kern w:val="24"/>
          <w:sz w:val="20"/>
          <w:szCs w:val="20"/>
        </w:rPr>
        <w:t xml:space="preserve">. </w:t>
      </w:r>
      <w:bookmarkEnd w:id="3"/>
    </w:p>
    <w:p w14:paraId="751D4971" w14:textId="77777777" w:rsidR="00A53616" w:rsidRPr="00BB7500" w:rsidRDefault="00A53616" w:rsidP="00BB7500">
      <w:pPr>
        <w:pStyle w:val="NormalWeb"/>
        <w:spacing w:before="0" w:beforeAutospacing="0" w:after="0" w:afterAutospacing="0"/>
        <w:jc w:val="both"/>
        <w:rPr>
          <w:rFonts w:ascii="Arial" w:hAnsi="Arial" w:cs="Arial"/>
          <w:b/>
          <w:bCs/>
          <w:i/>
          <w:color w:val="000000" w:themeColor="text1"/>
          <w:kern w:val="24"/>
          <w:sz w:val="22"/>
          <w:szCs w:val="22"/>
        </w:rPr>
      </w:pPr>
      <w:r w:rsidRPr="00BB7500">
        <w:rPr>
          <w:rFonts w:ascii="Arial" w:hAnsi="Arial" w:cs="Arial"/>
          <w:b/>
          <w:bCs/>
          <w:i/>
          <w:color w:val="000000" w:themeColor="text1"/>
          <w:kern w:val="24"/>
          <w:sz w:val="22"/>
          <w:szCs w:val="22"/>
        </w:rPr>
        <w:t xml:space="preserve">Declared Local Knowledge versus Local Application </w:t>
      </w:r>
    </w:p>
    <w:p w14:paraId="7F977706" w14:textId="77777777" w:rsidR="00A53616" w:rsidRPr="00766C75" w:rsidRDefault="00A53616" w:rsidP="00BB7500">
      <w:pPr>
        <w:pStyle w:val="NormalWeb"/>
        <w:spacing w:before="0" w:beforeAutospacing="0" w:after="0" w:afterAutospacing="0"/>
        <w:jc w:val="both"/>
        <w:rPr>
          <w:rFonts w:ascii="Arial" w:hAnsi="Arial" w:cs="Arial"/>
          <w:color w:val="000000" w:themeColor="text1"/>
          <w:kern w:val="24"/>
          <w:sz w:val="20"/>
          <w:szCs w:val="20"/>
        </w:rPr>
      </w:pPr>
      <w:r w:rsidRPr="00766C75">
        <w:rPr>
          <w:rFonts w:ascii="Arial" w:hAnsi="Arial" w:cs="Arial"/>
          <w:color w:val="000000" w:themeColor="text1"/>
          <w:kern w:val="24"/>
          <w:sz w:val="20"/>
          <w:szCs w:val="20"/>
        </w:rPr>
        <w:t xml:space="preserve">Local knowledge is understood as a key aspect of local resilience </w:t>
      </w:r>
      <w:r>
        <w:rPr>
          <w:rFonts w:ascii="Arial" w:hAnsi="Arial" w:cs="Arial"/>
          <w:noProof/>
          <w:color w:val="000000" w:themeColor="text1"/>
          <w:kern w:val="24"/>
          <w:sz w:val="20"/>
          <w:szCs w:val="20"/>
        </w:rPr>
        <w:t>(Villar and Guézo, 2016, UNISDR, 2015)</w:t>
      </w:r>
      <w:r w:rsidRPr="00766C75">
        <w:rPr>
          <w:rFonts w:ascii="Arial" w:hAnsi="Arial" w:cs="Arial"/>
          <w:color w:val="000000" w:themeColor="text1"/>
          <w:kern w:val="24"/>
          <w:sz w:val="20"/>
          <w:szCs w:val="20"/>
        </w:rPr>
        <w:t xml:space="preserve">, and many aspects of the formalized processes of state agencies in Victoria.  At state level Emergency Management Victoria, Country Fire Authority, Metropolitan Fire Brigade, Department of Land, Water and Planning each have policy directed towards empowerment of individuals and local communities. This is on one hand appropriate, in keeping with widespread acknowledgement of the need to build local resilience by empowering </w:t>
      </w:r>
      <w:proofErr w:type="gramStart"/>
      <w:r w:rsidRPr="00766C75">
        <w:rPr>
          <w:rFonts w:ascii="Arial" w:hAnsi="Arial" w:cs="Arial"/>
          <w:color w:val="000000" w:themeColor="text1"/>
          <w:kern w:val="24"/>
          <w:sz w:val="20"/>
          <w:szCs w:val="20"/>
        </w:rPr>
        <w:t>place based</w:t>
      </w:r>
      <w:proofErr w:type="gramEnd"/>
      <w:r w:rsidRPr="00766C75">
        <w:rPr>
          <w:rFonts w:ascii="Arial" w:hAnsi="Arial" w:cs="Arial"/>
          <w:color w:val="000000" w:themeColor="text1"/>
          <w:kern w:val="24"/>
          <w:sz w:val="20"/>
          <w:szCs w:val="20"/>
        </w:rPr>
        <w:t xml:space="preserve"> actions. On the other hand, capabilities are highly variable spatially and demographically </w:t>
      </w:r>
      <w:r w:rsidRPr="00766C75">
        <w:rPr>
          <w:rFonts w:ascii="Arial" w:hAnsi="Arial" w:cs="Arial"/>
          <w:noProof/>
          <w:color w:val="000000" w:themeColor="text1"/>
          <w:kern w:val="24"/>
          <w:sz w:val="20"/>
          <w:szCs w:val="20"/>
        </w:rPr>
        <w:t>(Durning et al., 2010)</w:t>
      </w:r>
      <w:r w:rsidRPr="00766C75">
        <w:rPr>
          <w:rFonts w:ascii="Arial" w:hAnsi="Arial" w:cs="Arial"/>
          <w:color w:val="000000" w:themeColor="text1"/>
          <w:kern w:val="24"/>
          <w:sz w:val="20"/>
          <w:szCs w:val="20"/>
        </w:rPr>
        <w:t xml:space="preserve"> and our research indicated that local expression of bushfire knowledge and its application was typically focused around formalized support or objection; or, towards quite place based understandings of past events, divided broadly between those that had experienced fires and not.    </w:t>
      </w:r>
    </w:p>
    <w:p w14:paraId="70BE0E7F" w14:textId="77777777" w:rsidR="00A53616" w:rsidRPr="00766C75" w:rsidRDefault="00A53616" w:rsidP="00BB7500">
      <w:pPr>
        <w:pStyle w:val="NormalWeb"/>
        <w:spacing w:before="0" w:beforeAutospacing="0" w:after="0" w:afterAutospacing="0"/>
        <w:jc w:val="both"/>
        <w:rPr>
          <w:rFonts w:ascii="Arial" w:hAnsi="Arial" w:cs="Arial"/>
          <w:color w:val="000000" w:themeColor="text1"/>
          <w:kern w:val="24"/>
          <w:sz w:val="20"/>
          <w:szCs w:val="20"/>
        </w:rPr>
      </w:pPr>
      <w:r w:rsidRPr="00766C75">
        <w:rPr>
          <w:rFonts w:ascii="Arial" w:hAnsi="Arial" w:cs="Arial"/>
          <w:color w:val="000000" w:themeColor="text1"/>
          <w:kern w:val="24"/>
          <w:sz w:val="20"/>
          <w:szCs w:val="20"/>
        </w:rPr>
        <w:t xml:space="preserve">Contextually, local governments in Victoria are required under the Local Government Act (1989) to have an Emergency Plan (and associated regulations).  These provide a useful starting point to action relating to urban planning and bushfire, because, following the broad principles of </w:t>
      </w:r>
      <w:r w:rsidRPr="00766C75">
        <w:rPr>
          <w:rFonts w:ascii="Arial" w:hAnsi="Arial" w:cs="Arial"/>
          <w:noProof/>
          <w:color w:val="000000" w:themeColor="text1"/>
          <w:kern w:val="24"/>
          <w:sz w:val="20"/>
          <w:szCs w:val="20"/>
        </w:rPr>
        <w:t>AS/NZS ISO 31000 (2009)</w:t>
      </w:r>
      <w:r w:rsidRPr="00766C75">
        <w:rPr>
          <w:rFonts w:ascii="Arial" w:hAnsi="Arial" w:cs="Arial"/>
          <w:color w:val="000000" w:themeColor="text1"/>
          <w:kern w:val="24"/>
          <w:sz w:val="20"/>
          <w:szCs w:val="20"/>
        </w:rPr>
        <w:t xml:space="preserve">, they are required to establish the nature of hazards (like bushfires) risks, consequences insofar as these relate to their municipality.  Actions resulting from this are typically oriented to capital works, protection of vulnerable residents and general risk assessment compliance matters. However, a key issue is that local empowerment and responsibility is highly variable. This is at least partly due to the strong role of state government and its various agencies (whether privatized or not), which manage many key processes and service delivery processes. These include water supply, emergency response, even when it is delivered by highly place specific local volunteers sometimes facilitated by state appointed professionals.   </w:t>
      </w:r>
    </w:p>
    <w:p w14:paraId="463F1EF0" w14:textId="77777777" w:rsidR="00A53616" w:rsidRPr="00766C75" w:rsidRDefault="00A53616" w:rsidP="00BB7500">
      <w:pPr>
        <w:pStyle w:val="NormalWeb"/>
        <w:spacing w:before="0" w:beforeAutospacing="0" w:after="0" w:afterAutospacing="0"/>
        <w:jc w:val="both"/>
        <w:rPr>
          <w:rFonts w:ascii="Arial" w:hAnsi="Arial" w:cs="Arial"/>
          <w:color w:val="000000" w:themeColor="text1"/>
          <w:kern w:val="24"/>
          <w:sz w:val="20"/>
          <w:szCs w:val="20"/>
        </w:rPr>
      </w:pPr>
      <w:r w:rsidRPr="00766C75">
        <w:rPr>
          <w:rFonts w:ascii="Arial" w:hAnsi="Arial" w:cs="Arial"/>
          <w:color w:val="000000" w:themeColor="text1"/>
          <w:kern w:val="24"/>
          <w:sz w:val="20"/>
          <w:szCs w:val="20"/>
        </w:rPr>
        <w:t xml:space="preserve">Because the activities of local planners are strongly informed by the framing established by state knowledge and the parameters by which this is typically deployed, their knowledge is oriented to compliance with legislation, regulations and the promulgation of this to local communities, rather than empowerment of local knowledge as grass roots action. In contrast, local communities are highly variable in their development and application of knowledge.  Significant differences between middle class, working class, </w:t>
      </w:r>
      <w:proofErr w:type="gramStart"/>
      <w:r w:rsidRPr="00766C75">
        <w:rPr>
          <w:rFonts w:ascii="Arial" w:hAnsi="Arial" w:cs="Arial"/>
          <w:color w:val="000000" w:themeColor="text1"/>
          <w:kern w:val="24"/>
          <w:sz w:val="20"/>
          <w:szCs w:val="20"/>
        </w:rPr>
        <w:t>holiday makers</w:t>
      </w:r>
      <w:proofErr w:type="gramEnd"/>
      <w:r w:rsidRPr="00766C75">
        <w:rPr>
          <w:rFonts w:ascii="Arial" w:hAnsi="Arial" w:cs="Arial"/>
          <w:color w:val="000000" w:themeColor="text1"/>
          <w:kern w:val="24"/>
          <w:sz w:val="20"/>
          <w:szCs w:val="20"/>
        </w:rPr>
        <w:t xml:space="preserve">, traditional land holders such as farmers, and tree change communities are discernable. It is posited in this paper, that in this version of neo-liberal "choice" many members of the community do not generate nor "receive" knowledge about bushfire risk reduction.  In the context of shared responsibility, many members of the public are far less resilient.  </w:t>
      </w:r>
    </w:p>
    <w:p w14:paraId="7E92C050" w14:textId="77777777" w:rsidR="00A53616" w:rsidRPr="00766C75" w:rsidRDefault="00A53616" w:rsidP="00BB7500">
      <w:pPr>
        <w:pStyle w:val="NormalWeb"/>
        <w:spacing w:before="0" w:beforeAutospacing="0" w:after="0" w:afterAutospacing="0"/>
        <w:jc w:val="both"/>
        <w:rPr>
          <w:rFonts w:ascii="Arial" w:hAnsi="Arial" w:cs="Arial"/>
          <w:color w:val="000000" w:themeColor="text1"/>
          <w:kern w:val="24"/>
          <w:sz w:val="20"/>
          <w:szCs w:val="20"/>
        </w:rPr>
      </w:pPr>
      <w:r w:rsidRPr="00766C75">
        <w:rPr>
          <w:rFonts w:ascii="Arial" w:hAnsi="Arial" w:cs="Arial"/>
          <w:color w:val="000000" w:themeColor="text1"/>
          <w:kern w:val="24"/>
          <w:sz w:val="20"/>
          <w:szCs w:val="20"/>
        </w:rPr>
        <w:t xml:space="preserve">Given that the BMO and other fire risk actions are prescribed by state-based parameters, the scope for local knowledge is constrained to that possible within state-based regulations. Accordingly, the ability to build bushfire resilience in local communities is oriented to elements that in many ways are fundamental to the makeup of communities and which are often beyond the powers of planners that are focused in Victoria upon largely physical resistance resilience elements. Demographic factors, socio-economic characteristics, education, capital values of land, proximity and access to decision makers, and political cycles act as non-planning and emergency management factors that continue to play strong roles in local areas, even while the imposition of centralist controls offer some elements of fairness - they also smooth over spatial and socio-economic differences in communities.  Even while these factors may be acknowledged by planners this knowledge is not able to resist the homogenizing aspects of centralized and generalist knowledge sets that are better suited to generalizable scientific knowledge, and less to localized and site-specific knowledge of communities, site-specific weather systems and localized physical characteristics, including indigenous knowledge. </w:t>
      </w:r>
    </w:p>
    <w:p w14:paraId="5EE8C92D" w14:textId="77777777" w:rsidR="00A53616" w:rsidRPr="00766C75" w:rsidRDefault="00A53616" w:rsidP="00BB7500">
      <w:pPr>
        <w:spacing w:after="0" w:line="240" w:lineRule="auto"/>
        <w:jc w:val="both"/>
        <w:rPr>
          <w:rFonts w:ascii="Arial" w:hAnsi="Arial" w:cs="Arial"/>
          <w:sz w:val="20"/>
          <w:szCs w:val="20"/>
        </w:rPr>
      </w:pPr>
    </w:p>
    <w:p w14:paraId="237AB6F7" w14:textId="77777777" w:rsidR="00A53616" w:rsidRPr="00BB7500" w:rsidRDefault="00A53616" w:rsidP="00BB7500">
      <w:pPr>
        <w:spacing w:after="0" w:line="240" w:lineRule="auto"/>
        <w:jc w:val="both"/>
        <w:rPr>
          <w:rFonts w:ascii="Arial" w:hAnsi="Arial" w:cs="Arial"/>
          <w:b/>
          <w:bCs/>
        </w:rPr>
      </w:pPr>
      <w:r w:rsidRPr="00BB7500">
        <w:rPr>
          <w:rFonts w:ascii="Arial" w:hAnsi="Arial" w:cs="Arial"/>
          <w:b/>
          <w:bCs/>
        </w:rPr>
        <w:t>Discussion and Conclusions</w:t>
      </w:r>
    </w:p>
    <w:p w14:paraId="35C9DF9F" w14:textId="77777777" w:rsidR="00A53616" w:rsidRPr="00766C75" w:rsidRDefault="00A53616" w:rsidP="00BB7500">
      <w:pPr>
        <w:spacing w:after="0" w:line="240" w:lineRule="auto"/>
        <w:jc w:val="both"/>
        <w:rPr>
          <w:rFonts w:ascii="Arial" w:hAnsi="Arial" w:cs="Arial"/>
          <w:color w:val="000000"/>
          <w:sz w:val="20"/>
          <w:szCs w:val="20"/>
          <w:lang w:val="en-US"/>
        </w:rPr>
      </w:pPr>
      <w:r w:rsidRPr="00766C75">
        <w:rPr>
          <w:rFonts w:ascii="Arial" w:hAnsi="Arial" w:cs="Arial"/>
          <w:color w:val="000000"/>
          <w:sz w:val="20"/>
          <w:szCs w:val="20"/>
          <w:lang w:val="en-US"/>
        </w:rPr>
        <w:lastRenderedPageBreak/>
        <w:t xml:space="preserve">In Victoria, core bushfire knowledge is generally held and constructed outside the planning system, subsequently being integrated and applied in a top-down manner that codifies </w:t>
      </w:r>
      <w:proofErr w:type="gramStart"/>
      <w:r w:rsidRPr="00766C75">
        <w:rPr>
          <w:rFonts w:ascii="Arial" w:hAnsi="Arial" w:cs="Arial"/>
          <w:color w:val="000000"/>
          <w:sz w:val="20"/>
          <w:szCs w:val="20"/>
          <w:lang w:val="en-US"/>
        </w:rPr>
        <w:t>high level</w:t>
      </w:r>
      <w:proofErr w:type="gramEnd"/>
      <w:r w:rsidRPr="00766C75">
        <w:rPr>
          <w:rFonts w:ascii="Arial" w:hAnsi="Arial" w:cs="Arial"/>
          <w:color w:val="000000"/>
          <w:sz w:val="20"/>
          <w:szCs w:val="20"/>
          <w:lang w:val="en-US"/>
        </w:rPr>
        <w:t xml:space="preserve"> knowledge in such a way that regulations systematize and centralize activities that occur at local level. Bushfire risk reduction actions are mostly oriented to broad outcomes and fuel reduction schemes around settlements as well as the recovery of key areas impacted using development controls to improve the housing stock over time. These run in parallel and are often disconnected despite the concerted attempts to bridge gaps in policy relating to cross </w:t>
      </w:r>
      <w:proofErr w:type="spellStart"/>
      <w:r w:rsidRPr="00766C75">
        <w:rPr>
          <w:rFonts w:ascii="Arial" w:hAnsi="Arial" w:cs="Arial"/>
          <w:color w:val="000000"/>
          <w:sz w:val="20"/>
          <w:szCs w:val="20"/>
          <w:lang w:val="en-US"/>
        </w:rPr>
        <w:t>sectoral</w:t>
      </w:r>
      <w:proofErr w:type="spellEnd"/>
      <w:r w:rsidRPr="00766C75">
        <w:rPr>
          <w:rFonts w:ascii="Arial" w:hAnsi="Arial" w:cs="Arial"/>
          <w:color w:val="000000"/>
          <w:sz w:val="20"/>
          <w:szCs w:val="20"/>
          <w:lang w:val="en-US"/>
        </w:rPr>
        <w:t> risk factors and opportunities.</w:t>
      </w:r>
    </w:p>
    <w:p w14:paraId="1C94B1F4" w14:textId="5F190EF0" w:rsidR="00A53616" w:rsidRPr="00766C75" w:rsidRDefault="00A53616" w:rsidP="004470BE">
      <w:pPr>
        <w:spacing w:after="0" w:line="240" w:lineRule="auto"/>
        <w:jc w:val="both"/>
        <w:rPr>
          <w:rFonts w:ascii="Arial" w:hAnsi="Arial" w:cs="Arial"/>
          <w:color w:val="000000"/>
          <w:sz w:val="20"/>
          <w:szCs w:val="20"/>
          <w:lang w:val="en-US"/>
        </w:rPr>
      </w:pPr>
      <w:r w:rsidRPr="00766C75">
        <w:rPr>
          <w:rFonts w:ascii="Arial" w:hAnsi="Arial" w:cs="Arial"/>
          <w:color w:val="000000"/>
          <w:sz w:val="20"/>
          <w:szCs w:val="20"/>
          <w:lang w:val="en-US"/>
        </w:rPr>
        <w:t xml:space="preserve">There are a number of well-developed planning policies and regulation at the national and at the State level. There is strong orientation to regulation, enforceable via statutory controls that embrace building and planning controls. The main one established is the Bushfire Management Overlay (BMO) </w:t>
      </w:r>
      <w:r w:rsidRPr="00766C75">
        <w:rPr>
          <w:rFonts w:ascii="Arial" w:hAnsi="Arial" w:cs="Arial"/>
          <w:noProof/>
          <w:color w:val="000000"/>
          <w:sz w:val="20"/>
          <w:szCs w:val="20"/>
          <w:lang w:val="en-US"/>
        </w:rPr>
        <w:t>(DPTI, 2013)</w:t>
      </w:r>
      <w:r w:rsidRPr="00766C75">
        <w:rPr>
          <w:rFonts w:ascii="Arial" w:hAnsi="Arial" w:cs="Arial"/>
          <w:color w:val="000000"/>
          <w:sz w:val="20"/>
          <w:szCs w:val="20"/>
          <w:lang w:val="en-US"/>
        </w:rPr>
        <w:t xml:space="preserve">, a </w:t>
      </w:r>
      <w:r w:rsidR="004470BE">
        <w:rPr>
          <w:rFonts w:ascii="Arial" w:hAnsi="Arial" w:cs="Arial"/>
          <w:color w:val="000000"/>
          <w:sz w:val="20"/>
          <w:szCs w:val="20"/>
          <w:lang w:val="en-US"/>
        </w:rPr>
        <w:t xml:space="preserve">land and building development control </w:t>
      </w:r>
      <w:r w:rsidRPr="00766C75">
        <w:rPr>
          <w:rFonts w:ascii="Arial" w:hAnsi="Arial" w:cs="Arial"/>
          <w:color w:val="000000"/>
          <w:sz w:val="20"/>
          <w:szCs w:val="20"/>
          <w:lang w:val="en-US"/>
        </w:rPr>
        <w:t>that restricts and modifies development according to the identified bushfire risk level. However, there translation is highly uneven to local actions; many local inputs are restricted to non-planning mechanisms and fields of action relating to socio-economic matters. In addition, there are limits to the updating of these, since there is a lack of political will, for instance to implement new bushfire mapping.</w:t>
      </w:r>
    </w:p>
    <w:p w14:paraId="0F7B934B" w14:textId="77777777" w:rsidR="00A53616" w:rsidRPr="00766C75" w:rsidRDefault="00A53616" w:rsidP="00BB7500">
      <w:pPr>
        <w:spacing w:after="0" w:line="240" w:lineRule="auto"/>
        <w:jc w:val="both"/>
        <w:rPr>
          <w:rFonts w:ascii="Arial" w:hAnsi="Arial" w:cs="Arial"/>
          <w:bCs/>
          <w:color w:val="000000"/>
          <w:sz w:val="20"/>
          <w:szCs w:val="20"/>
          <w:lang w:val="en-US"/>
        </w:rPr>
      </w:pPr>
      <w:r w:rsidRPr="00766C75">
        <w:rPr>
          <w:rFonts w:ascii="Arial" w:hAnsi="Arial" w:cs="Arial"/>
          <w:color w:val="000000"/>
          <w:sz w:val="20"/>
          <w:szCs w:val="20"/>
          <w:lang w:val="en-US"/>
        </w:rPr>
        <w:t xml:space="preserve">Accordingly, in terms of knowledge development and its translation, while the strong scientific and regulatory-bureaucratic framings provided by central government do provide important elements of consistency and fairness of opportunity these fall short in many ways. Local community knowledge development is assessed and acted upon within the constraints of centrally imposed planning and building controls that homogenous highly varied communities that face disparate local fire conditions and housing resistance qualities. The disconnect between strategic actions and local application means that many local communities are unable to develop understandings about, and to act on, the particular nature of the bushfire threats they face.  Place based and traditional </w:t>
      </w:r>
      <w:proofErr w:type="spellStart"/>
      <w:r w:rsidRPr="00766C75">
        <w:rPr>
          <w:rFonts w:ascii="Arial" w:hAnsi="Arial" w:cs="Arial"/>
          <w:color w:val="000000"/>
          <w:sz w:val="20"/>
          <w:szCs w:val="20"/>
          <w:lang w:val="en-US"/>
        </w:rPr>
        <w:t>knowledges</w:t>
      </w:r>
      <w:proofErr w:type="spellEnd"/>
      <w:r w:rsidRPr="00766C75">
        <w:rPr>
          <w:rFonts w:ascii="Arial" w:hAnsi="Arial" w:cs="Arial"/>
          <w:color w:val="000000"/>
          <w:sz w:val="20"/>
          <w:szCs w:val="20"/>
          <w:lang w:val="en-US"/>
        </w:rPr>
        <w:t>, such as those held by older and long-stay community members, in addition to i</w:t>
      </w:r>
      <w:r w:rsidRPr="00766C75">
        <w:rPr>
          <w:rFonts w:ascii="Arial" w:hAnsi="Arial" w:cs="Arial"/>
          <w:bCs/>
          <w:color w:val="000000"/>
          <w:sz w:val="20"/>
          <w:szCs w:val="20"/>
          <w:lang w:val="en-US"/>
        </w:rPr>
        <w:t xml:space="preserve">ndigenous communities mean that existing community is progressively lost while centralized sensibilities are imposed in homogenized ways.  These concerns are manifest in unrealistic and excessive vegetation clearing and fuel reduction targets, </w:t>
      </w:r>
    </w:p>
    <w:p w14:paraId="12CE59D3" w14:textId="77777777" w:rsidR="00A53616" w:rsidRPr="00766C75" w:rsidRDefault="00A53616" w:rsidP="00BB7500">
      <w:pPr>
        <w:spacing w:after="0" w:line="240" w:lineRule="auto"/>
        <w:jc w:val="both"/>
        <w:rPr>
          <w:rFonts w:ascii="Arial" w:hAnsi="Arial" w:cs="Arial"/>
          <w:bCs/>
          <w:color w:val="000000"/>
          <w:sz w:val="20"/>
          <w:szCs w:val="20"/>
          <w:lang w:val="en-US"/>
        </w:rPr>
      </w:pPr>
      <w:r w:rsidRPr="00766C75">
        <w:rPr>
          <w:rFonts w:ascii="Arial" w:hAnsi="Arial" w:cs="Arial"/>
          <w:bCs/>
          <w:color w:val="000000"/>
          <w:sz w:val="20"/>
          <w:szCs w:val="20"/>
          <w:lang w:val="en-US"/>
        </w:rPr>
        <w:t xml:space="preserve">It is important to note, however, that important messaging and </w:t>
      </w:r>
      <w:proofErr w:type="spellStart"/>
      <w:r w:rsidRPr="00766C75">
        <w:rPr>
          <w:rFonts w:ascii="Arial" w:hAnsi="Arial" w:cs="Arial"/>
          <w:bCs/>
          <w:color w:val="000000"/>
          <w:sz w:val="20"/>
          <w:szCs w:val="20"/>
          <w:lang w:val="en-US"/>
        </w:rPr>
        <w:t>knowledges</w:t>
      </w:r>
      <w:proofErr w:type="spellEnd"/>
      <w:r w:rsidRPr="00766C75">
        <w:rPr>
          <w:rFonts w:ascii="Arial" w:hAnsi="Arial" w:cs="Arial"/>
          <w:bCs/>
          <w:color w:val="000000"/>
          <w:sz w:val="20"/>
          <w:szCs w:val="20"/>
          <w:lang w:val="en-US"/>
        </w:rPr>
        <w:t xml:space="preserve"> that are derived from national and international-standard research has had considerable impacts as disseminated and applied knowledge: home maintenance, choice of appropriate materials, development of household fire plans, and the ongoing development of local planning and responder knowledge about science based response, particularly those triggered by the need to attain higher knowledge required to apply technical tests required by standards applied since the 2009 fires.  </w:t>
      </w:r>
    </w:p>
    <w:p w14:paraId="1158A243" w14:textId="77777777" w:rsidR="00A53616" w:rsidRPr="00766C75" w:rsidRDefault="00A53616" w:rsidP="00BB7500">
      <w:pPr>
        <w:spacing w:after="0" w:line="240" w:lineRule="auto"/>
        <w:jc w:val="both"/>
        <w:rPr>
          <w:rFonts w:ascii="Arial" w:hAnsi="Arial" w:cs="Arial"/>
          <w:bCs/>
          <w:color w:val="000000"/>
          <w:sz w:val="20"/>
          <w:szCs w:val="20"/>
          <w:lang w:val="en-US"/>
        </w:rPr>
      </w:pPr>
    </w:p>
    <w:p w14:paraId="10559712" w14:textId="77777777" w:rsidR="00A53616" w:rsidRPr="00BB7500" w:rsidRDefault="00A53616" w:rsidP="00766C75">
      <w:pPr>
        <w:spacing w:after="0" w:line="240" w:lineRule="auto"/>
        <w:jc w:val="both"/>
        <w:rPr>
          <w:rFonts w:ascii="Arial" w:hAnsi="Arial" w:cs="Arial"/>
          <w:b/>
          <w:bCs/>
          <w:color w:val="000000"/>
          <w:lang w:val="en-US"/>
        </w:rPr>
      </w:pPr>
      <w:r w:rsidRPr="00BB7500">
        <w:rPr>
          <w:rFonts w:ascii="Arial" w:hAnsi="Arial" w:cs="Arial"/>
          <w:b/>
          <w:bCs/>
          <w:color w:val="000000"/>
          <w:lang w:val="en-US"/>
        </w:rPr>
        <w:t>References</w:t>
      </w:r>
    </w:p>
    <w:p w14:paraId="3E913FE4"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AITSI-SELMI, A., BLANCHARD, K. &amp; MURRAY, V. 2016. Ensuring science is useful, usable and used in global disaster risk reduction and sustainable development: a view through the Sendai framework lens. </w:t>
      </w:r>
      <w:r w:rsidRPr="009472CC">
        <w:rPr>
          <w:rFonts w:ascii="Arial" w:hAnsi="Arial" w:cs="Arial"/>
          <w:i/>
          <w:sz w:val="20"/>
          <w:szCs w:val="20"/>
        </w:rPr>
        <w:t>Palgrave Communications,</w:t>
      </w:r>
      <w:r w:rsidRPr="009472CC">
        <w:rPr>
          <w:rFonts w:ascii="Arial" w:hAnsi="Arial" w:cs="Arial"/>
          <w:sz w:val="20"/>
          <w:szCs w:val="20"/>
        </w:rPr>
        <w:t xml:space="preserve"> 2</w:t>
      </w:r>
      <w:r w:rsidRPr="009472CC">
        <w:rPr>
          <w:rFonts w:ascii="Arial" w:hAnsi="Arial" w:cs="Arial"/>
          <w:b/>
          <w:sz w:val="20"/>
          <w:szCs w:val="20"/>
        </w:rPr>
        <w:t>,</w:t>
      </w:r>
      <w:r w:rsidRPr="009472CC">
        <w:rPr>
          <w:rFonts w:ascii="Arial" w:hAnsi="Arial" w:cs="Arial"/>
          <w:sz w:val="20"/>
          <w:szCs w:val="20"/>
        </w:rPr>
        <w:t xml:space="preserve"> 16016.</w:t>
      </w:r>
    </w:p>
    <w:p w14:paraId="654CEA10"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ALAVI, M. &amp; LEIDNER, D. E. 2001. Knowledge management and knowledge management systems: Conceptual foundations and research issues [1, 2]. </w:t>
      </w:r>
      <w:r w:rsidRPr="009472CC">
        <w:rPr>
          <w:rFonts w:ascii="Arial" w:hAnsi="Arial" w:cs="Arial"/>
          <w:i/>
          <w:sz w:val="20"/>
          <w:szCs w:val="20"/>
        </w:rPr>
        <w:t>MIS Quarterly</w:t>
      </w:r>
      <w:r w:rsidRPr="009472CC">
        <w:rPr>
          <w:rFonts w:ascii="Arial" w:hAnsi="Arial" w:cs="Arial"/>
          <w:sz w:val="20"/>
          <w:szCs w:val="20"/>
        </w:rPr>
        <w:t>.</w:t>
      </w:r>
    </w:p>
    <w:p w14:paraId="52BC58A7"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ALEXANDER, D. 2009. Principles of Emergency Planning: Standardisation, Integration and Sustainability. </w:t>
      </w:r>
      <w:r w:rsidRPr="009472CC">
        <w:rPr>
          <w:rFonts w:ascii="Arial" w:hAnsi="Arial" w:cs="Arial"/>
          <w:i/>
          <w:sz w:val="20"/>
          <w:szCs w:val="20"/>
        </w:rPr>
        <w:t>Building Safer Communities. Risk Governance, Spatial Planning &amp; Responses to Natural Hazards,</w:t>
      </w:r>
      <w:r w:rsidRPr="009472CC">
        <w:rPr>
          <w:rFonts w:ascii="Arial" w:hAnsi="Arial" w:cs="Arial"/>
          <w:sz w:val="20"/>
          <w:szCs w:val="20"/>
        </w:rPr>
        <w:t xml:space="preserve"> 58</w:t>
      </w:r>
      <w:r w:rsidRPr="009472CC">
        <w:rPr>
          <w:rFonts w:ascii="Arial" w:hAnsi="Arial" w:cs="Arial"/>
          <w:b/>
          <w:sz w:val="20"/>
          <w:szCs w:val="20"/>
        </w:rPr>
        <w:t>,</w:t>
      </w:r>
      <w:r w:rsidRPr="009472CC">
        <w:rPr>
          <w:rFonts w:ascii="Arial" w:hAnsi="Arial" w:cs="Arial"/>
          <w:sz w:val="20"/>
          <w:szCs w:val="20"/>
        </w:rPr>
        <w:t xml:space="preserve"> 162-174.</w:t>
      </w:r>
    </w:p>
    <w:p w14:paraId="1EA1EDA4"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ALEXANDER, E. R. 2005. What do planners need to know? Identifying needed competencies, methods, and skills. Locke Science Publishing Co., Inc.</w:t>
      </w:r>
    </w:p>
    <w:p w14:paraId="4526606E"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AS/NZS ISO 31000 2009. Risk management — Principles and guidelines. Australia and New Zealand.</w:t>
      </w:r>
    </w:p>
    <w:p w14:paraId="6C4E2A1C"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AUSTRALIA STANDARD (AS 3959) 2009. Construction of Buildings in Bush Fire Prone Areas. </w:t>
      </w:r>
      <w:r w:rsidRPr="009472CC">
        <w:rPr>
          <w:rFonts w:ascii="Arial" w:hAnsi="Arial" w:cs="Arial"/>
          <w:i/>
          <w:sz w:val="20"/>
          <w:szCs w:val="20"/>
        </w:rPr>
        <w:t>Standards Australia, Sydney, Australia</w:t>
      </w:r>
      <w:r w:rsidRPr="009472CC">
        <w:rPr>
          <w:rFonts w:ascii="Arial" w:hAnsi="Arial" w:cs="Arial"/>
          <w:sz w:val="20"/>
          <w:szCs w:val="20"/>
        </w:rPr>
        <w:t>.</w:t>
      </w:r>
    </w:p>
    <w:p w14:paraId="0DB25F53"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AUSTRALIAN GOVERNMENT 2015. National Climate Resilience and Adaptation Strategy. Commonwealth of Australia.</w:t>
      </w:r>
    </w:p>
    <w:p w14:paraId="0EFF9D0A"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BRACKEN, I. 2014. </w:t>
      </w:r>
      <w:r w:rsidRPr="009472CC">
        <w:rPr>
          <w:rFonts w:ascii="Arial" w:hAnsi="Arial" w:cs="Arial"/>
          <w:i/>
          <w:sz w:val="20"/>
          <w:szCs w:val="20"/>
        </w:rPr>
        <w:t>Urban Planning Methods. [electronic resource] : Research and Policy Analysis</w:t>
      </w:r>
      <w:r w:rsidRPr="009472CC">
        <w:rPr>
          <w:rFonts w:ascii="Arial" w:hAnsi="Arial" w:cs="Arial"/>
          <w:sz w:val="20"/>
          <w:szCs w:val="20"/>
        </w:rPr>
        <w:t>, Hoboken : Taylor and Francis, 2014.</w:t>
      </w:r>
    </w:p>
    <w:p w14:paraId="7F3850B6" w14:textId="77777777" w:rsidR="00A53616" w:rsidRPr="009472CC" w:rsidRDefault="00A53616" w:rsidP="009472CC">
      <w:pPr>
        <w:pStyle w:val="EndNoteBibliography"/>
        <w:spacing w:after="0"/>
        <w:ind w:left="720" w:hanging="720"/>
        <w:jc w:val="both"/>
        <w:rPr>
          <w:rFonts w:ascii="Arial" w:hAnsi="Arial" w:cs="Arial"/>
          <w:sz w:val="20"/>
          <w:szCs w:val="20"/>
        </w:rPr>
      </w:pPr>
      <w:r w:rsidRPr="00E70012">
        <w:rPr>
          <w:rFonts w:ascii="Arial" w:hAnsi="Arial" w:cs="Arial"/>
          <w:sz w:val="20"/>
          <w:szCs w:val="20"/>
          <w:lang w:val="de-DE"/>
        </w:rPr>
        <w:t xml:space="preserve">BRECHT, H., DEICHMANN, U. &amp; WANG, H. G. 2013. </w:t>
      </w:r>
      <w:r w:rsidRPr="009472CC">
        <w:rPr>
          <w:rFonts w:ascii="Arial" w:hAnsi="Arial" w:cs="Arial"/>
          <w:i/>
          <w:sz w:val="20"/>
          <w:szCs w:val="20"/>
        </w:rPr>
        <w:t>A Global Urban Risk Index. [electronic resource]</w:t>
      </w:r>
      <w:r w:rsidRPr="009472CC">
        <w:rPr>
          <w:rFonts w:ascii="Arial" w:hAnsi="Arial" w:cs="Arial"/>
          <w:sz w:val="20"/>
          <w:szCs w:val="20"/>
        </w:rPr>
        <w:t>, Washington, D.C., The World Bank, 2013.</w:t>
      </w:r>
    </w:p>
    <w:p w14:paraId="2E7D4C48"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BRICEÑO, S. 2015. Looking Back and Beyond Sendai: 25 Years of International Policy Experience on Disaster Risk Reduction. </w:t>
      </w:r>
      <w:r w:rsidRPr="009472CC">
        <w:rPr>
          <w:rFonts w:ascii="Arial" w:hAnsi="Arial" w:cs="Arial"/>
          <w:i/>
          <w:sz w:val="20"/>
          <w:szCs w:val="20"/>
        </w:rPr>
        <w:t>International Journal of Disaster Risk Science,</w:t>
      </w:r>
      <w:r w:rsidRPr="009472CC">
        <w:rPr>
          <w:rFonts w:ascii="Arial" w:hAnsi="Arial" w:cs="Arial"/>
          <w:sz w:val="20"/>
          <w:szCs w:val="20"/>
        </w:rPr>
        <w:t xml:space="preserve"> 6</w:t>
      </w:r>
      <w:r w:rsidRPr="009472CC">
        <w:rPr>
          <w:rFonts w:ascii="Arial" w:hAnsi="Arial" w:cs="Arial"/>
          <w:b/>
          <w:sz w:val="20"/>
          <w:szCs w:val="20"/>
        </w:rPr>
        <w:t>,</w:t>
      </w:r>
      <w:r w:rsidRPr="009472CC">
        <w:rPr>
          <w:rFonts w:ascii="Arial" w:hAnsi="Arial" w:cs="Arial"/>
          <w:sz w:val="20"/>
          <w:szCs w:val="20"/>
        </w:rPr>
        <w:t xml:space="preserve"> 1.</w:t>
      </w:r>
    </w:p>
    <w:p w14:paraId="17E42ADE"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BURBY, R. J. 1998. Natural Hazards and Land Use: An Introduction. </w:t>
      </w:r>
      <w:r w:rsidRPr="009472CC">
        <w:rPr>
          <w:rFonts w:ascii="Arial" w:hAnsi="Arial" w:cs="Arial"/>
          <w:i/>
          <w:sz w:val="20"/>
          <w:szCs w:val="20"/>
        </w:rPr>
        <w:t>In:</w:t>
      </w:r>
      <w:r w:rsidRPr="009472CC">
        <w:rPr>
          <w:rFonts w:ascii="Arial" w:hAnsi="Arial" w:cs="Arial"/>
          <w:sz w:val="20"/>
          <w:szCs w:val="20"/>
        </w:rPr>
        <w:t xml:space="preserve"> BURBY, R. J. (ed.) </w:t>
      </w:r>
      <w:r w:rsidRPr="009472CC">
        <w:rPr>
          <w:rFonts w:ascii="Arial" w:hAnsi="Arial" w:cs="Arial"/>
          <w:i/>
          <w:sz w:val="20"/>
          <w:szCs w:val="20"/>
        </w:rPr>
        <w:t>Cooperating with Nature.</w:t>
      </w:r>
      <w:r w:rsidRPr="009472CC">
        <w:rPr>
          <w:rFonts w:ascii="Arial" w:hAnsi="Arial" w:cs="Arial"/>
          <w:sz w:val="20"/>
          <w:szCs w:val="20"/>
        </w:rPr>
        <w:t xml:space="preserve"> Whashington D.C.: Joseph Henry Press.</w:t>
      </w:r>
    </w:p>
    <w:p w14:paraId="274D4FC8"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lastRenderedPageBreak/>
        <w:t>COHEN, N. J. &amp; SQUIRE, L. R. 1980. Preserved Learning and Retention of Pattern-Analyzing Skill in Amnesia: Dissociation of Knowing How and Knowing that. The American Association for the Advancement of Science.</w:t>
      </w:r>
    </w:p>
    <w:p w14:paraId="5BFA69EC"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COUNCIL OF AUSTRALIAN GOVERNMENTS 2011. National Strategy for Disaster Resilience Commonwealth of Australia.</w:t>
      </w:r>
    </w:p>
    <w:p w14:paraId="30BE5A67"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CRED 2015. The human cost of weather related disasters. Centre for Research on Epidemiology of Disasters.</w:t>
      </w:r>
    </w:p>
    <w:p w14:paraId="119EE8D4"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DAVIES, T., BEAVEN, S., CONRADSON, D., DENSMORE, A., GAILLARD, J. C., JOHNSTON, D., MILLEDGE, D., OVEN, K., PETLEY, D., RIGG, J., ROBINSON, T., ROSSER, N. &amp; WILSON, T. 2015. Towards disaster resilience: A scenario-based approach to co-producing and integrating hazard and risk knowledge. </w:t>
      </w:r>
      <w:r w:rsidRPr="009472CC">
        <w:rPr>
          <w:rFonts w:ascii="Arial" w:hAnsi="Arial" w:cs="Arial"/>
          <w:i/>
          <w:sz w:val="20"/>
          <w:szCs w:val="20"/>
        </w:rPr>
        <w:t>International Journal of Disaster Risk Reduction,</w:t>
      </w:r>
      <w:r w:rsidRPr="009472CC">
        <w:rPr>
          <w:rFonts w:ascii="Arial" w:hAnsi="Arial" w:cs="Arial"/>
          <w:sz w:val="20"/>
          <w:szCs w:val="20"/>
        </w:rPr>
        <w:t xml:space="preserve"> 13</w:t>
      </w:r>
      <w:r w:rsidRPr="009472CC">
        <w:rPr>
          <w:rFonts w:ascii="Arial" w:hAnsi="Arial" w:cs="Arial"/>
          <w:b/>
          <w:sz w:val="20"/>
          <w:szCs w:val="20"/>
        </w:rPr>
        <w:t>,</w:t>
      </w:r>
      <w:r w:rsidRPr="009472CC">
        <w:rPr>
          <w:rFonts w:ascii="Arial" w:hAnsi="Arial" w:cs="Arial"/>
          <w:sz w:val="20"/>
          <w:szCs w:val="20"/>
        </w:rPr>
        <w:t xml:space="preserve"> 242-247.</w:t>
      </w:r>
    </w:p>
    <w:p w14:paraId="1856C477"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DAVOUDI, S. 2015. Planning as practice of knowing.</w:t>
      </w:r>
    </w:p>
    <w:p w14:paraId="53BBCC97"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DEPARTMENT OF ENVIRONMENT LAND WATER AND PLANNING (DELWP) 2017. Victoria Planning Provisions. Victoria: State Government Victoria.</w:t>
      </w:r>
    </w:p>
    <w:p w14:paraId="66A4A202"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DPTI 2013. Bushfire Management Overlay mapping methodology and criteria. </w:t>
      </w:r>
      <w:r w:rsidRPr="009472CC">
        <w:rPr>
          <w:rFonts w:ascii="Arial" w:hAnsi="Arial" w:cs="Arial"/>
          <w:i/>
          <w:sz w:val="20"/>
          <w:szCs w:val="20"/>
        </w:rPr>
        <w:t xml:space="preserve">Planning Advisory Note 46 </w:t>
      </w:r>
      <w:r w:rsidRPr="009472CC">
        <w:rPr>
          <w:rFonts w:ascii="Arial" w:hAnsi="Arial" w:cs="Arial"/>
          <w:sz w:val="20"/>
          <w:szCs w:val="20"/>
        </w:rPr>
        <w:t>Department of Planning, Transport and Infrastructure.</w:t>
      </w:r>
    </w:p>
    <w:p w14:paraId="54E808CF"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DURNING, B., CARPENTER, J., GLASSON, J. &amp; WATSON, G. B. 2010. The Spiral of Knowledge Development: Professional Knowledge Development in Planning. </w:t>
      </w:r>
      <w:r w:rsidRPr="009472CC">
        <w:rPr>
          <w:rFonts w:ascii="Arial" w:hAnsi="Arial" w:cs="Arial"/>
          <w:i/>
          <w:sz w:val="20"/>
          <w:szCs w:val="20"/>
        </w:rPr>
        <w:t>Planning Practice &amp; Research,</w:t>
      </w:r>
      <w:r w:rsidRPr="009472CC">
        <w:rPr>
          <w:rFonts w:ascii="Arial" w:hAnsi="Arial" w:cs="Arial"/>
          <w:sz w:val="20"/>
          <w:szCs w:val="20"/>
        </w:rPr>
        <w:t xml:space="preserve"> 25</w:t>
      </w:r>
      <w:r w:rsidRPr="009472CC">
        <w:rPr>
          <w:rFonts w:ascii="Arial" w:hAnsi="Arial" w:cs="Arial"/>
          <w:b/>
          <w:sz w:val="20"/>
          <w:szCs w:val="20"/>
        </w:rPr>
        <w:t>,</w:t>
      </w:r>
      <w:r w:rsidRPr="009472CC">
        <w:rPr>
          <w:rFonts w:ascii="Arial" w:hAnsi="Arial" w:cs="Arial"/>
          <w:sz w:val="20"/>
          <w:szCs w:val="20"/>
        </w:rPr>
        <w:t xml:space="preserve"> 497-516.</w:t>
      </w:r>
    </w:p>
    <w:p w14:paraId="64A6BE1F"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ELLIS, S., KANOWSKI, P. &amp; WHELAN, R. 2004. National Inquiry on Bushfire Mitigation and Management. </w:t>
      </w:r>
      <w:r w:rsidRPr="009472CC">
        <w:rPr>
          <w:rFonts w:ascii="Arial" w:hAnsi="Arial" w:cs="Arial"/>
          <w:i/>
          <w:sz w:val="20"/>
          <w:szCs w:val="20"/>
        </w:rPr>
        <w:t>In:</w:t>
      </w:r>
      <w:r w:rsidRPr="009472CC">
        <w:rPr>
          <w:rFonts w:ascii="Arial" w:hAnsi="Arial" w:cs="Arial"/>
          <w:sz w:val="20"/>
          <w:szCs w:val="20"/>
        </w:rPr>
        <w:t xml:space="preserve"> GOVERNMENTS, C. O. A. (ed.). Canberra: Commonwealth of Australia.</w:t>
      </w:r>
    </w:p>
    <w:p w14:paraId="6BD88BB1"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EMERGENCY MANAGEMENT VICTORIA 2013. Bushfire Safety Policy Framework </w:t>
      </w:r>
    </w:p>
    <w:p w14:paraId="6D73FCBC"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EVANS, M. 2009. Policy transfer in critical perspective. </w:t>
      </w:r>
      <w:r w:rsidRPr="009472CC">
        <w:rPr>
          <w:rFonts w:ascii="Arial" w:hAnsi="Arial" w:cs="Arial"/>
          <w:i/>
          <w:sz w:val="20"/>
          <w:szCs w:val="20"/>
        </w:rPr>
        <w:t>Policy Studies,</w:t>
      </w:r>
      <w:r w:rsidRPr="009472CC">
        <w:rPr>
          <w:rFonts w:ascii="Arial" w:hAnsi="Arial" w:cs="Arial"/>
          <w:sz w:val="20"/>
          <w:szCs w:val="20"/>
        </w:rPr>
        <w:t xml:space="preserve"> 30</w:t>
      </w:r>
      <w:r w:rsidRPr="009472CC">
        <w:rPr>
          <w:rFonts w:ascii="Arial" w:hAnsi="Arial" w:cs="Arial"/>
          <w:b/>
          <w:sz w:val="20"/>
          <w:szCs w:val="20"/>
        </w:rPr>
        <w:t>,</w:t>
      </w:r>
      <w:r w:rsidRPr="009472CC">
        <w:rPr>
          <w:rFonts w:ascii="Arial" w:hAnsi="Arial" w:cs="Arial"/>
          <w:sz w:val="20"/>
          <w:szCs w:val="20"/>
        </w:rPr>
        <w:t xml:space="preserve"> 243-268.</w:t>
      </w:r>
    </w:p>
    <w:p w14:paraId="15B3A6D2"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EVERSOLE, R. 2012. Remaking participation: challenges for community development practice. </w:t>
      </w:r>
      <w:r w:rsidRPr="009472CC">
        <w:rPr>
          <w:rFonts w:ascii="Arial" w:hAnsi="Arial" w:cs="Arial"/>
          <w:i/>
          <w:sz w:val="20"/>
          <w:szCs w:val="20"/>
        </w:rPr>
        <w:t>Community Development Journal,</w:t>
      </w:r>
      <w:r w:rsidRPr="009472CC">
        <w:rPr>
          <w:rFonts w:ascii="Arial" w:hAnsi="Arial" w:cs="Arial"/>
          <w:sz w:val="20"/>
          <w:szCs w:val="20"/>
        </w:rPr>
        <w:t xml:space="preserve"> 47</w:t>
      </w:r>
      <w:r w:rsidRPr="009472CC">
        <w:rPr>
          <w:rFonts w:ascii="Arial" w:hAnsi="Arial" w:cs="Arial"/>
          <w:b/>
          <w:sz w:val="20"/>
          <w:szCs w:val="20"/>
        </w:rPr>
        <w:t>,</w:t>
      </w:r>
      <w:r w:rsidRPr="009472CC">
        <w:rPr>
          <w:rFonts w:ascii="Arial" w:hAnsi="Arial" w:cs="Arial"/>
          <w:sz w:val="20"/>
          <w:szCs w:val="20"/>
        </w:rPr>
        <w:t xml:space="preserve"> 29-41.</w:t>
      </w:r>
    </w:p>
    <w:p w14:paraId="281376C5"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FRIEDMANN, J. 1987. </w:t>
      </w:r>
      <w:r w:rsidRPr="009472CC">
        <w:rPr>
          <w:rFonts w:ascii="Arial" w:hAnsi="Arial" w:cs="Arial"/>
          <w:i/>
          <w:sz w:val="20"/>
          <w:szCs w:val="20"/>
        </w:rPr>
        <w:t>Planning in the public domain : from knowledge to action</w:t>
      </w:r>
      <w:r w:rsidRPr="009472CC">
        <w:rPr>
          <w:rFonts w:ascii="Arial" w:hAnsi="Arial" w:cs="Arial"/>
          <w:sz w:val="20"/>
          <w:szCs w:val="20"/>
        </w:rPr>
        <w:t>, Princeton, N.J. : Princeton University Press, c1987.</w:t>
      </w:r>
    </w:p>
    <w:p w14:paraId="0DC02B0D"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FUCHS, M., NIJKAMP, P., POON, J. &amp; TAYLOR, M. 2014. </w:t>
      </w:r>
      <w:r w:rsidRPr="009472CC">
        <w:rPr>
          <w:rFonts w:ascii="Arial" w:hAnsi="Arial" w:cs="Arial"/>
          <w:i/>
          <w:sz w:val="20"/>
          <w:szCs w:val="20"/>
        </w:rPr>
        <w:t>Worldwide Knowledge? : Global Firms, Local Labour and the Region</w:t>
      </w:r>
      <w:r w:rsidRPr="009472CC">
        <w:rPr>
          <w:rFonts w:ascii="Arial" w:hAnsi="Arial" w:cs="Arial"/>
          <w:sz w:val="20"/>
          <w:szCs w:val="20"/>
        </w:rPr>
        <w:t>, Abingdon, Oxon : Ashgate Publishing Ltd, 2014.</w:t>
      </w:r>
    </w:p>
    <w:p w14:paraId="20405024"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GOLDBLATT, D. 2000. Afterword. </w:t>
      </w:r>
      <w:r w:rsidRPr="009472CC">
        <w:rPr>
          <w:rFonts w:ascii="Arial" w:hAnsi="Arial" w:cs="Arial"/>
          <w:i/>
          <w:sz w:val="20"/>
          <w:szCs w:val="20"/>
        </w:rPr>
        <w:t>In:</w:t>
      </w:r>
      <w:r w:rsidRPr="009472CC">
        <w:rPr>
          <w:rFonts w:ascii="Arial" w:hAnsi="Arial" w:cs="Arial"/>
          <w:sz w:val="20"/>
          <w:szCs w:val="20"/>
        </w:rPr>
        <w:t xml:space="preserve"> GOLDBLATT, D. (ed.) </w:t>
      </w:r>
      <w:r w:rsidRPr="009472CC">
        <w:rPr>
          <w:rFonts w:ascii="Arial" w:hAnsi="Arial" w:cs="Arial"/>
          <w:i/>
          <w:sz w:val="20"/>
          <w:szCs w:val="20"/>
        </w:rPr>
        <w:t>Knowledge and the social sciences : theory, method, practice.</w:t>
      </w:r>
      <w:r w:rsidRPr="009472CC">
        <w:rPr>
          <w:rFonts w:ascii="Arial" w:hAnsi="Arial" w:cs="Arial"/>
          <w:sz w:val="20"/>
          <w:szCs w:val="20"/>
        </w:rPr>
        <w:t xml:space="preserve"> London; New York Routledge.</w:t>
      </w:r>
    </w:p>
    <w:p w14:paraId="5E4F3451"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HALL, P. G. &amp; TEWDWR-JONES, M. 2002. </w:t>
      </w:r>
      <w:r w:rsidRPr="009472CC">
        <w:rPr>
          <w:rFonts w:ascii="Arial" w:hAnsi="Arial" w:cs="Arial"/>
          <w:i/>
          <w:sz w:val="20"/>
          <w:szCs w:val="20"/>
        </w:rPr>
        <w:t xml:space="preserve">Urban and regional planning </w:t>
      </w:r>
      <w:r w:rsidRPr="009472CC">
        <w:rPr>
          <w:rFonts w:ascii="Arial" w:hAnsi="Arial" w:cs="Arial"/>
          <w:sz w:val="20"/>
          <w:szCs w:val="20"/>
        </w:rPr>
        <w:t>London and New York, Routledge.</w:t>
      </w:r>
    </w:p>
    <w:p w14:paraId="1F96ECF5"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HANSON, J. 1989. Order and structure in urban design: the plans for the rebuilding of London after the Great Fire of 1666. </w:t>
      </w:r>
      <w:r w:rsidRPr="009472CC">
        <w:rPr>
          <w:rFonts w:ascii="Arial" w:hAnsi="Arial" w:cs="Arial"/>
          <w:i/>
          <w:sz w:val="20"/>
          <w:szCs w:val="20"/>
        </w:rPr>
        <w:t>Ekistics</w:t>
      </w:r>
      <w:r w:rsidRPr="009472CC">
        <w:rPr>
          <w:rFonts w:ascii="Arial" w:hAnsi="Arial" w:cs="Arial"/>
          <w:b/>
          <w:sz w:val="20"/>
          <w:szCs w:val="20"/>
        </w:rPr>
        <w:t>,</w:t>
      </w:r>
      <w:r w:rsidRPr="009472CC">
        <w:rPr>
          <w:rFonts w:ascii="Arial" w:hAnsi="Arial" w:cs="Arial"/>
          <w:sz w:val="20"/>
          <w:szCs w:val="20"/>
        </w:rPr>
        <w:t xml:space="preserve"> 22-42.</w:t>
      </w:r>
    </w:p>
    <w:p w14:paraId="7C0D2B32"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HEALEY, P. 2007. </w:t>
      </w:r>
      <w:r w:rsidRPr="009472CC">
        <w:rPr>
          <w:rFonts w:ascii="Arial" w:hAnsi="Arial" w:cs="Arial"/>
          <w:i/>
          <w:sz w:val="20"/>
          <w:szCs w:val="20"/>
        </w:rPr>
        <w:t>Urban complexity and spatial strategies : towards a relational planning for our times</w:t>
      </w:r>
      <w:r w:rsidRPr="009472CC">
        <w:rPr>
          <w:rFonts w:ascii="Arial" w:hAnsi="Arial" w:cs="Arial"/>
          <w:sz w:val="20"/>
          <w:szCs w:val="20"/>
        </w:rPr>
        <w:t>, London ; New York : Routledge, 2007.</w:t>
      </w:r>
    </w:p>
    <w:p w14:paraId="203F2636"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HÜRLIMANN, A. &amp; MARCH, A. 2012. The role of spatial planning in adapting to climate change. </w:t>
      </w:r>
      <w:r w:rsidRPr="009472CC">
        <w:rPr>
          <w:rFonts w:ascii="Arial" w:hAnsi="Arial" w:cs="Arial"/>
          <w:i/>
          <w:sz w:val="20"/>
          <w:szCs w:val="20"/>
        </w:rPr>
        <w:t>WIREs: Climate Change,</w:t>
      </w:r>
      <w:r w:rsidRPr="009472CC">
        <w:rPr>
          <w:rFonts w:ascii="Arial" w:hAnsi="Arial" w:cs="Arial"/>
          <w:sz w:val="20"/>
          <w:szCs w:val="20"/>
        </w:rPr>
        <w:t xml:space="preserve"> 3</w:t>
      </w:r>
      <w:r w:rsidRPr="009472CC">
        <w:rPr>
          <w:rFonts w:ascii="Arial" w:hAnsi="Arial" w:cs="Arial"/>
          <w:b/>
          <w:sz w:val="20"/>
          <w:szCs w:val="20"/>
        </w:rPr>
        <w:t>,</w:t>
      </w:r>
      <w:r w:rsidRPr="009472CC">
        <w:rPr>
          <w:rFonts w:ascii="Arial" w:hAnsi="Arial" w:cs="Arial"/>
          <w:sz w:val="20"/>
          <w:szCs w:val="20"/>
        </w:rPr>
        <w:t xml:space="preserve"> 477-488.</w:t>
      </w:r>
    </w:p>
    <w:p w14:paraId="31A9A1A3"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INNES, J. E. 1998. Information in communicative planning. </w:t>
      </w:r>
      <w:r w:rsidRPr="009472CC">
        <w:rPr>
          <w:rFonts w:ascii="Arial" w:hAnsi="Arial" w:cs="Arial"/>
          <w:i/>
          <w:sz w:val="20"/>
          <w:szCs w:val="20"/>
        </w:rPr>
        <w:t>Journal of the American Planning Association,</w:t>
      </w:r>
      <w:r w:rsidRPr="009472CC">
        <w:rPr>
          <w:rFonts w:ascii="Arial" w:hAnsi="Arial" w:cs="Arial"/>
          <w:sz w:val="20"/>
          <w:szCs w:val="20"/>
        </w:rPr>
        <w:t xml:space="preserve"> 64</w:t>
      </w:r>
      <w:r w:rsidRPr="009472CC">
        <w:rPr>
          <w:rFonts w:ascii="Arial" w:hAnsi="Arial" w:cs="Arial"/>
          <w:b/>
          <w:sz w:val="20"/>
          <w:szCs w:val="20"/>
        </w:rPr>
        <w:t>,</w:t>
      </w:r>
      <w:r w:rsidRPr="009472CC">
        <w:rPr>
          <w:rFonts w:ascii="Arial" w:hAnsi="Arial" w:cs="Arial"/>
          <w:sz w:val="20"/>
          <w:szCs w:val="20"/>
        </w:rPr>
        <w:t xml:space="preserve"> 52.</w:t>
      </w:r>
    </w:p>
    <w:p w14:paraId="53AAB0A6" w14:textId="77777777" w:rsidR="00A53616" w:rsidRPr="009472CC" w:rsidRDefault="00A53616" w:rsidP="009472CC">
      <w:pPr>
        <w:pStyle w:val="EndNoteBibliography"/>
        <w:spacing w:after="0"/>
        <w:ind w:left="720" w:hanging="720"/>
        <w:jc w:val="both"/>
        <w:rPr>
          <w:rFonts w:ascii="Arial" w:hAnsi="Arial" w:cs="Arial"/>
          <w:sz w:val="20"/>
          <w:szCs w:val="20"/>
        </w:rPr>
      </w:pPr>
      <w:r w:rsidRPr="00E70012">
        <w:rPr>
          <w:rFonts w:ascii="Arial" w:hAnsi="Arial" w:cs="Arial"/>
          <w:sz w:val="20"/>
          <w:szCs w:val="20"/>
          <w:lang w:val="es-CL"/>
        </w:rPr>
        <w:t xml:space="preserve">MANYENA, S. B., O'BRIEN, G., O'KEEFE, P. &amp; ROSE, J. 2011. </w:t>
      </w:r>
      <w:r w:rsidRPr="009472CC">
        <w:rPr>
          <w:rFonts w:ascii="Arial" w:hAnsi="Arial" w:cs="Arial"/>
          <w:sz w:val="20"/>
          <w:szCs w:val="20"/>
        </w:rPr>
        <w:t xml:space="preserve">Disaster resilience: a bounce back or bounce forward ability? </w:t>
      </w:r>
      <w:r w:rsidRPr="009472CC">
        <w:rPr>
          <w:rFonts w:ascii="Arial" w:hAnsi="Arial" w:cs="Arial"/>
          <w:i/>
          <w:sz w:val="20"/>
          <w:szCs w:val="20"/>
        </w:rPr>
        <w:t>Local Environment,</w:t>
      </w:r>
      <w:r w:rsidRPr="009472CC">
        <w:rPr>
          <w:rFonts w:ascii="Arial" w:hAnsi="Arial" w:cs="Arial"/>
          <w:sz w:val="20"/>
          <w:szCs w:val="20"/>
        </w:rPr>
        <w:t xml:space="preserve"> 16</w:t>
      </w:r>
      <w:r w:rsidRPr="009472CC">
        <w:rPr>
          <w:rFonts w:ascii="Arial" w:hAnsi="Arial" w:cs="Arial"/>
          <w:b/>
          <w:sz w:val="20"/>
          <w:szCs w:val="20"/>
        </w:rPr>
        <w:t>,</w:t>
      </w:r>
      <w:r w:rsidRPr="009472CC">
        <w:rPr>
          <w:rFonts w:ascii="Arial" w:hAnsi="Arial" w:cs="Arial"/>
          <w:sz w:val="20"/>
          <w:szCs w:val="20"/>
        </w:rPr>
        <w:t xml:space="preserve"> 417-424.</w:t>
      </w:r>
    </w:p>
    <w:p w14:paraId="5647A041"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MARCH, A. 2012. </w:t>
      </w:r>
      <w:r w:rsidRPr="009472CC">
        <w:rPr>
          <w:rFonts w:ascii="Arial" w:hAnsi="Arial" w:cs="Arial"/>
          <w:i/>
          <w:sz w:val="20"/>
          <w:szCs w:val="20"/>
        </w:rPr>
        <w:t>The democratic plan : analysis and diagnosis</w:t>
      </w:r>
      <w:r w:rsidRPr="009472CC">
        <w:rPr>
          <w:rFonts w:ascii="Arial" w:hAnsi="Arial" w:cs="Arial"/>
          <w:sz w:val="20"/>
          <w:szCs w:val="20"/>
        </w:rPr>
        <w:t>, Ashgate.</w:t>
      </w:r>
    </w:p>
    <w:p w14:paraId="14DBB030"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MARCH, A. 2015. Can Education Lead Policy and Research? Interdisciplinary Planning &amp; Design for Bushfire Risk Reduction. </w:t>
      </w:r>
      <w:r w:rsidRPr="009472CC">
        <w:rPr>
          <w:rFonts w:ascii="Arial" w:hAnsi="Arial" w:cs="Arial"/>
          <w:i/>
          <w:sz w:val="20"/>
          <w:szCs w:val="20"/>
        </w:rPr>
        <w:t>Australian New Zealand Association of Planning Schools, ANZAPS Conference.</w:t>
      </w:r>
      <w:r w:rsidRPr="009472CC">
        <w:rPr>
          <w:rFonts w:ascii="Arial" w:hAnsi="Arial" w:cs="Arial"/>
          <w:sz w:val="20"/>
          <w:szCs w:val="20"/>
        </w:rPr>
        <w:t xml:space="preserve"> Melbourne Australia </w:t>
      </w:r>
    </w:p>
    <w:p w14:paraId="4B02DB5B"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MARCH, A. &amp; HENRY, S. 2007. A Better Future from Imagining the Worst: Land Use Planning and Training Responses to Natural Disaster. </w:t>
      </w:r>
      <w:r w:rsidRPr="009472CC">
        <w:rPr>
          <w:rFonts w:ascii="Arial" w:hAnsi="Arial" w:cs="Arial"/>
          <w:i/>
          <w:sz w:val="20"/>
          <w:szCs w:val="20"/>
        </w:rPr>
        <w:t>The Australian Journal of Emergency Management,</w:t>
      </w:r>
      <w:r w:rsidRPr="009472CC">
        <w:rPr>
          <w:rFonts w:ascii="Arial" w:hAnsi="Arial" w:cs="Arial"/>
          <w:sz w:val="20"/>
          <w:szCs w:val="20"/>
        </w:rPr>
        <w:t xml:space="preserve"> 22</w:t>
      </w:r>
      <w:r w:rsidRPr="009472CC">
        <w:rPr>
          <w:rFonts w:ascii="Arial" w:hAnsi="Arial" w:cs="Arial"/>
          <w:b/>
          <w:sz w:val="20"/>
          <w:szCs w:val="20"/>
        </w:rPr>
        <w:t>,</w:t>
      </w:r>
      <w:r w:rsidRPr="009472CC">
        <w:rPr>
          <w:rFonts w:ascii="Arial" w:hAnsi="Arial" w:cs="Arial"/>
          <w:sz w:val="20"/>
          <w:szCs w:val="20"/>
        </w:rPr>
        <w:t xml:space="preserve"> 17-22.</w:t>
      </w:r>
    </w:p>
    <w:p w14:paraId="47A61B8F" w14:textId="5F5EFCFB" w:rsidR="00A53616" w:rsidRPr="009472CC" w:rsidRDefault="00E70012" w:rsidP="009472CC">
      <w:pPr>
        <w:pStyle w:val="EndNoteBibliography"/>
        <w:spacing w:after="0"/>
        <w:ind w:left="720" w:hanging="720"/>
        <w:jc w:val="both"/>
        <w:rPr>
          <w:rFonts w:ascii="Arial" w:hAnsi="Arial" w:cs="Arial"/>
          <w:sz w:val="20"/>
          <w:szCs w:val="20"/>
        </w:rPr>
      </w:pPr>
      <w:r>
        <w:rPr>
          <w:rFonts w:ascii="Arial" w:hAnsi="Arial" w:cs="Arial"/>
          <w:color w:val="000000" w:themeColor="text1"/>
          <w:kern w:val="24"/>
          <w:sz w:val="20"/>
          <w:szCs w:val="20"/>
        </w:rPr>
        <w:t xml:space="preserve">VICTORIAN STATE GOVERNMENT, </w:t>
      </w:r>
      <w:r w:rsidR="00A53616" w:rsidRPr="009472CC">
        <w:rPr>
          <w:rFonts w:ascii="Arial" w:hAnsi="Arial" w:cs="Arial"/>
          <w:sz w:val="20"/>
          <w:szCs w:val="20"/>
        </w:rPr>
        <w:t xml:space="preserve">1987 as amended. Planning and Environment Act </w:t>
      </w:r>
    </w:p>
    <w:p w14:paraId="4A7C0D32"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POLANYI, M. 1962. Tacit knowing. </w:t>
      </w:r>
      <w:r w:rsidRPr="009472CC">
        <w:rPr>
          <w:rFonts w:ascii="Arial" w:hAnsi="Arial" w:cs="Arial"/>
          <w:i/>
          <w:sz w:val="20"/>
          <w:szCs w:val="20"/>
        </w:rPr>
        <w:t>Philosophy Today,</w:t>
      </w:r>
      <w:r w:rsidRPr="009472CC">
        <w:rPr>
          <w:rFonts w:ascii="Arial" w:hAnsi="Arial" w:cs="Arial"/>
          <w:sz w:val="20"/>
          <w:szCs w:val="20"/>
        </w:rPr>
        <w:t xml:space="preserve"> 6</w:t>
      </w:r>
      <w:r w:rsidRPr="009472CC">
        <w:rPr>
          <w:rFonts w:ascii="Arial" w:hAnsi="Arial" w:cs="Arial"/>
          <w:b/>
          <w:sz w:val="20"/>
          <w:szCs w:val="20"/>
        </w:rPr>
        <w:t>,</w:t>
      </w:r>
      <w:r w:rsidRPr="009472CC">
        <w:rPr>
          <w:rFonts w:ascii="Arial" w:hAnsi="Arial" w:cs="Arial"/>
          <w:sz w:val="20"/>
          <w:szCs w:val="20"/>
        </w:rPr>
        <w:t xml:space="preserve"> 239-262.</w:t>
      </w:r>
    </w:p>
    <w:p w14:paraId="1413259D" w14:textId="77777777" w:rsidR="00A53616" w:rsidRPr="00E70012" w:rsidRDefault="00A53616" w:rsidP="009472CC">
      <w:pPr>
        <w:pStyle w:val="EndNoteBibliography"/>
        <w:spacing w:after="0"/>
        <w:ind w:left="720" w:hanging="720"/>
        <w:jc w:val="both"/>
        <w:rPr>
          <w:rFonts w:ascii="Arial" w:hAnsi="Arial" w:cs="Arial"/>
          <w:sz w:val="20"/>
          <w:szCs w:val="20"/>
          <w:lang w:val="pl-PL"/>
        </w:rPr>
      </w:pPr>
      <w:r w:rsidRPr="009472CC">
        <w:rPr>
          <w:rFonts w:ascii="Arial" w:hAnsi="Arial" w:cs="Arial"/>
          <w:sz w:val="20"/>
          <w:szCs w:val="20"/>
        </w:rPr>
        <w:t xml:space="preserve">POLANYI, M. 1966. The Logic of Tacit Inference. </w:t>
      </w:r>
      <w:r w:rsidRPr="00E70012">
        <w:rPr>
          <w:rFonts w:ascii="Arial" w:hAnsi="Arial" w:cs="Arial"/>
          <w:sz w:val="20"/>
          <w:szCs w:val="20"/>
          <w:lang w:val="pl-PL"/>
        </w:rPr>
        <w:t>Macmillan &amp; Co., Ltd.</w:t>
      </w:r>
    </w:p>
    <w:p w14:paraId="3D96A179" w14:textId="77777777" w:rsidR="00A53616" w:rsidRPr="009472CC" w:rsidRDefault="00A53616" w:rsidP="009472CC">
      <w:pPr>
        <w:pStyle w:val="EndNoteBibliography"/>
        <w:spacing w:after="0"/>
        <w:ind w:left="720" w:hanging="720"/>
        <w:jc w:val="both"/>
        <w:rPr>
          <w:rFonts w:ascii="Arial" w:hAnsi="Arial" w:cs="Arial"/>
          <w:sz w:val="20"/>
          <w:szCs w:val="20"/>
        </w:rPr>
      </w:pPr>
      <w:r w:rsidRPr="00E70012">
        <w:rPr>
          <w:rFonts w:ascii="Arial" w:hAnsi="Arial" w:cs="Arial"/>
          <w:sz w:val="20"/>
          <w:szCs w:val="20"/>
          <w:lang w:val="pl-PL"/>
        </w:rPr>
        <w:t>POLANYI, M. 2012</w:t>
      </w:r>
      <w:r w:rsidRPr="00E70012">
        <w:rPr>
          <w:rFonts w:ascii="Arial" w:hAnsi="Arial" w:cs="Arial"/>
          <w:i/>
          <w:sz w:val="20"/>
          <w:szCs w:val="20"/>
          <w:lang w:val="pl-PL"/>
        </w:rPr>
        <w:t xml:space="preserve"> [1962]</w:t>
      </w:r>
      <w:r w:rsidRPr="00E70012">
        <w:rPr>
          <w:rFonts w:ascii="Arial" w:hAnsi="Arial" w:cs="Arial"/>
          <w:sz w:val="20"/>
          <w:szCs w:val="20"/>
          <w:lang w:val="pl-PL"/>
        </w:rPr>
        <w:t xml:space="preserve">. </w:t>
      </w:r>
      <w:r w:rsidRPr="009472CC">
        <w:rPr>
          <w:rFonts w:ascii="Arial" w:hAnsi="Arial" w:cs="Arial"/>
          <w:i/>
          <w:sz w:val="20"/>
          <w:szCs w:val="20"/>
        </w:rPr>
        <w:t>Personal Knowledge [electronic resource]</w:t>
      </w:r>
      <w:r w:rsidRPr="009472CC">
        <w:rPr>
          <w:rFonts w:ascii="Arial" w:hAnsi="Arial" w:cs="Arial"/>
          <w:sz w:val="20"/>
          <w:szCs w:val="20"/>
        </w:rPr>
        <w:t>, Taylor and Francis.</w:t>
      </w:r>
    </w:p>
    <w:p w14:paraId="56BD6397"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RYDIN, Y. 2007. Re-Examining The Role Of Knowledge Within Planning Theory. </w:t>
      </w:r>
      <w:r w:rsidRPr="009472CC">
        <w:rPr>
          <w:rFonts w:ascii="Arial" w:hAnsi="Arial" w:cs="Arial"/>
          <w:i/>
          <w:sz w:val="20"/>
          <w:szCs w:val="20"/>
        </w:rPr>
        <w:t>Planning Theory,</w:t>
      </w:r>
      <w:r w:rsidRPr="009472CC">
        <w:rPr>
          <w:rFonts w:ascii="Arial" w:hAnsi="Arial" w:cs="Arial"/>
          <w:sz w:val="20"/>
          <w:szCs w:val="20"/>
        </w:rPr>
        <w:t xml:space="preserve"> 6</w:t>
      </w:r>
      <w:r w:rsidRPr="009472CC">
        <w:rPr>
          <w:rFonts w:ascii="Arial" w:hAnsi="Arial" w:cs="Arial"/>
          <w:b/>
          <w:sz w:val="20"/>
          <w:szCs w:val="20"/>
        </w:rPr>
        <w:t>,</w:t>
      </w:r>
      <w:r w:rsidRPr="009472CC">
        <w:rPr>
          <w:rFonts w:ascii="Arial" w:hAnsi="Arial" w:cs="Arial"/>
          <w:sz w:val="20"/>
          <w:szCs w:val="20"/>
        </w:rPr>
        <w:t xml:space="preserve"> 52-68.</w:t>
      </w:r>
    </w:p>
    <w:p w14:paraId="3AA28062"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RYLE, G. 2009 </w:t>
      </w:r>
      <w:r w:rsidRPr="009472CC">
        <w:rPr>
          <w:rFonts w:ascii="Arial" w:hAnsi="Arial" w:cs="Arial"/>
          <w:i/>
          <w:sz w:val="20"/>
          <w:szCs w:val="20"/>
        </w:rPr>
        <w:t>[1949]</w:t>
      </w:r>
      <w:r w:rsidRPr="009472CC">
        <w:rPr>
          <w:rFonts w:ascii="Arial" w:hAnsi="Arial" w:cs="Arial"/>
          <w:sz w:val="20"/>
          <w:szCs w:val="20"/>
        </w:rPr>
        <w:t xml:space="preserve">. </w:t>
      </w:r>
      <w:r w:rsidRPr="009472CC">
        <w:rPr>
          <w:rFonts w:ascii="Arial" w:hAnsi="Arial" w:cs="Arial"/>
          <w:i/>
          <w:sz w:val="20"/>
          <w:szCs w:val="20"/>
        </w:rPr>
        <w:t>The Concept of Mind</w:t>
      </w:r>
      <w:r w:rsidRPr="009472CC">
        <w:rPr>
          <w:rFonts w:ascii="Arial" w:hAnsi="Arial" w:cs="Arial"/>
          <w:sz w:val="20"/>
          <w:szCs w:val="20"/>
        </w:rPr>
        <w:t>, Taylor and Francis.</w:t>
      </w:r>
    </w:p>
    <w:p w14:paraId="0723F1FE" w14:textId="77777777" w:rsidR="00A53616" w:rsidRPr="009472CC" w:rsidRDefault="00A53616" w:rsidP="009472CC">
      <w:pPr>
        <w:pStyle w:val="EndNoteBibliography"/>
        <w:spacing w:after="0"/>
        <w:ind w:left="720" w:hanging="720"/>
        <w:jc w:val="both"/>
        <w:rPr>
          <w:rFonts w:ascii="Arial" w:hAnsi="Arial" w:cs="Arial"/>
          <w:sz w:val="20"/>
          <w:szCs w:val="20"/>
        </w:rPr>
      </w:pPr>
      <w:r w:rsidRPr="00E70012">
        <w:rPr>
          <w:rFonts w:ascii="Arial" w:hAnsi="Arial" w:cs="Arial"/>
          <w:sz w:val="20"/>
          <w:szCs w:val="20"/>
          <w:lang w:val="es-CL"/>
        </w:rPr>
        <w:lastRenderedPageBreak/>
        <w:t xml:space="preserve">SAPOUNTZAKI, K., WANCZURA, S., CASERTANO, G., GREIVING, S., XANTHOPOULOS, G. &amp; FERRARA, F. 2011. </w:t>
      </w:r>
      <w:r w:rsidRPr="009472CC">
        <w:rPr>
          <w:rFonts w:ascii="Arial" w:hAnsi="Arial" w:cs="Arial"/>
          <w:sz w:val="20"/>
          <w:szCs w:val="20"/>
        </w:rPr>
        <w:t xml:space="preserve">Disconnected policies and actors and the missing role of spatial planning throughout the risk management cycle. </w:t>
      </w:r>
      <w:r w:rsidRPr="009472CC">
        <w:rPr>
          <w:rFonts w:ascii="Arial" w:hAnsi="Arial" w:cs="Arial"/>
          <w:i/>
          <w:sz w:val="20"/>
          <w:szCs w:val="20"/>
        </w:rPr>
        <w:t>Natural Hazards,</w:t>
      </w:r>
      <w:r w:rsidRPr="009472CC">
        <w:rPr>
          <w:rFonts w:ascii="Arial" w:hAnsi="Arial" w:cs="Arial"/>
          <w:sz w:val="20"/>
          <w:szCs w:val="20"/>
        </w:rPr>
        <w:t xml:space="preserve"> 59</w:t>
      </w:r>
      <w:r w:rsidRPr="009472CC">
        <w:rPr>
          <w:rFonts w:ascii="Arial" w:hAnsi="Arial" w:cs="Arial"/>
          <w:b/>
          <w:sz w:val="20"/>
          <w:szCs w:val="20"/>
        </w:rPr>
        <w:t>,</w:t>
      </w:r>
      <w:r w:rsidRPr="009472CC">
        <w:rPr>
          <w:rFonts w:ascii="Arial" w:hAnsi="Arial" w:cs="Arial"/>
          <w:sz w:val="20"/>
          <w:szCs w:val="20"/>
        </w:rPr>
        <w:t xml:space="preserve"> 1445-1474.</w:t>
      </w:r>
    </w:p>
    <w:p w14:paraId="09074E35"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SHARPE, J. 2016. Understanding and unlocking transformative learning as a method for enabling behaviour change for adaptation and resilience to disaster threats. </w:t>
      </w:r>
      <w:r w:rsidRPr="009472CC">
        <w:rPr>
          <w:rFonts w:ascii="Arial" w:hAnsi="Arial" w:cs="Arial"/>
          <w:i/>
          <w:sz w:val="20"/>
          <w:szCs w:val="20"/>
        </w:rPr>
        <w:t>International Journal of Disaster Risk Reduction,</w:t>
      </w:r>
      <w:r w:rsidRPr="009472CC">
        <w:rPr>
          <w:rFonts w:ascii="Arial" w:hAnsi="Arial" w:cs="Arial"/>
          <w:sz w:val="20"/>
          <w:szCs w:val="20"/>
        </w:rPr>
        <w:t xml:space="preserve"> 17</w:t>
      </w:r>
      <w:r w:rsidRPr="009472CC">
        <w:rPr>
          <w:rFonts w:ascii="Arial" w:hAnsi="Arial" w:cs="Arial"/>
          <w:b/>
          <w:sz w:val="20"/>
          <w:szCs w:val="20"/>
        </w:rPr>
        <w:t>,</w:t>
      </w:r>
      <w:r w:rsidRPr="009472CC">
        <w:rPr>
          <w:rFonts w:ascii="Arial" w:hAnsi="Arial" w:cs="Arial"/>
          <w:sz w:val="20"/>
          <w:szCs w:val="20"/>
        </w:rPr>
        <w:t xml:space="preserve"> 213-219.</w:t>
      </w:r>
    </w:p>
    <w:p w14:paraId="784FEBD1"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SOLESBURY, W. 2002. The Ascendancy of Evidence. </w:t>
      </w:r>
      <w:r w:rsidRPr="009472CC">
        <w:rPr>
          <w:rFonts w:ascii="Arial" w:hAnsi="Arial" w:cs="Arial"/>
          <w:i/>
          <w:sz w:val="20"/>
          <w:szCs w:val="20"/>
        </w:rPr>
        <w:t>Planning Theory &amp; Practice,</w:t>
      </w:r>
      <w:r w:rsidRPr="009472CC">
        <w:rPr>
          <w:rFonts w:ascii="Arial" w:hAnsi="Arial" w:cs="Arial"/>
          <w:sz w:val="20"/>
          <w:szCs w:val="20"/>
        </w:rPr>
        <w:t xml:space="preserve"> 3</w:t>
      </w:r>
      <w:r w:rsidRPr="009472CC">
        <w:rPr>
          <w:rFonts w:ascii="Arial" w:hAnsi="Arial" w:cs="Arial"/>
          <w:b/>
          <w:sz w:val="20"/>
          <w:szCs w:val="20"/>
        </w:rPr>
        <w:t>,</w:t>
      </w:r>
      <w:r w:rsidRPr="009472CC">
        <w:rPr>
          <w:rFonts w:ascii="Arial" w:hAnsi="Arial" w:cs="Arial"/>
          <w:sz w:val="20"/>
          <w:szCs w:val="20"/>
        </w:rPr>
        <w:t xml:space="preserve"> 90-96.</w:t>
      </w:r>
    </w:p>
    <w:p w14:paraId="2D16A358"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SPIEKERMANN, R., KIENBERGER, S., NORTON, J., BRIONES, F. &amp; WEICHSELGARTNER, J. 2015. The Disaster-Knowledge Matrix – Reframing and evaluating the knowledge challenges in disaster risk reduction. </w:t>
      </w:r>
      <w:r w:rsidRPr="009472CC">
        <w:rPr>
          <w:rFonts w:ascii="Arial" w:hAnsi="Arial" w:cs="Arial"/>
          <w:i/>
          <w:sz w:val="20"/>
          <w:szCs w:val="20"/>
        </w:rPr>
        <w:t>International Journal of Disaster Risk Reduction,</w:t>
      </w:r>
      <w:r w:rsidRPr="009472CC">
        <w:rPr>
          <w:rFonts w:ascii="Arial" w:hAnsi="Arial" w:cs="Arial"/>
          <w:sz w:val="20"/>
          <w:szCs w:val="20"/>
        </w:rPr>
        <w:t xml:space="preserve"> 13</w:t>
      </w:r>
      <w:r w:rsidRPr="009472CC">
        <w:rPr>
          <w:rFonts w:ascii="Arial" w:hAnsi="Arial" w:cs="Arial"/>
          <w:b/>
          <w:sz w:val="20"/>
          <w:szCs w:val="20"/>
        </w:rPr>
        <w:t>,</w:t>
      </w:r>
      <w:r w:rsidRPr="009472CC">
        <w:rPr>
          <w:rFonts w:ascii="Arial" w:hAnsi="Arial" w:cs="Arial"/>
          <w:sz w:val="20"/>
          <w:szCs w:val="20"/>
        </w:rPr>
        <w:t xml:space="preserve"> 96-108.</w:t>
      </w:r>
    </w:p>
    <w:p w14:paraId="58852888"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SQUIRE, L. R. 1986. Mechanisms of Memory. The American Association for the Advancement of Science.</w:t>
      </w:r>
    </w:p>
    <w:p w14:paraId="0770C0C7"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SQUIRE, L. R. 1987. </w:t>
      </w:r>
      <w:r w:rsidRPr="009472CC">
        <w:rPr>
          <w:rFonts w:ascii="Arial" w:hAnsi="Arial" w:cs="Arial"/>
          <w:i/>
          <w:sz w:val="20"/>
          <w:szCs w:val="20"/>
        </w:rPr>
        <w:t>Memory and brain. [electronic resource]</w:t>
      </w:r>
      <w:r w:rsidRPr="009472CC">
        <w:rPr>
          <w:rFonts w:ascii="Arial" w:hAnsi="Arial" w:cs="Arial"/>
          <w:sz w:val="20"/>
          <w:szCs w:val="20"/>
        </w:rPr>
        <w:t>, New York : Oxford University Press, 1987.</w:t>
      </w:r>
    </w:p>
    <w:p w14:paraId="0BA03DD4" w14:textId="77777777" w:rsidR="00A53616" w:rsidRPr="009472CC" w:rsidRDefault="00A53616" w:rsidP="009472CC">
      <w:pPr>
        <w:pStyle w:val="EndNoteBibliography"/>
        <w:spacing w:after="0"/>
        <w:ind w:left="720" w:hanging="720"/>
        <w:jc w:val="both"/>
        <w:rPr>
          <w:rFonts w:ascii="Arial" w:hAnsi="Arial" w:cs="Arial"/>
          <w:sz w:val="20"/>
          <w:szCs w:val="20"/>
        </w:rPr>
      </w:pPr>
      <w:r w:rsidRPr="00E70012">
        <w:rPr>
          <w:rFonts w:ascii="Arial" w:hAnsi="Arial" w:cs="Arial"/>
          <w:sz w:val="20"/>
          <w:szCs w:val="20"/>
          <w:lang w:val="es-CL"/>
        </w:rPr>
        <w:t xml:space="preserve">TEAGUE, B., MCLEOD, R. &amp; PASCOE, S. 2010a. </w:t>
      </w:r>
      <w:r w:rsidRPr="009472CC">
        <w:rPr>
          <w:rFonts w:ascii="Arial" w:hAnsi="Arial" w:cs="Arial"/>
          <w:sz w:val="20"/>
          <w:szCs w:val="20"/>
        </w:rPr>
        <w:t xml:space="preserve">Final report summary. </w:t>
      </w:r>
      <w:r w:rsidRPr="009472CC">
        <w:rPr>
          <w:rFonts w:ascii="Arial" w:hAnsi="Arial" w:cs="Arial"/>
          <w:i/>
          <w:sz w:val="20"/>
          <w:szCs w:val="20"/>
        </w:rPr>
        <w:t>In:</w:t>
      </w:r>
      <w:r w:rsidRPr="009472CC">
        <w:rPr>
          <w:rFonts w:ascii="Arial" w:hAnsi="Arial" w:cs="Arial"/>
          <w:sz w:val="20"/>
          <w:szCs w:val="20"/>
        </w:rPr>
        <w:t xml:space="preserve"> 2009 VICTORIAN BUSHFIRES ROYAL COMMISSION (ed.). State Government of Victoria.</w:t>
      </w:r>
    </w:p>
    <w:p w14:paraId="1D70B5F3"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TEAGUE, B., MCLEOD, R. &amp; PASCOE, S. 2010b. Fire preparation, response  and recovery. Victoria: 2009 Victorian Bushfires Royal Commission.</w:t>
      </w:r>
    </w:p>
    <w:p w14:paraId="0800ED25"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THE WORLD BANK. 2016. </w:t>
      </w:r>
      <w:r w:rsidRPr="009472CC">
        <w:rPr>
          <w:rFonts w:ascii="Arial" w:hAnsi="Arial" w:cs="Arial"/>
          <w:i/>
          <w:sz w:val="20"/>
          <w:szCs w:val="20"/>
        </w:rPr>
        <w:t xml:space="preserve">Urban Development Overview </w:t>
      </w:r>
      <w:r w:rsidRPr="009472CC">
        <w:rPr>
          <w:rFonts w:ascii="Arial" w:hAnsi="Arial" w:cs="Arial"/>
          <w:sz w:val="20"/>
          <w:szCs w:val="20"/>
        </w:rPr>
        <w:t>[Online]. Available: http://www.worldbank.org/en/topic/urbandevelopment/overview [Accessed 20/07 2016].</w:t>
      </w:r>
    </w:p>
    <w:p w14:paraId="26964AF5"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TWIGG, J. 2015. Disaster Risk Reduction London, United Kingdom HPN Humanitarian Practice Network.</w:t>
      </w:r>
    </w:p>
    <w:p w14:paraId="6EC65A6A"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UNISDR 2004. Living with risk, A global review of disaster reductionn initiatives. New York and Geneva: United Nations.</w:t>
      </w:r>
    </w:p>
    <w:p w14:paraId="4A87844D"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UNISDR 2015. Sendai Framework for Disaster Risk Reduction. </w:t>
      </w:r>
      <w:r w:rsidRPr="009472CC">
        <w:rPr>
          <w:rFonts w:ascii="Arial" w:hAnsi="Arial" w:cs="Arial"/>
          <w:i/>
          <w:sz w:val="20"/>
          <w:szCs w:val="20"/>
        </w:rPr>
        <w:t>In:</w:t>
      </w:r>
      <w:r w:rsidRPr="009472CC">
        <w:rPr>
          <w:rFonts w:ascii="Arial" w:hAnsi="Arial" w:cs="Arial"/>
          <w:sz w:val="20"/>
          <w:szCs w:val="20"/>
        </w:rPr>
        <w:t xml:space="preserve"> REDUCTION, T. U. N. O. F. D. R. (ed.). Geneva, Switzerland.</w:t>
      </w:r>
    </w:p>
    <w:p w14:paraId="4BEB581C"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VILLAR, C. &amp; GUÉZO, B. Territorial disaster resilience. </w:t>
      </w:r>
      <w:r w:rsidRPr="009472CC">
        <w:rPr>
          <w:rFonts w:ascii="Arial" w:hAnsi="Arial" w:cs="Arial"/>
          <w:i/>
          <w:sz w:val="20"/>
          <w:szCs w:val="20"/>
        </w:rPr>
        <w:t xml:space="preserve">In: </w:t>
      </w:r>
      <w:r w:rsidRPr="009472CC">
        <w:rPr>
          <w:rFonts w:ascii="Arial" w:hAnsi="Arial" w:cs="Arial"/>
          <w:sz w:val="20"/>
          <w:szCs w:val="20"/>
        </w:rPr>
        <w:t>IDRC, ed. Integrative Risk Management - Towards Resilient Cities, 2016 Davos. Global Risk Forum GRF Davos, 616-619.</w:t>
      </w:r>
    </w:p>
    <w:p w14:paraId="1EA017B8"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WATERS, G. 2011. Flooded Queensland town to be relocated. </w:t>
      </w:r>
      <w:r w:rsidRPr="009472CC">
        <w:rPr>
          <w:rFonts w:ascii="Arial" w:hAnsi="Arial" w:cs="Arial"/>
          <w:i/>
          <w:sz w:val="20"/>
          <w:szCs w:val="20"/>
        </w:rPr>
        <w:t>The Sydney Morning Herald</w:t>
      </w:r>
      <w:r w:rsidRPr="009472CC">
        <w:rPr>
          <w:rFonts w:ascii="Arial" w:hAnsi="Arial" w:cs="Arial"/>
          <w:sz w:val="20"/>
          <w:szCs w:val="20"/>
        </w:rPr>
        <w:t>.</w:t>
      </w:r>
    </w:p>
    <w:p w14:paraId="7EBAB6BF"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WEICHSELGARTNER, J. &amp; PIGEON, P. 2015. The Role of Knowledge in Disaster Risk Reduction. </w:t>
      </w:r>
      <w:r w:rsidRPr="009472CC">
        <w:rPr>
          <w:rFonts w:ascii="Arial" w:hAnsi="Arial" w:cs="Arial"/>
          <w:i/>
          <w:sz w:val="20"/>
          <w:szCs w:val="20"/>
        </w:rPr>
        <w:t>International Journal of Disaster Risk Science,</w:t>
      </w:r>
      <w:r w:rsidRPr="009472CC">
        <w:rPr>
          <w:rFonts w:ascii="Arial" w:hAnsi="Arial" w:cs="Arial"/>
          <w:sz w:val="20"/>
          <w:szCs w:val="20"/>
        </w:rPr>
        <w:t xml:space="preserve"> 6</w:t>
      </w:r>
      <w:r w:rsidRPr="009472CC">
        <w:rPr>
          <w:rFonts w:ascii="Arial" w:hAnsi="Arial" w:cs="Arial"/>
          <w:b/>
          <w:sz w:val="20"/>
          <w:szCs w:val="20"/>
        </w:rPr>
        <w:t>,</w:t>
      </w:r>
      <w:r w:rsidRPr="009472CC">
        <w:rPr>
          <w:rFonts w:ascii="Arial" w:hAnsi="Arial" w:cs="Arial"/>
          <w:sz w:val="20"/>
          <w:szCs w:val="20"/>
        </w:rPr>
        <w:t xml:space="preserve"> 107-116.</w:t>
      </w:r>
    </w:p>
    <w:p w14:paraId="5C01B379" w14:textId="77777777" w:rsidR="00A53616" w:rsidRPr="009472CC" w:rsidRDefault="00A53616" w:rsidP="009472CC">
      <w:pPr>
        <w:pStyle w:val="EndNoteBibliography"/>
        <w:spacing w:after="0"/>
        <w:ind w:left="720" w:hanging="720"/>
        <w:jc w:val="both"/>
        <w:rPr>
          <w:rFonts w:ascii="Arial" w:hAnsi="Arial" w:cs="Arial"/>
          <w:sz w:val="20"/>
          <w:szCs w:val="20"/>
        </w:rPr>
      </w:pPr>
      <w:r w:rsidRPr="009472CC">
        <w:rPr>
          <w:rFonts w:ascii="Arial" w:hAnsi="Arial" w:cs="Arial"/>
          <w:sz w:val="20"/>
          <w:szCs w:val="20"/>
        </w:rPr>
        <w:t xml:space="preserve">WEINGART, P. 2010. A Short History of Knowledge Formations. </w:t>
      </w:r>
      <w:r w:rsidRPr="009472CC">
        <w:rPr>
          <w:rFonts w:ascii="Arial" w:hAnsi="Arial" w:cs="Arial"/>
          <w:i/>
          <w:sz w:val="20"/>
          <w:szCs w:val="20"/>
        </w:rPr>
        <w:t>In:</w:t>
      </w:r>
      <w:r w:rsidRPr="009472CC">
        <w:rPr>
          <w:rFonts w:ascii="Arial" w:hAnsi="Arial" w:cs="Arial"/>
          <w:sz w:val="20"/>
          <w:szCs w:val="20"/>
        </w:rPr>
        <w:t xml:space="preserve"> KLEIN, J. T., MITCHAM, C. &amp; FRODEMAN, R. (eds.) </w:t>
      </w:r>
      <w:r w:rsidRPr="009472CC">
        <w:rPr>
          <w:rFonts w:ascii="Arial" w:hAnsi="Arial" w:cs="Arial"/>
          <w:i/>
          <w:sz w:val="20"/>
          <w:szCs w:val="20"/>
        </w:rPr>
        <w:t>The Oxford Handbook of Interdisciplinarity. .</w:t>
      </w:r>
      <w:r w:rsidRPr="009472CC">
        <w:rPr>
          <w:rFonts w:ascii="Arial" w:hAnsi="Arial" w:cs="Arial"/>
          <w:sz w:val="20"/>
          <w:szCs w:val="20"/>
        </w:rPr>
        <w:t xml:space="preserve"> Oxford : Oxford University Press, 2010.</w:t>
      </w:r>
    </w:p>
    <w:p w14:paraId="484F0CFC" w14:textId="77777777" w:rsidR="00A53616" w:rsidRPr="009472CC" w:rsidRDefault="00A53616" w:rsidP="009472CC">
      <w:pPr>
        <w:pStyle w:val="EndNoteBibliography"/>
        <w:ind w:left="720" w:hanging="720"/>
        <w:jc w:val="both"/>
        <w:rPr>
          <w:rFonts w:ascii="Arial" w:hAnsi="Arial" w:cs="Arial"/>
          <w:sz w:val="20"/>
          <w:szCs w:val="20"/>
        </w:rPr>
      </w:pPr>
      <w:r w:rsidRPr="009472CC">
        <w:rPr>
          <w:rFonts w:ascii="Arial" w:hAnsi="Arial" w:cs="Arial"/>
          <w:sz w:val="20"/>
          <w:szCs w:val="20"/>
        </w:rPr>
        <w:t xml:space="preserve">WHITE, G. F., KATES, R. W. &amp; BURTON, I. 2001. Knowing better and losing even more: the use of knowledge in hazards management. </w:t>
      </w:r>
      <w:r w:rsidRPr="009472CC">
        <w:rPr>
          <w:rFonts w:ascii="Arial" w:hAnsi="Arial" w:cs="Arial"/>
          <w:i/>
          <w:sz w:val="20"/>
          <w:szCs w:val="20"/>
        </w:rPr>
        <w:t>Global Environmental Change B: Environmental Hazards,</w:t>
      </w:r>
      <w:r w:rsidRPr="009472CC">
        <w:rPr>
          <w:rFonts w:ascii="Arial" w:hAnsi="Arial" w:cs="Arial"/>
          <w:sz w:val="20"/>
          <w:szCs w:val="20"/>
        </w:rPr>
        <w:t xml:space="preserve"> 3</w:t>
      </w:r>
      <w:r w:rsidRPr="009472CC">
        <w:rPr>
          <w:rFonts w:ascii="Arial" w:hAnsi="Arial" w:cs="Arial"/>
          <w:b/>
          <w:sz w:val="20"/>
          <w:szCs w:val="20"/>
        </w:rPr>
        <w:t>,</w:t>
      </w:r>
      <w:r w:rsidRPr="009472CC">
        <w:rPr>
          <w:rFonts w:ascii="Arial" w:hAnsi="Arial" w:cs="Arial"/>
          <w:sz w:val="20"/>
          <w:szCs w:val="20"/>
        </w:rPr>
        <w:t xml:space="preserve"> 81-92.</w:t>
      </w:r>
    </w:p>
    <w:p w14:paraId="1BB20C32" w14:textId="77777777" w:rsidR="00A53616" w:rsidRPr="00766C75" w:rsidRDefault="00A53616" w:rsidP="00766C75">
      <w:pPr>
        <w:spacing w:after="0" w:line="240" w:lineRule="auto"/>
        <w:jc w:val="both"/>
        <w:rPr>
          <w:rFonts w:ascii="Arial" w:hAnsi="Arial" w:cs="Arial"/>
          <w:sz w:val="20"/>
          <w:szCs w:val="20"/>
        </w:rPr>
      </w:pPr>
    </w:p>
    <w:p w14:paraId="188A9C2E" w14:textId="77777777" w:rsidR="00A53616" w:rsidRPr="00766C75" w:rsidRDefault="00A53616" w:rsidP="00766C75">
      <w:pPr>
        <w:rPr>
          <w:rFonts w:ascii="Arial" w:hAnsi="Arial" w:cs="Arial"/>
          <w:sz w:val="20"/>
          <w:szCs w:val="20"/>
        </w:rPr>
      </w:pPr>
    </w:p>
    <w:p w14:paraId="1896452A" w14:textId="77777777" w:rsidR="001A7707" w:rsidRDefault="001A7707"/>
    <w:sectPr w:rsidR="001A7707" w:rsidSect="002B63A1">
      <w:headerReference w:type="default" r:id="rId9"/>
      <w:pgSz w:w="11906" w:h="16838"/>
      <w:pgMar w:top="1440" w:right="1440" w:bottom="1440" w:left="1440"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93F8FF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93F8FF1" w16cid:durableId="1D809F32"/>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A880AE" w14:textId="77777777" w:rsidR="0040151E" w:rsidRDefault="0040151E" w:rsidP="00370770">
      <w:pPr>
        <w:spacing w:after="0" w:line="240" w:lineRule="auto"/>
      </w:pPr>
      <w:r>
        <w:separator/>
      </w:r>
    </w:p>
  </w:endnote>
  <w:endnote w:type="continuationSeparator" w:id="0">
    <w:p w14:paraId="2F50075B" w14:textId="77777777" w:rsidR="0040151E" w:rsidRDefault="0040151E" w:rsidP="003707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Calibri Light">
    <w:panose1 w:val="020F0302020204030204"/>
    <w:charset w:val="00"/>
    <w:family w:val="auto"/>
    <w:pitch w:val="variable"/>
    <w:sig w:usb0="A00002EF" w:usb1="4000207B" w:usb2="00000000" w:usb3="00000000" w:csb0="0000009F" w:csb1="00000000"/>
  </w:font>
  <w:font w:name="游ゴシック Light">
    <w:panose1 w:val="00000000000000000000"/>
    <w:charset w:val="80"/>
    <w:family w:val="roman"/>
    <w:notTrueType/>
    <w:pitch w:val="default"/>
  </w:font>
  <w:font w:name="Arial">
    <w:panose1 w:val="020B0604020202020204"/>
    <w:charset w:val="00"/>
    <w:family w:val="auto"/>
    <w:pitch w:val="variable"/>
    <w:sig w:usb0="E0002AFF" w:usb1="C0007843" w:usb2="00000009" w:usb3="00000000" w:csb0="000001FF" w:csb1="00000000"/>
  </w:font>
  <w:font w:name="游明朝">
    <w:panose1 w:val="00000000000000000000"/>
    <w:charset w:val="80"/>
    <w:family w:val="roman"/>
    <w:notTrueType/>
    <w:pitch w:val="default"/>
  </w:font>
  <w:font w:name="Segoe UI">
    <w:altName w:val="Courier New"/>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278E48" w14:textId="77777777" w:rsidR="0040151E" w:rsidRDefault="0040151E" w:rsidP="00370770">
      <w:pPr>
        <w:spacing w:after="0" w:line="240" w:lineRule="auto"/>
      </w:pPr>
      <w:r>
        <w:separator/>
      </w:r>
    </w:p>
  </w:footnote>
  <w:footnote w:type="continuationSeparator" w:id="0">
    <w:p w14:paraId="79074D74" w14:textId="77777777" w:rsidR="0040151E" w:rsidRDefault="0040151E" w:rsidP="00370770">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393B9A" w14:textId="2405CC6D" w:rsidR="009B7CA3" w:rsidRPr="009B7CA3" w:rsidRDefault="009B7CA3">
    <w:pPr>
      <w:pStyle w:val="Header"/>
      <w:rPr>
        <w:rFonts w:ascii="Arial" w:hAnsi="Arial" w:cs="Arial"/>
        <w:sz w:val="20"/>
        <w:szCs w:val="20"/>
      </w:rPr>
    </w:pPr>
    <w:r w:rsidRPr="009B7CA3">
      <w:rPr>
        <w:rFonts w:ascii="Arial" w:hAnsi="Arial" w:cs="Arial"/>
        <w:sz w:val="20"/>
        <w:szCs w:val="20"/>
      </w:rPr>
      <w:t>SOAC 2017</w:t>
    </w: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Constanza Gonzalez Mathiesen">
    <w15:presenceInfo w15:providerId="None" w15:userId="Constanza Gonzalez Mathiesen"/>
  </w15:person>
  <w15:person w15:author="Alan March">
    <w15:presenceInfo w15:providerId="None" w15:userId="Alan Marc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A53616"/>
    <w:rsid w:val="000207AC"/>
    <w:rsid w:val="000811D2"/>
    <w:rsid w:val="00084038"/>
    <w:rsid w:val="000A60E7"/>
    <w:rsid w:val="001A7707"/>
    <w:rsid w:val="00202471"/>
    <w:rsid w:val="0024272B"/>
    <w:rsid w:val="00330E6D"/>
    <w:rsid w:val="00370770"/>
    <w:rsid w:val="0037447C"/>
    <w:rsid w:val="003E4C2B"/>
    <w:rsid w:val="0040151E"/>
    <w:rsid w:val="004470BE"/>
    <w:rsid w:val="005C606E"/>
    <w:rsid w:val="006B70BA"/>
    <w:rsid w:val="006E1A4A"/>
    <w:rsid w:val="00792695"/>
    <w:rsid w:val="007E62DE"/>
    <w:rsid w:val="009472CC"/>
    <w:rsid w:val="009B7CA3"/>
    <w:rsid w:val="00A42F9A"/>
    <w:rsid w:val="00A53616"/>
    <w:rsid w:val="00B74977"/>
    <w:rsid w:val="00C36B8E"/>
    <w:rsid w:val="00D62A69"/>
    <w:rsid w:val="00E70012"/>
    <w:rsid w:val="00EB169D"/>
    <w:rsid w:val="00FA6E89"/>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10297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3616"/>
    <w:pPr>
      <w:spacing w:after="200" w:line="276" w:lineRule="auto"/>
    </w:pPr>
  </w:style>
  <w:style w:type="paragraph" w:styleId="Heading1">
    <w:name w:val="heading 1"/>
    <w:basedOn w:val="Normal"/>
    <w:next w:val="Normal"/>
    <w:link w:val="Heading1Char"/>
    <w:uiPriority w:val="9"/>
    <w:qFormat/>
    <w:rsid w:val="00A5361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qFormat/>
    <w:rsid w:val="00A53616"/>
    <w:pPr>
      <w:keepNext/>
      <w:spacing w:after="0" w:line="240" w:lineRule="auto"/>
      <w:jc w:val="center"/>
      <w:outlineLvl w:val="1"/>
    </w:pPr>
    <w:rPr>
      <w:rFonts w:ascii="Arial" w:eastAsia="Times New Roman" w:hAnsi="Arial" w:cs="Arial"/>
      <w:b/>
      <w:bCs/>
      <w:sz w:val="28"/>
      <w:szCs w:val="20"/>
    </w:rPr>
  </w:style>
  <w:style w:type="paragraph" w:styleId="Heading3">
    <w:name w:val="heading 3"/>
    <w:basedOn w:val="Normal"/>
    <w:next w:val="Normal"/>
    <w:link w:val="Heading3Char"/>
    <w:autoRedefine/>
    <w:uiPriority w:val="9"/>
    <w:unhideWhenUsed/>
    <w:qFormat/>
    <w:rsid w:val="00A53616"/>
    <w:pPr>
      <w:keepNext/>
      <w:keepLines/>
      <w:tabs>
        <w:tab w:val="left" w:pos="2127"/>
      </w:tabs>
      <w:spacing w:before="560" w:after="360"/>
      <w:ind w:left="720" w:hanging="720"/>
      <w:outlineLvl w:val="2"/>
    </w:pPr>
    <w:rPr>
      <w:rFonts w:eastAsiaTheme="majorEastAsia" w:cstheme="majorBidi"/>
      <w:b/>
      <w:bCs/>
      <w:color w:val="000000" w:themeColor="text1"/>
      <w:sz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361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rsid w:val="00A53616"/>
    <w:rPr>
      <w:rFonts w:ascii="Arial" w:eastAsia="Times New Roman" w:hAnsi="Arial" w:cs="Arial"/>
      <w:b/>
      <w:bCs/>
      <w:sz w:val="28"/>
      <w:szCs w:val="20"/>
    </w:rPr>
  </w:style>
  <w:style w:type="character" w:customStyle="1" w:styleId="Heading3Char">
    <w:name w:val="Heading 3 Char"/>
    <w:basedOn w:val="DefaultParagraphFont"/>
    <w:link w:val="Heading3"/>
    <w:uiPriority w:val="9"/>
    <w:rsid w:val="00A53616"/>
    <w:rPr>
      <w:rFonts w:eastAsiaTheme="majorEastAsia" w:cstheme="majorBidi"/>
      <w:b/>
      <w:bCs/>
      <w:color w:val="000000" w:themeColor="text1"/>
      <w:sz w:val="24"/>
      <w:lang w:eastAsia="zh-CN"/>
    </w:rPr>
  </w:style>
  <w:style w:type="paragraph" w:customStyle="1" w:styleId="EndNoteBibliographyTitle">
    <w:name w:val="EndNote Bibliography Title"/>
    <w:basedOn w:val="Normal"/>
    <w:link w:val="EndNoteBibliographyTitleChar"/>
    <w:rsid w:val="00A53616"/>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A53616"/>
    <w:rPr>
      <w:rFonts w:ascii="Calibri" w:hAnsi="Calibri" w:cs="Calibri"/>
      <w:noProof/>
      <w:lang w:val="en-US"/>
    </w:rPr>
  </w:style>
  <w:style w:type="paragraph" w:customStyle="1" w:styleId="EndNoteBibliography">
    <w:name w:val="EndNote Bibliography"/>
    <w:basedOn w:val="Normal"/>
    <w:link w:val="EndNoteBibliographyChar"/>
    <w:rsid w:val="00A53616"/>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A53616"/>
    <w:rPr>
      <w:rFonts w:ascii="Calibri" w:hAnsi="Calibri" w:cs="Calibri"/>
      <w:noProof/>
      <w:lang w:val="en-US"/>
    </w:rPr>
  </w:style>
  <w:style w:type="character" w:customStyle="1" w:styleId="hps">
    <w:name w:val="hps"/>
    <w:basedOn w:val="DefaultParagraphFont"/>
    <w:rsid w:val="00A53616"/>
  </w:style>
  <w:style w:type="paragraph" w:styleId="NormalWeb">
    <w:name w:val="Normal (Web)"/>
    <w:basedOn w:val="Normal"/>
    <w:uiPriority w:val="99"/>
    <w:unhideWhenUsed/>
    <w:rsid w:val="00A53616"/>
    <w:pPr>
      <w:spacing w:before="100" w:beforeAutospacing="1" w:after="100" w:afterAutospacing="1" w:line="240" w:lineRule="auto"/>
    </w:pPr>
    <w:rPr>
      <w:rFonts w:ascii="Times New Roman" w:eastAsiaTheme="minorEastAsia" w:hAnsi="Times New Roman" w:cs="Times New Roman"/>
      <w:sz w:val="24"/>
      <w:szCs w:val="24"/>
      <w:lang w:val="en-US" w:eastAsia="zh-CN"/>
    </w:rPr>
  </w:style>
  <w:style w:type="character" w:styleId="Hyperlink">
    <w:name w:val="Hyperlink"/>
    <w:basedOn w:val="DefaultParagraphFont"/>
    <w:uiPriority w:val="99"/>
    <w:unhideWhenUsed/>
    <w:rsid w:val="00A53616"/>
    <w:rPr>
      <w:color w:val="0563C1" w:themeColor="hyperlink"/>
      <w:u w:val="single"/>
    </w:rPr>
  </w:style>
  <w:style w:type="character" w:customStyle="1" w:styleId="UnresolvedMention1">
    <w:name w:val="Unresolved Mention1"/>
    <w:basedOn w:val="DefaultParagraphFont"/>
    <w:uiPriority w:val="99"/>
    <w:rsid w:val="00A53616"/>
    <w:rPr>
      <w:color w:val="808080"/>
      <w:shd w:val="clear" w:color="auto" w:fill="E6E6E6"/>
    </w:rPr>
  </w:style>
  <w:style w:type="paragraph" w:styleId="BalloonText">
    <w:name w:val="Balloon Text"/>
    <w:basedOn w:val="Normal"/>
    <w:link w:val="BalloonTextChar"/>
    <w:uiPriority w:val="99"/>
    <w:semiHidden/>
    <w:unhideWhenUsed/>
    <w:rsid w:val="00A5361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53616"/>
    <w:rPr>
      <w:rFonts w:ascii="Segoe UI" w:hAnsi="Segoe UI" w:cs="Segoe UI"/>
      <w:sz w:val="18"/>
      <w:szCs w:val="18"/>
    </w:rPr>
  </w:style>
  <w:style w:type="character" w:styleId="CommentReference">
    <w:name w:val="annotation reference"/>
    <w:basedOn w:val="DefaultParagraphFont"/>
    <w:uiPriority w:val="99"/>
    <w:semiHidden/>
    <w:unhideWhenUsed/>
    <w:rsid w:val="006E1A4A"/>
    <w:rPr>
      <w:sz w:val="16"/>
      <w:szCs w:val="16"/>
    </w:rPr>
  </w:style>
  <w:style w:type="paragraph" w:styleId="CommentText">
    <w:name w:val="annotation text"/>
    <w:basedOn w:val="Normal"/>
    <w:link w:val="CommentTextChar"/>
    <w:uiPriority w:val="99"/>
    <w:semiHidden/>
    <w:unhideWhenUsed/>
    <w:rsid w:val="006E1A4A"/>
    <w:pPr>
      <w:spacing w:line="240" w:lineRule="auto"/>
    </w:pPr>
    <w:rPr>
      <w:sz w:val="20"/>
      <w:szCs w:val="20"/>
    </w:rPr>
  </w:style>
  <w:style w:type="character" w:customStyle="1" w:styleId="CommentTextChar">
    <w:name w:val="Comment Text Char"/>
    <w:basedOn w:val="DefaultParagraphFont"/>
    <w:link w:val="CommentText"/>
    <w:uiPriority w:val="99"/>
    <w:semiHidden/>
    <w:rsid w:val="006E1A4A"/>
    <w:rPr>
      <w:sz w:val="20"/>
      <w:szCs w:val="20"/>
    </w:rPr>
  </w:style>
  <w:style w:type="paragraph" w:styleId="CommentSubject">
    <w:name w:val="annotation subject"/>
    <w:basedOn w:val="CommentText"/>
    <w:next w:val="CommentText"/>
    <w:link w:val="CommentSubjectChar"/>
    <w:uiPriority w:val="99"/>
    <w:semiHidden/>
    <w:unhideWhenUsed/>
    <w:rsid w:val="006E1A4A"/>
    <w:rPr>
      <w:b/>
      <w:bCs/>
    </w:rPr>
  </w:style>
  <w:style w:type="character" w:customStyle="1" w:styleId="CommentSubjectChar">
    <w:name w:val="Comment Subject Char"/>
    <w:basedOn w:val="CommentTextChar"/>
    <w:link w:val="CommentSubject"/>
    <w:uiPriority w:val="99"/>
    <w:semiHidden/>
    <w:rsid w:val="006E1A4A"/>
    <w:rPr>
      <w:b/>
      <w:bCs/>
      <w:sz w:val="20"/>
      <w:szCs w:val="20"/>
    </w:rPr>
  </w:style>
  <w:style w:type="paragraph" w:styleId="Header">
    <w:name w:val="header"/>
    <w:basedOn w:val="Normal"/>
    <w:link w:val="HeaderChar"/>
    <w:uiPriority w:val="99"/>
    <w:unhideWhenUsed/>
    <w:rsid w:val="003707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370770"/>
  </w:style>
  <w:style w:type="paragraph" w:styleId="Footer">
    <w:name w:val="footer"/>
    <w:basedOn w:val="Normal"/>
    <w:link w:val="FooterChar"/>
    <w:uiPriority w:val="99"/>
    <w:unhideWhenUsed/>
    <w:rsid w:val="003707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370770"/>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3616"/>
    <w:pPr>
      <w:spacing w:after="200" w:line="276" w:lineRule="auto"/>
    </w:pPr>
  </w:style>
  <w:style w:type="paragraph" w:styleId="Heading1">
    <w:name w:val="heading 1"/>
    <w:basedOn w:val="Normal"/>
    <w:next w:val="Normal"/>
    <w:link w:val="Heading1Char"/>
    <w:uiPriority w:val="9"/>
    <w:qFormat/>
    <w:rsid w:val="00A5361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qFormat/>
    <w:rsid w:val="00A53616"/>
    <w:pPr>
      <w:keepNext/>
      <w:spacing w:after="0" w:line="240" w:lineRule="auto"/>
      <w:jc w:val="center"/>
      <w:outlineLvl w:val="1"/>
    </w:pPr>
    <w:rPr>
      <w:rFonts w:ascii="Arial" w:eastAsia="Times New Roman" w:hAnsi="Arial" w:cs="Arial"/>
      <w:b/>
      <w:bCs/>
      <w:sz w:val="28"/>
      <w:szCs w:val="20"/>
    </w:rPr>
  </w:style>
  <w:style w:type="paragraph" w:styleId="Heading3">
    <w:name w:val="heading 3"/>
    <w:basedOn w:val="Normal"/>
    <w:next w:val="Normal"/>
    <w:link w:val="Heading3Char"/>
    <w:autoRedefine/>
    <w:uiPriority w:val="9"/>
    <w:unhideWhenUsed/>
    <w:qFormat/>
    <w:rsid w:val="00A53616"/>
    <w:pPr>
      <w:keepNext/>
      <w:keepLines/>
      <w:tabs>
        <w:tab w:val="left" w:pos="2127"/>
      </w:tabs>
      <w:spacing w:before="560" w:after="360"/>
      <w:ind w:left="720" w:hanging="720"/>
      <w:outlineLvl w:val="2"/>
    </w:pPr>
    <w:rPr>
      <w:rFonts w:eastAsiaTheme="majorEastAsia" w:cstheme="majorBidi"/>
      <w:b/>
      <w:bCs/>
      <w:color w:val="000000" w:themeColor="text1"/>
      <w:sz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361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rsid w:val="00A53616"/>
    <w:rPr>
      <w:rFonts w:ascii="Arial" w:eastAsia="Times New Roman" w:hAnsi="Arial" w:cs="Arial"/>
      <w:b/>
      <w:bCs/>
      <w:sz w:val="28"/>
      <w:szCs w:val="20"/>
    </w:rPr>
  </w:style>
  <w:style w:type="character" w:customStyle="1" w:styleId="Heading3Char">
    <w:name w:val="Heading 3 Char"/>
    <w:basedOn w:val="DefaultParagraphFont"/>
    <w:link w:val="Heading3"/>
    <w:uiPriority w:val="9"/>
    <w:rsid w:val="00A53616"/>
    <w:rPr>
      <w:rFonts w:eastAsiaTheme="majorEastAsia" w:cstheme="majorBidi"/>
      <w:b/>
      <w:bCs/>
      <w:color w:val="000000" w:themeColor="text1"/>
      <w:sz w:val="24"/>
      <w:lang w:eastAsia="zh-CN"/>
    </w:rPr>
  </w:style>
  <w:style w:type="paragraph" w:customStyle="1" w:styleId="EndNoteBibliographyTitle">
    <w:name w:val="EndNote Bibliography Title"/>
    <w:basedOn w:val="Normal"/>
    <w:link w:val="EndNoteBibliographyTitleChar"/>
    <w:rsid w:val="00A53616"/>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A53616"/>
    <w:rPr>
      <w:rFonts w:ascii="Calibri" w:hAnsi="Calibri" w:cs="Calibri"/>
      <w:noProof/>
      <w:lang w:val="en-US"/>
    </w:rPr>
  </w:style>
  <w:style w:type="paragraph" w:customStyle="1" w:styleId="EndNoteBibliography">
    <w:name w:val="EndNote Bibliography"/>
    <w:basedOn w:val="Normal"/>
    <w:link w:val="EndNoteBibliographyChar"/>
    <w:rsid w:val="00A53616"/>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A53616"/>
    <w:rPr>
      <w:rFonts w:ascii="Calibri" w:hAnsi="Calibri" w:cs="Calibri"/>
      <w:noProof/>
      <w:lang w:val="en-US"/>
    </w:rPr>
  </w:style>
  <w:style w:type="character" w:customStyle="1" w:styleId="hps">
    <w:name w:val="hps"/>
    <w:basedOn w:val="DefaultParagraphFont"/>
    <w:rsid w:val="00A53616"/>
  </w:style>
  <w:style w:type="paragraph" w:styleId="NormalWeb">
    <w:name w:val="Normal (Web)"/>
    <w:basedOn w:val="Normal"/>
    <w:uiPriority w:val="99"/>
    <w:unhideWhenUsed/>
    <w:rsid w:val="00A53616"/>
    <w:pPr>
      <w:spacing w:before="100" w:beforeAutospacing="1" w:after="100" w:afterAutospacing="1" w:line="240" w:lineRule="auto"/>
    </w:pPr>
    <w:rPr>
      <w:rFonts w:ascii="Times New Roman" w:eastAsiaTheme="minorEastAsia" w:hAnsi="Times New Roman" w:cs="Times New Roman"/>
      <w:sz w:val="24"/>
      <w:szCs w:val="24"/>
      <w:lang w:val="en-US" w:eastAsia="zh-CN"/>
    </w:rPr>
  </w:style>
  <w:style w:type="character" w:styleId="Hyperlink">
    <w:name w:val="Hyperlink"/>
    <w:basedOn w:val="DefaultParagraphFont"/>
    <w:uiPriority w:val="99"/>
    <w:unhideWhenUsed/>
    <w:rsid w:val="00A53616"/>
    <w:rPr>
      <w:color w:val="0563C1" w:themeColor="hyperlink"/>
      <w:u w:val="single"/>
    </w:rPr>
  </w:style>
  <w:style w:type="character" w:customStyle="1" w:styleId="UnresolvedMention1">
    <w:name w:val="Unresolved Mention1"/>
    <w:basedOn w:val="DefaultParagraphFont"/>
    <w:uiPriority w:val="99"/>
    <w:rsid w:val="00A53616"/>
    <w:rPr>
      <w:color w:val="808080"/>
      <w:shd w:val="clear" w:color="auto" w:fill="E6E6E6"/>
    </w:rPr>
  </w:style>
  <w:style w:type="paragraph" w:styleId="BalloonText">
    <w:name w:val="Balloon Text"/>
    <w:basedOn w:val="Normal"/>
    <w:link w:val="BalloonTextChar"/>
    <w:uiPriority w:val="99"/>
    <w:semiHidden/>
    <w:unhideWhenUsed/>
    <w:rsid w:val="00A5361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53616"/>
    <w:rPr>
      <w:rFonts w:ascii="Segoe UI" w:hAnsi="Segoe UI" w:cs="Segoe UI"/>
      <w:sz w:val="18"/>
      <w:szCs w:val="18"/>
    </w:rPr>
  </w:style>
  <w:style w:type="character" w:styleId="CommentReference">
    <w:name w:val="annotation reference"/>
    <w:basedOn w:val="DefaultParagraphFont"/>
    <w:uiPriority w:val="99"/>
    <w:semiHidden/>
    <w:unhideWhenUsed/>
    <w:rsid w:val="006E1A4A"/>
    <w:rPr>
      <w:sz w:val="16"/>
      <w:szCs w:val="16"/>
    </w:rPr>
  </w:style>
  <w:style w:type="paragraph" w:styleId="CommentText">
    <w:name w:val="annotation text"/>
    <w:basedOn w:val="Normal"/>
    <w:link w:val="CommentTextChar"/>
    <w:uiPriority w:val="99"/>
    <w:semiHidden/>
    <w:unhideWhenUsed/>
    <w:rsid w:val="006E1A4A"/>
    <w:pPr>
      <w:spacing w:line="240" w:lineRule="auto"/>
    </w:pPr>
    <w:rPr>
      <w:sz w:val="20"/>
      <w:szCs w:val="20"/>
    </w:rPr>
  </w:style>
  <w:style w:type="character" w:customStyle="1" w:styleId="CommentTextChar">
    <w:name w:val="Comment Text Char"/>
    <w:basedOn w:val="DefaultParagraphFont"/>
    <w:link w:val="CommentText"/>
    <w:uiPriority w:val="99"/>
    <w:semiHidden/>
    <w:rsid w:val="006E1A4A"/>
    <w:rPr>
      <w:sz w:val="20"/>
      <w:szCs w:val="20"/>
    </w:rPr>
  </w:style>
  <w:style w:type="paragraph" w:styleId="CommentSubject">
    <w:name w:val="annotation subject"/>
    <w:basedOn w:val="CommentText"/>
    <w:next w:val="CommentText"/>
    <w:link w:val="CommentSubjectChar"/>
    <w:uiPriority w:val="99"/>
    <w:semiHidden/>
    <w:unhideWhenUsed/>
    <w:rsid w:val="006E1A4A"/>
    <w:rPr>
      <w:b/>
      <w:bCs/>
    </w:rPr>
  </w:style>
  <w:style w:type="character" w:customStyle="1" w:styleId="CommentSubjectChar">
    <w:name w:val="Comment Subject Char"/>
    <w:basedOn w:val="CommentTextChar"/>
    <w:link w:val="CommentSubject"/>
    <w:uiPriority w:val="99"/>
    <w:semiHidden/>
    <w:rsid w:val="006E1A4A"/>
    <w:rPr>
      <w:b/>
      <w:bCs/>
      <w:sz w:val="20"/>
      <w:szCs w:val="20"/>
    </w:rPr>
  </w:style>
  <w:style w:type="paragraph" w:styleId="Header">
    <w:name w:val="header"/>
    <w:basedOn w:val="Normal"/>
    <w:link w:val="HeaderChar"/>
    <w:uiPriority w:val="99"/>
    <w:unhideWhenUsed/>
    <w:rsid w:val="003707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370770"/>
  </w:style>
  <w:style w:type="paragraph" w:styleId="Footer">
    <w:name w:val="footer"/>
    <w:basedOn w:val="Normal"/>
    <w:link w:val="FooterChar"/>
    <w:uiPriority w:val="99"/>
    <w:unhideWhenUsed/>
    <w:rsid w:val="003707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3707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theme" Target="theme/theme1.xml"/><Relationship Id="rId14" Type="http://schemas.microsoft.com/office/2011/relationships/commentsExtended" Target="commentsExtended.xml"/><Relationship Id="rId15" Type="http://schemas.microsoft.com/office/2016/09/relationships/commentsIds" Target="commentsIds.xml"/><Relationship Id="rId16" Type="http://schemas.microsoft.com/office/2011/relationships/people" Target="people.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image" Target="media/image2.jpeg"/><Relationship Id="rId9" Type="http://schemas.openxmlformats.org/officeDocument/2006/relationships/header" Target="header1.xml"/><Relationship Id="rId1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6621</Words>
  <Characters>37744</Characters>
  <Application>Microsoft Macintosh Word</Application>
  <DocSecurity>0</DocSecurity>
  <Lines>314</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44277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Constanza Gonzalez Mathiesen</dc:creator>
  <cp:keywords/>
  <dc:description/>
  <cp:lastModifiedBy>Lara Birchby</cp:lastModifiedBy>
  <cp:revision>3</cp:revision>
  <dcterms:created xsi:type="dcterms:W3CDTF">2018-04-24T03:40:00Z</dcterms:created>
  <dcterms:modified xsi:type="dcterms:W3CDTF">2018-04-24T03:40:00Z</dcterms:modified>
</cp:coreProperties>
</file>