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33A61" w14:textId="5EC15C50" w:rsidR="00BC70A4" w:rsidRPr="00BC70A4" w:rsidRDefault="00BC70A4" w:rsidP="003C09D4">
      <w:pPr>
        <w:spacing w:line="360" w:lineRule="auto"/>
        <w:rPr>
          <w:rFonts w:ascii="Times New Roman" w:eastAsia="Times New Roman" w:hAnsi="Times New Roman" w:cs="Times New Roman"/>
          <w:lang w:eastAsia="es-ES_tradnl"/>
        </w:rPr>
      </w:pPr>
      <w:r w:rsidRPr="00BC70A4">
        <w:rPr>
          <w:rFonts w:ascii="Times New Roman" w:eastAsia="Times New Roman" w:hAnsi="Times New Roman" w:cs="Times New Roman"/>
          <w:lang w:eastAsia="es-ES_tradnl"/>
        </w:rPr>
        <w:fldChar w:fldCharType="begin"/>
      </w:r>
      <w:r w:rsidRPr="00BC70A4">
        <w:rPr>
          <w:rFonts w:ascii="Times New Roman" w:eastAsia="Times New Roman" w:hAnsi="Times New Roman" w:cs="Times New Roman"/>
          <w:lang w:eastAsia="es-ES_tradnl"/>
        </w:rPr>
        <w:instrText xml:space="preserve"> INCLUDEPICTURE "https://medicina.udd.cl/odontologia-santiago/files/2015/08/Facultad-de-Medicina-Clinica-Alemana1.jpg" \* MERGEFORMATINET </w:instrText>
      </w:r>
      <w:r w:rsidRPr="00BC70A4">
        <w:rPr>
          <w:rFonts w:ascii="Times New Roman" w:eastAsia="Times New Roman" w:hAnsi="Times New Roman" w:cs="Times New Roman"/>
          <w:lang w:eastAsia="es-ES_tradnl"/>
        </w:rPr>
        <w:fldChar w:fldCharType="separate"/>
      </w:r>
      <w:r w:rsidRPr="00BC70A4">
        <w:rPr>
          <w:rFonts w:ascii="Times New Roman" w:eastAsia="Times New Roman" w:hAnsi="Times New Roman" w:cs="Times New Roman"/>
          <w:noProof/>
          <w:lang w:eastAsia="es-ES_tradnl"/>
        </w:rPr>
        <w:drawing>
          <wp:inline distT="0" distB="0" distL="0" distR="0" wp14:anchorId="09050090" wp14:editId="2490427F">
            <wp:extent cx="1776845" cy="1076602"/>
            <wp:effectExtent l="0" t="0" r="1270" b="3175"/>
            <wp:docPr id="2" name="Imagen 2" descr="Estudia con nosotros Odontología! - Odontolog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udia con nosotros Odontología! - Odontologí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88274" cy="1083527"/>
                    </a:xfrm>
                    <a:prstGeom prst="rect">
                      <a:avLst/>
                    </a:prstGeom>
                    <a:noFill/>
                    <a:ln>
                      <a:noFill/>
                    </a:ln>
                  </pic:spPr>
                </pic:pic>
              </a:graphicData>
            </a:graphic>
          </wp:inline>
        </w:drawing>
      </w:r>
      <w:r w:rsidRPr="00BC70A4">
        <w:rPr>
          <w:rFonts w:ascii="Times New Roman" w:eastAsia="Times New Roman" w:hAnsi="Times New Roman" w:cs="Times New Roman"/>
          <w:lang w:eastAsia="es-ES_tradnl"/>
        </w:rPr>
        <w:fldChar w:fldCharType="end"/>
      </w:r>
    </w:p>
    <w:p w14:paraId="0F162C77" w14:textId="5F0ED7A2" w:rsidR="00BC70A4" w:rsidRPr="00687B88" w:rsidRDefault="00BC70A4" w:rsidP="00BC70A4">
      <w:pPr>
        <w:spacing w:line="360" w:lineRule="auto"/>
        <w:rPr>
          <w:rFonts w:ascii="Arial" w:hAnsi="Arial" w:cs="Arial"/>
          <w:b/>
          <w:bCs/>
        </w:rPr>
      </w:pPr>
    </w:p>
    <w:p w14:paraId="577340DC" w14:textId="74844C32" w:rsidR="00BC70A4" w:rsidRPr="00687B88" w:rsidRDefault="00BC70A4" w:rsidP="00BC70A4">
      <w:pPr>
        <w:spacing w:line="360" w:lineRule="auto"/>
        <w:rPr>
          <w:rFonts w:ascii="Arial" w:hAnsi="Arial" w:cs="Arial"/>
          <w:b/>
          <w:bCs/>
        </w:rPr>
      </w:pPr>
    </w:p>
    <w:p w14:paraId="126C0D68" w14:textId="77777777" w:rsidR="00BC70A4" w:rsidRPr="00687B88" w:rsidRDefault="00BC70A4" w:rsidP="00BC70A4">
      <w:pPr>
        <w:spacing w:line="360" w:lineRule="auto"/>
        <w:rPr>
          <w:rFonts w:ascii="Arial" w:hAnsi="Arial" w:cs="Arial"/>
          <w:b/>
          <w:bCs/>
        </w:rPr>
      </w:pPr>
    </w:p>
    <w:p w14:paraId="4C902885" w14:textId="6C57D023" w:rsidR="00BC70A4" w:rsidRPr="00687B88" w:rsidRDefault="00BC70A4" w:rsidP="003C09D4">
      <w:pPr>
        <w:spacing w:line="360" w:lineRule="auto"/>
        <w:jc w:val="center"/>
        <w:rPr>
          <w:rFonts w:ascii="Arial" w:hAnsi="Arial" w:cs="Arial"/>
          <w:b/>
          <w:bCs/>
        </w:rPr>
      </w:pPr>
      <w:r w:rsidRPr="00687B88">
        <w:rPr>
          <w:rFonts w:ascii="Arial" w:hAnsi="Arial" w:cs="Arial"/>
          <w:b/>
          <w:bCs/>
        </w:rPr>
        <w:t>QUIEBRES DE INACTIVIDAD</w:t>
      </w:r>
      <w:r w:rsidRPr="00687B88" w:rsidDel="000A1DF1">
        <w:rPr>
          <w:rFonts w:ascii="Arial" w:hAnsi="Arial" w:cs="Arial"/>
          <w:b/>
          <w:bCs/>
        </w:rPr>
        <w:t xml:space="preserve"> </w:t>
      </w:r>
      <w:r w:rsidRPr="00687B88">
        <w:rPr>
          <w:rFonts w:ascii="Arial" w:hAnsi="Arial" w:cs="Arial"/>
          <w:b/>
          <w:bCs/>
        </w:rPr>
        <w:t>FÍSICA DE PACIENTES CON VENTILACIÓN MECÁNICA INVASIVA: PROBANDO EL CONCEPTO</w:t>
      </w:r>
    </w:p>
    <w:p w14:paraId="7FD8BD01" w14:textId="3285DD9A" w:rsidR="00BC70A4" w:rsidRPr="00687B88" w:rsidRDefault="00BC70A4" w:rsidP="00BC70A4">
      <w:pPr>
        <w:spacing w:line="360" w:lineRule="auto"/>
        <w:rPr>
          <w:rFonts w:ascii="Arial" w:hAnsi="Arial" w:cs="Arial"/>
          <w:b/>
          <w:bCs/>
        </w:rPr>
      </w:pPr>
    </w:p>
    <w:p w14:paraId="54932241" w14:textId="77777777" w:rsidR="00BC70A4" w:rsidRPr="00687B88" w:rsidRDefault="00BC70A4" w:rsidP="00BC70A4">
      <w:pPr>
        <w:spacing w:line="360" w:lineRule="auto"/>
        <w:rPr>
          <w:rFonts w:ascii="Arial" w:hAnsi="Arial" w:cs="Arial"/>
          <w:b/>
          <w:bCs/>
        </w:rPr>
      </w:pPr>
    </w:p>
    <w:p w14:paraId="580D370F" w14:textId="13004FA5" w:rsidR="00BC70A4" w:rsidRPr="00687B88" w:rsidRDefault="00BC70A4" w:rsidP="00BC70A4">
      <w:pPr>
        <w:spacing w:line="360" w:lineRule="auto"/>
        <w:rPr>
          <w:rFonts w:ascii="Arial" w:hAnsi="Arial" w:cs="Arial"/>
          <w:b/>
          <w:bCs/>
        </w:rPr>
      </w:pPr>
    </w:p>
    <w:p w14:paraId="0DFC1E66" w14:textId="77777777" w:rsidR="003C09D4" w:rsidRPr="00687B88" w:rsidRDefault="003C09D4" w:rsidP="00BC70A4">
      <w:pPr>
        <w:spacing w:line="360" w:lineRule="auto"/>
        <w:rPr>
          <w:rFonts w:ascii="Arial" w:hAnsi="Arial" w:cs="Arial"/>
          <w:b/>
          <w:bCs/>
        </w:rPr>
      </w:pPr>
    </w:p>
    <w:p w14:paraId="63BAC027" w14:textId="09E9185A" w:rsidR="00BC70A4" w:rsidRPr="00687B88" w:rsidRDefault="003C09D4" w:rsidP="003C09D4">
      <w:pPr>
        <w:spacing w:line="360" w:lineRule="auto"/>
        <w:jc w:val="center"/>
        <w:rPr>
          <w:rFonts w:ascii="Arial" w:hAnsi="Arial" w:cs="Arial"/>
          <w:bCs/>
        </w:rPr>
      </w:pPr>
      <w:r w:rsidRPr="00687B88">
        <w:rPr>
          <w:rFonts w:ascii="Arial" w:hAnsi="Arial" w:cs="Arial"/>
          <w:bCs/>
        </w:rPr>
        <w:t xml:space="preserve">POR: </w:t>
      </w:r>
      <w:r w:rsidR="00FA26CD" w:rsidRPr="00687B88">
        <w:rPr>
          <w:rFonts w:ascii="Arial" w:hAnsi="Arial" w:cs="Arial"/>
          <w:bCs/>
        </w:rPr>
        <w:t xml:space="preserve">KLGA. LIC. </w:t>
      </w:r>
      <w:r w:rsidRPr="00687B88">
        <w:rPr>
          <w:rFonts w:ascii="Arial" w:hAnsi="Arial" w:cs="Arial"/>
          <w:bCs/>
        </w:rPr>
        <w:t>MACARENA IGNACIA LEIVA CORVALÁN</w:t>
      </w:r>
    </w:p>
    <w:p w14:paraId="650864B0" w14:textId="64E7EA47" w:rsidR="00BC70A4" w:rsidRPr="00687B88" w:rsidRDefault="00BC70A4" w:rsidP="00BC70A4">
      <w:pPr>
        <w:spacing w:line="360" w:lineRule="auto"/>
        <w:rPr>
          <w:rFonts w:ascii="Arial" w:hAnsi="Arial" w:cs="Arial"/>
          <w:bCs/>
        </w:rPr>
      </w:pPr>
    </w:p>
    <w:p w14:paraId="30138840" w14:textId="48135115" w:rsidR="003C09D4" w:rsidRPr="00687B88" w:rsidRDefault="003C09D4" w:rsidP="00BC70A4">
      <w:pPr>
        <w:spacing w:line="360" w:lineRule="auto"/>
        <w:rPr>
          <w:rFonts w:ascii="Arial" w:hAnsi="Arial" w:cs="Arial"/>
          <w:bCs/>
        </w:rPr>
      </w:pPr>
    </w:p>
    <w:p w14:paraId="281A6F64" w14:textId="2325F8C9" w:rsidR="003C09D4" w:rsidRPr="00687B88" w:rsidRDefault="003C09D4" w:rsidP="003C09D4">
      <w:pPr>
        <w:spacing w:line="360" w:lineRule="auto"/>
        <w:jc w:val="center"/>
        <w:rPr>
          <w:rFonts w:ascii="Arial" w:hAnsi="Arial" w:cs="Arial"/>
          <w:bCs/>
        </w:rPr>
      </w:pPr>
      <w:r w:rsidRPr="00687B88">
        <w:rPr>
          <w:rFonts w:ascii="Arial" w:hAnsi="Arial" w:cs="Arial"/>
          <w:bCs/>
        </w:rPr>
        <w:t>Actividad de grado presentada a la Facultad de Medicina de la Universidad del Desarrollo para optar por el grado académico de Mag</w:t>
      </w:r>
      <w:r w:rsidR="00FA26CD" w:rsidRPr="00687B88">
        <w:rPr>
          <w:rFonts w:ascii="Arial" w:hAnsi="Arial" w:cs="Arial"/>
          <w:bCs/>
        </w:rPr>
        <w:t>í</w:t>
      </w:r>
      <w:r w:rsidRPr="00687B88">
        <w:rPr>
          <w:rFonts w:ascii="Arial" w:hAnsi="Arial" w:cs="Arial"/>
          <w:bCs/>
        </w:rPr>
        <w:t>ster en Terapia Física y Rehabilitación.</w:t>
      </w:r>
    </w:p>
    <w:p w14:paraId="244CDC62" w14:textId="77777777" w:rsidR="00BC70A4" w:rsidRPr="00687B88" w:rsidRDefault="00BC70A4" w:rsidP="00BC70A4">
      <w:pPr>
        <w:spacing w:line="360" w:lineRule="auto"/>
        <w:rPr>
          <w:rFonts w:ascii="Arial" w:hAnsi="Arial" w:cs="Arial"/>
          <w:bCs/>
        </w:rPr>
      </w:pPr>
    </w:p>
    <w:p w14:paraId="42601C2A" w14:textId="6A997DA7" w:rsidR="00BC70A4" w:rsidRPr="00687B88" w:rsidRDefault="00BC70A4" w:rsidP="00BC70A4">
      <w:pPr>
        <w:spacing w:line="360" w:lineRule="auto"/>
        <w:rPr>
          <w:rFonts w:ascii="Arial" w:hAnsi="Arial" w:cs="Arial"/>
          <w:b/>
          <w:bCs/>
        </w:rPr>
      </w:pPr>
    </w:p>
    <w:p w14:paraId="4B93B96A" w14:textId="77777777" w:rsidR="003C09D4" w:rsidRPr="00687B88" w:rsidRDefault="003C09D4" w:rsidP="00BC70A4">
      <w:pPr>
        <w:spacing w:line="360" w:lineRule="auto"/>
        <w:rPr>
          <w:rFonts w:ascii="Arial" w:hAnsi="Arial" w:cs="Arial"/>
          <w:bCs/>
        </w:rPr>
      </w:pPr>
    </w:p>
    <w:p w14:paraId="1D766469" w14:textId="674B3741" w:rsidR="00BC70A4" w:rsidRPr="00687B88" w:rsidRDefault="003C09D4" w:rsidP="00BC70A4">
      <w:pPr>
        <w:spacing w:line="360" w:lineRule="auto"/>
        <w:rPr>
          <w:rFonts w:ascii="Arial" w:hAnsi="Arial" w:cs="Arial"/>
          <w:bCs/>
        </w:rPr>
      </w:pPr>
      <w:r w:rsidRPr="00687B88">
        <w:rPr>
          <w:rFonts w:ascii="Arial" w:hAnsi="Arial" w:cs="Arial"/>
          <w:bCs/>
        </w:rPr>
        <w:t xml:space="preserve">PROFESOR GUÍA: </w:t>
      </w:r>
    </w:p>
    <w:p w14:paraId="2ECA0748" w14:textId="01AFEE8C" w:rsidR="003C09D4" w:rsidRPr="00687B88" w:rsidRDefault="00FA26CD" w:rsidP="003C09D4">
      <w:pPr>
        <w:spacing w:line="360" w:lineRule="auto"/>
        <w:jc w:val="center"/>
        <w:rPr>
          <w:rFonts w:ascii="Arial" w:hAnsi="Arial" w:cs="Arial"/>
          <w:bCs/>
        </w:rPr>
      </w:pPr>
      <w:r w:rsidRPr="00687B88">
        <w:rPr>
          <w:rFonts w:ascii="Arial" w:hAnsi="Arial" w:cs="Arial"/>
          <w:bCs/>
        </w:rPr>
        <w:t xml:space="preserve">KLGO. MSc. </w:t>
      </w:r>
      <w:r w:rsidR="003C09D4" w:rsidRPr="00687B88">
        <w:rPr>
          <w:rFonts w:ascii="Arial" w:hAnsi="Arial" w:cs="Arial"/>
          <w:bCs/>
        </w:rPr>
        <w:t xml:space="preserve">FELIPE </w:t>
      </w:r>
      <w:r w:rsidR="008324A6" w:rsidRPr="00687B88">
        <w:rPr>
          <w:rFonts w:ascii="Arial" w:hAnsi="Arial" w:cs="Arial"/>
          <w:bCs/>
        </w:rPr>
        <w:t xml:space="preserve">ANDRÉS </w:t>
      </w:r>
      <w:r w:rsidR="003C09D4" w:rsidRPr="00687B88">
        <w:rPr>
          <w:rFonts w:ascii="Arial" w:hAnsi="Arial" w:cs="Arial"/>
          <w:bCs/>
        </w:rPr>
        <w:t>GONZÁLEZ SEGUEL</w:t>
      </w:r>
    </w:p>
    <w:p w14:paraId="6B174889" w14:textId="19A7521B" w:rsidR="003C09D4" w:rsidRPr="00687B88" w:rsidRDefault="003C09D4" w:rsidP="003C09D4">
      <w:pPr>
        <w:spacing w:line="360" w:lineRule="auto"/>
        <w:jc w:val="center"/>
        <w:rPr>
          <w:rFonts w:ascii="Arial" w:hAnsi="Arial" w:cs="Arial"/>
          <w:bCs/>
        </w:rPr>
      </w:pPr>
    </w:p>
    <w:p w14:paraId="43058D1B" w14:textId="47032098" w:rsidR="003C09D4" w:rsidRPr="00687B88" w:rsidRDefault="003C09D4" w:rsidP="003C09D4">
      <w:pPr>
        <w:spacing w:line="360" w:lineRule="auto"/>
        <w:jc w:val="center"/>
        <w:rPr>
          <w:rFonts w:ascii="Arial" w:hAnsi="Arial" w:cs="Arial"/>
          <w:bCs/>
        </w:rPr>
      </w:pPr>
    </w:p>
    <w:p w14:paraId="5E06549D" w14:textId="3F4AFDD1" w:rsidR="003C09D4" w:rsidRPr="00687B88" w:rsidRDefault="003C09D4" w:rsidP="003C09D4">
      <w:pPr>
        <w:spacing w:line="360" w:lineRule="auto"/>
        <w:jc w:val="center"/>
        <w:rPr>
          <w:rFonts w:ascii="Arial" w:hAnsi="Arial" w:cs="Arial"/>
          <w:bCs/>
        </w:rPr>
      </w:pPr>
    </w:p>
    <w:p w14:paraId="3AF80841" w14:textId="05ABA6B1" w:rsidR="003C09D4" w:rsidRPr="00687B88" w:rsidRDefault="003C09D4" w:rsidP="003C09D4">
      <w:pPr>
        <w:spacing w:line="360" w:lineRule="auto"/>
        <w:jc w:val="center"/>
        <w:rPr>
          <w:rFonts w:ascii="Arial" w:hAnsi="Arial" w:cs="Arial"/>
          <w:bCs/>
        </w:rPr>
      </w:pPr>
      <w:r w:rsidRPr="00687B88">
        <w:rPr>
          <w:rFonts w:ascii="Arial" w:hAnsi="Arial" w:cs="Arial"/>
          <w:bCs/>
        </w:rPr>
        <w:t>Julio 2023</w:t>
      </w:r>
    </w:p>
    <w:p w14:paraId="05E02EAE" w14:textId="4F5B9263" w:rsidR="00216CCB" w:rsidRPr="00394151" w:rsidRDefault="003C09D4" w:rsidP="00792096">
      <w:pPr>
        <w:spacing w:line="360" w:lineRule="auto"/>
        <w:jc w:val="center"/>
        <w:rPr>
          <w:rFonts w:ascii="Times New Roman" w:hAnsi="Times New Roman" w:cs="Times New Roman"/>
          <w:bCs/>
        </w:rPr>
      </w:pPr>
      <w:r w:rsidRPr="00687B88">
        <w:rPr>
          <w:rFonts w:ascii="Arial" w:hAnsi="Arial" w:cs="Arial"/>
          <w:bCs/>
        </w:rPr>
        <w:t>SANTIAGO</w:t>
      </w:r>
      <w:r w:rsidR="00216CCB" w:rsidRPr="00394151">
        <w:rPr>
          <w:rFonts w:ascii="Times New Roman" w:hAnsi="Times New Roman" w:cs="Times New Roman"/>
          <w:bCs/>
        </w:rPr>
        <w:br w:type="page"/>
      </w:r>
    </w:p>
    <w:p w14:paraId="44D4A03E" w14:textId="5DF11C86" w:rsidR="00916581" w:rsidRPr="00687B88" w:rsidRDefault="000A1DF1" w:rsidP="00687B88">
      <w:pPr>
        <w:spacing w:line="480" w:lineRule="auto"/>
        <w:jc w:val="both"/>
        <w:rPr>
          <w:rFonts w:ascii="Arial" w:hAnsi="Arial" w:cs="Arial"/>
          <w:b/>
          <w:bCs/>
        </w:rPr>
      </w:pPr>
      <w:r w:rsidRPr="00687B88">
        <w:rPr>
          <w:rFonts w:ascii="Arial" w:hAnsi="Arial" w:cs="Arial"/>
          <w:b/>
          <w:bCs/>
        </w:rPr>
        <w:lastRenderedPageBreak/>
        <w:t>Quiebres de inactividad</w:t>
      </w:r>
      <w:r w:rsidRPr="00687B88" w:rsidDel="000A1DF1">
        <w:rPr>
          <w:rFonts w:ascii="Arial" w:hAnsi="Arial" w:cs="Arial"/>
          <w:b/>
          <w:bCs/>
        </w:rPr>
        <w:t xml:space="preserve"> </w:t>
      </w:r>
      <w:r w:rsidRPr="00687B88">
        <w:rPr>
          <w:rFonts w:ascii="Arial" w:hAnsi="Arial" w:cs="Arial"/>
          <w:b/>
          <w:bCs/>
        </w:rPr>
        <w:t xml:space="preserve">física </w:t>
      </w:r>
      <w:r w:rsidR="00634556" w:rsidRPr="00687B88">
        <w:rPr>
          <w:rFonts w:ascii="Arial" w:hAnsi="Arial" w:cs="Arial"/>
          <w:b/>
          <w:bCs/>
        </w:rPr>
        <w:t xml:space="preserve">de pacientes </w:t>
      </w:r>
      <w:r w:rsidR="00CA198D" w:rsidRPr="00687B88">
        <w:rPr>
          <w:rFonts w:ascii="Arial" w:hAnsi="Arial" w:cs="Arial"/>
          <w:b/>
          <w:bCs/>
        </w:rPr>
        <w:t>con</w:t>
      </w:r>
      <w:r w:rsidR="00634556" w:rsidRPr="00687B88">
        <w:rPr>
          <w:rFonts w:ascii="Arial" w:hAnsi="Arial" w:cs="Arial"/>
          <w:b/>
          <w:bCs/>
        </w:rPr>
        <w:t xml:space="preserve"> ventilación mecánica invasiva</w:t>
      </w:r>
      <w:r w:rsidRPr="00687B88">
        <w:rPr>
          <w:rFonts w:ascii="Arial" w:hAnsi="Arial" w:cs="Arial"/>
          <w:b/>
          <w:bCs/>
        </w:rPr>
        <w:t>: probando el concepto</w:t>
      </w:r>
    </w:p>
    <w:p w14:paraId="2C143800" w14:textId="52FF7390" w:rsidR="00916581" w:rsidRPr="00687B88" w:rsidRDefault="00916581" w:rsidP="00687B88">
      <w:pPr>
        <w:spacing w:line="480" w:lineRule="auto"/>
        <w:rPr>
          <w:rFonts w:ascii="Arial" w:hAnsi="Arial" w:cs="Arial"/>
        </w:rPr>
      </w:pPr>
    </w:p>
    <w:p w14:paraId="1EB52ACC" w14:textId="7CE3F053" w:rsidR="00634556" w:rsidRPr="00687B88" w:rsidRDefault="000A1DF1" w:rsidP="00687B88">
      <w:pPr>
        <w:spacing w:line="480" w:lineRule="auto"/>
        <w:rPr>
          <w:rFonts w:ascii="Arial" w:hAnsi="Arial" w:cs="Arial"/>
          <w:lang w:val="en-US"/>
        </w:rPr>
      </w:pPr>
      <w:r w:rsidRPr="00687B88">
        <w:rPr>
          <w:rFonts w:ascii="Arial" w:hAnsi="Arial" w:cs="Arial"/>
          <w:lang w:val="en-US"/>
        </w:rPr>
        <w:t>Physical inactivity breaks in mechanically ventilated patients: proof-of-concept</w:t>
      </w:r>
      <w:r w:rsidR="00634556" w:rsidRPr="00687B88">
        <w:rPr>
          <w:rFonts w:ascii="Arial" w:hAnsi="Arial" w:cs="Arial"/>
          <w:lang w:val="en-US"/>
        </w:rPr>
        <w:t xml:space="preserve"> </w:t>
      </w:r>
    </w:p>
    <w:p w14:paraId="2737A2F0" w14:textId="77777777" w:rsidR="00634556" w:rsidRPr="00687B88" w:rsidRDefault="00634556" w:rsidP="00687B88">
      <w:pPr>
        <w:spacing w:line="480" w:lineRule="auto"/>
        <w:rPr>
          <w:rFonts w:ascii="Arial" w:hAnsi="Arial" w:cs="Arial"/>
          <w:lang w:val="en-US"/>
        </w:rPr>
      </w:pPr>
    </w:p>
    <w:p w14:paraId="70D6B9BD" w14:textId="7A92038C" w:rsidR="00205DB3" w:rsidRPr="00687B88" w:rsidRDefault="00205DB3" w:rsidP="00687B88">
      <w:pPr>
        <w:spacing w:line="480" w:lineRule="auto"/>
        <w:rPr>
          <w:rFonts w:ascii="Arial" w:hAnsi="Arial" w:cs="Arial"/>
        </w:rPr>
      </w:pPr>
      <w:r w:rsidRPr="00687B88">
        <w:rPr>
          <w:rFonts w:ascii="Arial" w:hAnsi="Arial" w:cs="Arial"/>
        </w:rPr>
        <w:t>Macarena Leiva-</w:t>
      </w:r>
      <w:proofErr w:type="gramStart"/>
      <w:r w:rsidRPr="00687B88">
        <w:rPr>
          <w:rFonts w:ascii="Arial" w:hAnsi="Arial" w:cs="Arial"/>
        </w:rPr>
        <w:t>Corvalán</w:t>
      </w:r>
      <w:r w:rsidR="00A671E6" w:rsidRPr="00687B88">
        <w:rPr>
          <w:rFonts w:ascii="Arial" w:hAnsi="Arial" w:cs="Arial"/>
          <w:vertAlign w:val="superscript"/>
        </w:rPr>
        <w:t>a,b</w:t>
      </w:r>
      <w:proofErr w:type="gramEnd"/>
      <w:r w:rsidRPr="00687B88">
        <w:rPr>
          <w:rFonts w:ascii="Arial" w:hAnsi="Arial" w:cs="Arial"/>
        </w:rPr>
        <w:t>, Felipe González-Seguel</w:t>
      </w:r>
      <w:r w:rsidR="00A671E6" w:rsidRPr="00687B88">
        <w:rPr>
          <w:rFonts w:ascii="Arial" w:hAnsi="Arial" w:cs="Arial"/>
          <w:vertAlign w:val="superscript"/>
        </w:rPr>
        <w:t>a,b</w:t>
      </w:r>
    </w:p>
    <w:p w14:paraId="5E270691" w14:textId="77777777" w:rsidR="00C44859" w:rsidRPr="00687B88" w:rsidRDefault="00C44859" w:rsidP="00687B88">
      <w:pPr>
        <w:spacing w:line="480" w:lineRule="auto"/>
        <w:rPr>
          <w:rFonts w:ascii="Arial" w:hAnsi="Arial" w:cs="Arial"/>
        </w:rPr>
      </w:pPr>
    </w:p>
    <w:p w14:paraId="78A06B89" w14:textId="4E9F003A" w:rsidR="00205DB3" w:rsidRPr="00687B88" w:rsidRDefault="00A671E6" w:rsidP="00687B88">
      <w:pPr>
        <w:spacing w:line="480" w:lineRule="auto"/>
        <w:rPr>
          <w:rFonts w:ascii="Arial" w:hAnsi="Arial" w:cs="Arial"/>
        </w:rPr>
      </w:pPr>
      <w:r w:rsidRPr="00687B88">
        <w:rPr>
          <w:rFonts w:ascii="Arial" w:hAnsi="Arial" w:cs="Arial"/>
          <w:vertAlign w:val="superscript"/>
        </w:rPr>
        <w:t>a</w:t>
      </w:r>
      <w:r w:rsidR="009F751C" w:rsidRPr="00687B88">
        <w:rPr>
          <w:rFonts w:ascii="Arial" w:hAnsi="Arial" w:cs="Arial"/>
        </w:rPr>
        <w:t>Carrera</w:t>
      </w:r>
      <w:r w:rsidR="00205DB3" w:rsidRPr="00687B88">
        <w:rPr>
          <w:rFonts w:ascii="Arial" w:hAnsi="Arial" w:cs="Arial"/>
        </w:rPr>
        <w:t xml:space="preserve"> de Kinesiología, Facultad de Medicina, Clínica Alemana Universidad del Desarrollo, Santiago, Chile. </w:t>
      </w:r>
    </w:p>
    <w:p w14:paraId="3D4A6BEB" w14:textId="77777777" w:rsidR="00205DB3" w:rsidRPr="00687B88" w:rsidRDefault="00A671E6" w:rsidP="00687B88">
      <w:pPr>
        <w:spacing w:line="480" w:lineRule="auto"/>
        <w:rPr>
          <w:rFonts w:ascii="Arial" w:hAnsi="Arial" w:cs="Arial"/>
        </w:rPr>
      </w:pPr>
      <w:r w:rsidRPr="00687B88">
        <w:rPr>
          <w:rFonts w:ascii="Arial" w:hAnsi="Arial" w:cs="Arial"/>
          <w:vertAlign w:val="superscript"/>
        </w:rPr>
        <w:t>b</w:t>
      </w:r>
      <w:r w:rsidR="00205DB3" w:rsidRPr="00687B88">
        <w:rPr>
          <w:rFonts w:ascii="Arial" w:hAnsi="Arial" w:cs="Arial"/>
        </w:rPr>
        <w:t xml:space="preserve">Servicio de Medicina Física y Rehabilitación, Facultad de Medicina, Clínica Alemana Universidad del Desarrollo, Santiago, Chile. </w:t>
      </w:r>
    </w:p>
    <w:p w14:paraId="6B1AE7AA" w14:textId="77777777" w:rsidR="00205DB3" w:rsidRPr="00687B88" w:rsidRDefault="00205DB3" w:rsidP="00687B88">
      <w:pPr>
        <w:spacing w:line="480" w:lineRule="auto"/>
        <w:rPr>
          <w:rFonts w:ascii="Arial" w:hAnsi="Arial" w:cs="Arial"/>
        </w:rPr>
      </w:pPr>
    </w:p>
    <w:p w14:paraId="02366809" w14:textId="77777777" w:rsidR="00A671E6" w:rsidRPr="00687B88" w:rsidRDefault="00A671E6" w:rsidP="00687B88">
      <w:pPr>
        <w:spacing w:line="480" w:lineRule="auto"/>
        <w:rPr>
          <w:rFonts w:ascii="Arial" w:hAnsi="Arial" w:cs="Arial"/>
        </w:rPr>
      </w:pPr>
      <w:r w:rsidRPr="00687B88">
        <w:rPr>
          <w:rFonts w:ascii="Arial" w:hAnsi="Arial" w:cs="Arial"/>
        </w:rPr>
        <w:t>Macarena Leiva-Corvalán</w:t>
      </w:r>
    </w:p>
    <w:p w14:paraId="7C41DDBC" w14:textId="77777777" w:rsidR="005F2601" w:rsidRPr="00687B88" w:rsidRDefault="00000000" w:rsidP="00687B88">
      <w:pPr>
        <w:spacing w:line="480" w:lineRule="auto"/>
        <w:rPr>
          <w:rFonts w:ascii="Arial" w:hAnsi="Arial" w:cs="Arial"/>
        </w:rPr>
      </w:pPr>
      <w:hyperlink r:id="rId9" w:history="1">
        <w:r w:rsidR="00916581" w:rsidRPr="00687B88">
          <w:rPr>
            <w:rStyle w:val="Hipervnculo"/>
            <w:rFonts w:ascii="Arial" w:hAnsi="Arial" w:cs="Arial"/>
          </w:rPr>
          <w:t>macleivac@udd.cl</w:t>
        </w:r>
      </w:hyperlink>
    </w:p>
    <w:p w14:paraId="05E4658C" w14:textId="77777777" w:rsidR="005F2601" w:rsidRPr="00687B88" w:rsidRDefault="00000000" w:rsidP="00687B88">
      <w:pPr>
        <w:spacing w:line="480" w:lineRule="auto"/>
        <w:rPr>
          <w:rFonts w:ascii="Arial" w:hAnsi="Arial" w:cs="Arial"/>
        </w:rPr>
      </w:pPr>
      <w:hyperlink r:id="rId10" w:history="1">
        <w:r w:rsidR="005F2601" w:rsidRPr="00687B88">
          <w:rPr>
            <w:rStyle w:val="Hipervnculo"/>
            <w:rFonts w:ascii="Arial" w:hAnsi="Arial" w:cs="Arial"/>
          </w:rPr>
          <w:t>https://orcid.org/0000-0002-7164-4773</w:t>
        </w:r>
      </w:hyperlink>
    </w:p>
    <w:p w14:paraId="261853CC" w14:textId="77777777" w:rsidR="005F2601" w:rsidRPr="00687B88" w:rsidRDefault="005F2601" w:rsidP="00687B88">
      <w:pPr>
        <w:spacing w:line="480" w:lineRule="auto"/>
        <w:rPr>
          <w:rFonts w:ascii="Arial" w:hAnsi="Arial" w:cs="Arial"/>
        </w:rPr>
      </w:pPr>
    </w:p>
    <w:p w14:paraId="0E538BD5" w14:textId="77777777" w:rsidR="005F2601" w:rsidRPr="00687B88" w:rsidRDefault="005F2601" w:rsidP="00687B88">
      <w:pPr>
        <w:spacing w:line="480" w:lineRule="auto"/>
        <w:rPr>
          <w:rFonts w:ascii="Arial" w:hAnsi="Arial" w:cs="Arial"/>
        </w:rPr>
      </w:pPr>
      <w:r w:rsidRPr="00687B88">
        <w:rPr>
          <w:rFonts w:ascii="Arial" w:hAnsi="Arial" w:cs="Arial"/>
        </w:rPr>
        <w:t>Felipe González-Seguel</w:t>
      </w:r>
    </w:p>
    <w:p w14:paraId="3628323C" w14:textId="77777777" w:rsidR="005F2601" w:rsidRPr="00687B88" w:rsidRDefault="00000000" w:rsidP="00687B88">
      <w:pPr>
        <w:spacing w:line="480" w:lineRule="auto"/>
        <w:rPr>
          <w:rFonts w:ascii="Arial" w:hAnsi="Arial" w:cs="Arial"/>
        </w:rPr>
      </w:pPr>
      <w:hyperlink r:id="rId11" w:history="1">
        <w:r w:rsidR="005F2601" w:rsidRPr="00687B88">
          <w:rPr>
            <w:rStyle w:val="Hipervnculo"/>
            <w:rFonts w:ascii="Arial" w:hAnsi="Arial" w:cs="Arial"/>
          </w:rPr>
          <w:t>feligonzalezs@udd.cl</w:t>
        </w:r>
      </w:hyperlink>
    </w:p>
    <w:p w14:paraId="79D97F54" w14:textId="37F5C58A" w:rsidR="008E6AF5" w:rsidRPr="00687B88" w:rsidRDefault="00000000" w:rsidP="00687B88">
      <w:pPr>
        <w:spacing w:line="480" w:lineRule="auto"/>
        <w:rPr>
          <w:rFonts w:ascii="Arial" w:hAnsi="Arial" w:cs="Arial"/>
          <w:color w:val="0563C1" w:themeColor="hyperlink"/>
          <w:u w:val="single"/>
        </w:rPr>
      </w:pPr>
      <w:hyperlink r:id="rId12" w:history="1">
        <w:r w:rsidR="005F2601" w:rsidRPr="00687B88">
          <w:rPr>
            <w:rStyle w:val="Hipervnculo"/>
            <w:rFonts w:ascii="Arial" w:hAnsi="Arial" w:cs="Arial"/>
          </w:rPr>
          <w:t>https://orcid.org/0000-0001-9099-2389</w:t>
        </w:r>
      </w:hyperlink>
    </w:p>
    <w:p w14:paraId="4100056A" w14:textId="236730F5" w:rsidR="008E6AF5" w:rsidRPr="00687B88" w:rsidRDefault="008E6AF5" w:rsidP="00687B88">
      <w:pPr>
        <w:spacing w:line="480" w:lineRule="auto"/>
        <w:rPr>
          <w:rFonts w:ascii="Arial" w:hAnsi="Arial" w:cs="Arial"/>
        </w:rPr>
      </w:pPr>
      <w:r w:rsidRPr="00687B88">
        <w:rPr>
          <w:rFonts w:ascii="Arial" w:hAnsi="Arial" w:cs="Arial"/>
        </w:rPr>
        <w:t>Recuento de palabras del artículo:</w:t>
      </w:r>
      <w:r w:rsidRPr="00687B88">
        <w:rPr>
          <w:rFonts w:ascii="Arial" w:hAnsi="Arial" w:cs="Arial"/>
          <w:color w:val="FF0000"/>
        </w:rPr>
        <w:t xml:space="preserve"> </w:t>
      </w:r>
      <w:r w:rsidRPr="00F168DE">
        <w:rPr>
          <w:rFonts w:ascii="Arial" w:hAnsi="Arial" w:cs="Arial"/>
        </w:rPr>
        <w:t>2</w:t>
      </w:r>
      <w:r w:rsidR="00422FB0" w:rsidRPr="00F168DE">
        <w:rPr>
          <w:rFonts w:ascii="Arial" w:hAnsi="Arial" w:cs="Arial"/>
        </w:rPr>
        <w:t>65</w:t>
      </w:r>
      <w:r w:rsidR="00F168DE" w:rsidRPr="00F168DE">
        <w:rPr>
          <w:rFonts w:ascii="Arial" w:hAnsi="Arial" w:cs="Arial"/>
        </w:rPr>
        <w:t>0</w:t>
      </w:r>
    </w:p>
    <w:p w14:paraId="0EEBD476" w14:textId="74405E5E" w:rsidR="00792096" w:rsidRPr="00687B88" w:rsidRDefault="008E6AF5" w:rsidP="00687B88">
      <w:pPr>
        <w:spacing w:line="480" w:lineRule="auto"/>
        <w:rPr>
          <w:rFonts w:ascii="Arial" w:hAnsi="Arial" w:cs="Arial"/>
        </w:rPr>
      </w:pPr>
      <w:r w:rsidRPr="00687B88">
        <w:rPr>
          <w:rFonts w:ascii="Arial" w:hAnsi="Arial" w:cs="Arial"/>
        </w:rPr>
        <w:t xml:space="preserve">Recuentro de palabras del resumen: </w:t>
      </w:r>
      <w:r w:rsidRPr="00F168DE">
        <w:rPr>
          <w:rFonts w:ascii="Arial" w:hAnsi="Arial" w:cs="Arial"/>
        </w:rPr>
        <w:t>29</w:t>
      </w:r>
      <w:r w:rsidR="00B33A86" w:rsidRPr="00F168DE">
        <w:rPr>
          <w:rFonts w:ascii="Arial" w:hAnsi="Arial" w:cs="Arial"/>
        </w:rPr>
        <w:t>5</w:t>
      </w:r>
    </w:p>
    <w:p w14:paraId="74E33B43" w14:textId="4E052A66" w:rsidR="00916581" w:rsidRPr="00687B88" w:rsidRDefault="00792096" w:rsidP="00792096">
      <w:pPr>
        <w:spacing w:line="360" w:lineRule="auto"/>
        <w:jc w:val="center"/>
        <w:rPr>
          <w:rFonts w:ascii="Arial" w:hAnsi="Arial" w:cs="Arial"/>
        </w:rPr>
      </w:pPr>
      <w:r w:rsidRPr="00687B88">
        <w:rPr>
          <w:rFonts w:ascii="Arial" w:hAnsi="Arial" w:cs="Arial"/>
          <w:color w:val="808080" w:themeColor="background1" w:themeShade="80"/>
        </w:rPr>
        <w:t>ii</w:t>
      </w:r>
      <w:r w:rsidR="00916581" w:rsidRPr="00687B88">
        <w:rPr>
          <w:rFonts w:ascii="Arial" w:hAnsi="Arial" w:cs="Arial"/>
        </w:rPr>
        <w:br w:type="page"/>
      </w:r>
    </w:p>
    <w:p w14:paraId="4C655F51" w14:textId="7AD9AE30" w:rsidR="00916581" w:rsidRPr="00687B88" w:rsidRDefault="00916581" w:rsidP="00687B88">
      <w:pPr>
        <w:spacing w:line="480" w:lineRule="auto"/>
        <w:rPr>
          <w:rFonts w:ascii="Arial" w:hAnsi="Arial" w:cs="Arial"/>
          <w:b/>
          <w:lang w:val="es-ES"/>
        </w:rPr>
      </w:pPr>
      <w:r w:rsidRPr="00687B88">
        <w:rPr>
          <w:rFonts w:ascii="Arial" w:hAnsi="Arial" w:cs="Arial"/>
          <w:b/>
          <w:lang w:val="es-ES"/>
        </w:rPr>
        <w:t>Resumen</w:t>
      </w:r>
    </w:p>
    <w:p w14:paraId="68068881" w14:textId="434F9733" w:rsidR="00916581" w:rsidRPr="00687B88" w:rsidRDefault="00916581" w:rsidP="00687B88">
      <w:pPr>
        <w:spacing w:line="480" w:lineRule="auto"/>
        <w:rPr>
          <w:rFonts w:ascii="Arial" w:hAnsi="Arial" w:cs="Arial"/>
          <w:lang w:val="es-ES"/>
        </w:rPr>
      </w:pPr>
      <w:r w:rsidRPr="00687B88">
        <w:rPr>
          <w:rFonts w:ascii="Arial" w:hAnsi="Arial" w:cs="Arial"/>
          <w:b/>
          <w:lang w:val="es-ES"/>
        </w:rPr>
        <w:t>Introducción</w:t>
      </w:r>
      <w:r w:rsidRPr="00687B88">
        <w:rPr>
          <w:rFonts w:ascii="Arial" w:hAnsi="Arial" w:cs="Arial"/>
          <w:lang w:val="es-ES"/>
        </w:rPr>
        <w:t xml:space="preserve"> </w:t>
      </w:r>
      <w:r w:rsidR="00AD3D5E" w:rsidRPr="00687B88">
        <w:rPr>
          <w:rFonts w:ascii="Arial" w:hAnsi="Arial" w:cs="Arial"/>
          <w:lang w:val="es-ES"/>
        </w:rPr>
        <w:t>L</w:t>
      </w:r>
      <w:r w:rsidR="00C44859" w:rsidRPr="00687B88">
        <w:rPr>
          <w:rFonts w:ascii="Arial" w:hAnsi="Arial" w:cs="Arial"/>
          <w:lang w:val="es-ES"/>
        </w:rPr>
        <w:t xml:space="preserve">os pacientes </w:t>
      </w:r>
      <w:r w:rsidR="00A147AA" w:rsidRPr="00687B88">
        <w:rPr>
          <w:rFonts w:ascii="Arial" w:hAnsi="Arial" w:cs="Arial"/>
          <w:lang w:val="es-ES"/>
        </w:rPr>
        <w:t xml:space="preserve">críticos </w:t>
      </w:r>
      <w:r w:rsidR="00AD3D5E" w:rsidRPr="00687B88">
        <w:rPr>
          <w:rFonts w:ascii="Arial" w:hAnsi="Arial" w:cs="Arial"/>
          <w:lang w:val="es-ES"/>
        </w:rPr>
        <w:t xml:space="preserve">permanecen inactivos la mayor parte </w:t>
      </w:r>
      <w:r w:rsidR="00C44859" w:rsidRPr="00687B88">
        <w:rPr>
          <w:rFonts w:ascii="Arial" w:hAnsi="Arial" w:cs="Arial"/>
          <w:lang w:val="es-ES"/>
        </w:rPr>
        <w:t>del tiempo</w:t>
      </w:r>
      <w:r w:rsidR="00AD3D5E" w:rsidRPr="00687B88">
        <w:rPr>
          <w:rFonts w:ascii="Arial" w:hAnsi="Arial" w:cs="Arial"/>
          <w:lang w:val="es-ES"/>
        </w:rPr>
        <w:t xml:space="preserve"> (entre 92-98%)</w:t>
      </w:r>
      <w:r w:rsidR="00C44859" w:rsidRPr="00687B88">
        <w:rPr>
          <w:rFonts w:ascii="Arial" w:hAnsi="Arial" w:cs="Arial"/>
          <w:lang w:val="es-ES"/>
        </w:rPr>
        <w:t xml:space="preserve"> de</w:t>
      </w:r>
      <w:r w:rsidR="00AD3D5E" w:rsidRPr="00687B88">
        <w:rPr>
          <w:rFonts w:ascii="Arial" w:hAnsi="Arial" w:cs="Arial"/>
          <w:lang w:val="es-ES"/>
        </w:rPr>
        <w:t xml:space="preserve"> la</w:t>
      </w:r>
      <w:r w:rsidR="00C44859" w:rsidRPr="00687B88">
        <w:rPr>
          <w:rFonts w:ascii="Arial" w:hAnsi="Arial" w:cs="Arial"/>
          <w:lang w:val="es-ES"/>
        </w:rPr>
        <w:t xml:space="preserve"> estadía en la unidad de cuidados intensivos (UCI)</w:t>
      </w:r>
      <w:r w:rsidR="00AD3D5E" w:rsidRPr="00687B88">
        <w:rPr>
          <w:rFonts w:ascii="Arial" w:hAnsi="Arial" w:cs="Arial"/>
          <w:lang w:val="es-ES"/>
        </w:rPr>
        <w:t>. E</w:t>
      </w:r>
      <w:r w:rsidR="00C44859" w:rsidRPr="00687B88">
        <w:rPr>
          <w:rFonts w:ascii="Arial" w:hAnsi="Arial" w:cs="Arial"/>
          <w:lang w:val="es-ES"/>
        </w:rPr>
        <w:t xml:space="preserve">l objetivo </w:t>
      </w:r>
      <w:r w:rsidR="00AD3D5E" w:rsidRPr="00687B88">
        <w:rPr>
          <w:rFonts w:ascii="Arial" w:hAnsi="Arial" w:cs="Arial"/>
          <w:lang w:val="es-ES"/>
        </w:rPr>
        <w:t xml:space="preserve">fue </w:t>
      </w:r>
      <w:r w:rsidR="00C44859" w:rsidRPr="00687B88">
        <w:rPr>
          <w:rFonts w:ascii="Arial" w:hAnsi="Arial" w:cs="Arial"/>
          <w:lang w:val="es-ES"/>
        </w:rPr>
        <w:t xml:space="preserve">describir el comportamiento de </w:t>
      </w:r>
      <w:r w:rsidR="00AD3D5E" w:rsidRPr="00687B88">
        <w:rPr>
          <w:rFonts w:ascii="Arial" w:hAnsi="Arial" w:cs="Arial"/>
          <w:lang w:val="es-ES"/>
        </w:rPr>
        <w:t xml:space="preserve">la </w:t>
      </w:r>
      <w:r w:rsidR="00C44859" w:rsidRPr="00687B88">
        <w:rPr>
          <w:rFonts w:ascii="Arial" w:hAnsi="Arial" w:cs="Arial"/>
          <w:lang w:val="es-ES"/>
        </w:rPr>
        <w:t xml:space="preserve">inactividad en pacientes con </w:t>
      </w:r>
      <w:r w:rsidR="00C85D08" w:rsidRPr="00687B88">
        <w:rPr>
          <w:rFonts w:ascii="Arial" w:hAnsi="Arial" w:cs="Arial"/>
          <w:lang w:val="es-ES"/>
        </w:rPr>
        <w:t>ventilación mecánica</w:t>
      </w:r>
      <w:r w:rsidR="00C44859" w:rsidRPr="00687B88">
        <w:rPr>
          <w:rFonts w:ascii="Arial" w:hAnsi="Arial" w:cs="Arial"/>
          <w:lang w:val="es-ES"/>
        </w:rPr>
        <w:t xml:space="preserve"> utilizando el concepto de quiebres de inactividad mediante actigrafía.</w:t>
      </w:r>
    </w:p>
    <w:p w14:paraId="3D1853B5" w14:textId="1A89747D" w:rsidR="00C44859" w:rsidRPr="00687B88" w:rsidRDefault="00916581" w:rsidP="00687B88">
      <w:pPr>
        <w:spacing w:line="480" w:lineRule="auto"/>
        <w:rPr>
          <w:rFonts w:ascii="Arial" w:hAnsi="Arial" w:cs="Arial"/>
          <w:lang w:val="es-ES"/>
        </w:rPr>
      </w:pPr>
      <w:r w:rsidRPr="00687B88">
        <w:rPr>
          <w:rFonts w:ascii="Arial" w:hAnsi="Arial" w:cs="Arial"/>
          <w:b/>
          <w:lang w:val="es-ES"/>
        </w:rPr>
        <w:t>Métodos</w:t>
      </w:r>
      <w:r w:rsidRPr="00687B88">
        <w:rPr>
          <w:rFonts w:ascii="Arial" w:hAnsi="Arial" w:cs="Arial"/>
          <w:lang w:val="es-ES"/>
        </w:rPr>
        <w:t xml:space="preserve"> </w:t>
      </w:r>
      <w:r w:rsidR="00C44859" w:rsidRPr="00687B88">
        <w:rPr>
          <w:rFonts w:ascii="Arial" w:hAnsi="Arial" w:cs="Arial"/>
          <w:lang w:val="es-ES"/>
        </w:rPr>
        <w:t xml:space="preserve">Análisis secundario de </w:t>
      </w:r>
      <w:r w:rsidR="00A147AA" w:rsidRPr="00687B88">
        <w:rPr>
          <w:rFonts w:ascii="Arial" w:hAnsi="Arial" w:cs="Arial"/>
          <w:lang w:val="es-ES"/>
        </w:rPr>
        <w:t xml:space="preserve">un </w:t>
      </w:r>
      <w:r w:rsidR="00C44859" w:rsidRPr="00687B88">
        <w:rPr>
          <w:rFonts w:ascii="Arial" w:hAnsi="Arial" w:cs="Arial"/>
          <w:lang w:val="es-ES"/>
        </w:rPr>
        <w:t>estudio observacional prospectivo</w:t>
      </w:r>
      <w:r w:rsidR="00B20FAC" w:rsidRPr="00687B88">
        <w:rPr>
          <w:rFonts w:ascii="Arial" w:hAnsi="Arial" w:cs="Arial"/>
          <w:lang w:val="es-ES"/>
        </w:rPr>
        <w:t xml:space="preserve"> de pacientes críticos </w:t>
      </w:r>
      <w:r w:rsidR="00B91CAE" w:rsidRPr="00687B88">
        <w:rPr>
          <w:rFonts w:ascii="Arial" w:hAnsi="Arial" w:cs="Arial"/>
          <w:lang w:val="es-ES"/>
        </w:rPr>
        <w:t xml:space="preserve">adultos </w:t>
      </w:r>
      <w:r w:rsidR="00B20FAC" w:rsidRPr="00687B88">
        <w:rPr>
          <w:rFonts w:ascii="Arial" w:hAnsi="Arial" w:cs="Arial"/>
          <w:lang w:val="es-ES"/>
        </w:rPr>
        <w:t>mecánicamente ventilados que fueron monitorizados con actigrafía</w:t>
      </w:r>
      <w:r w:rsidR="00B91CAE" w:rsidRPr="00687B88">
        <w:rPr>
          <w:rFonts w:ascii="Arial" w:hAnsi="Arial" w:cs="Arial"/>
          <w:lang w:val="es-ES"/>
        </w:rPr>
        <w:t xml:space="preserve"> durante toda la estadía en la UCI</w:t>
      </w:r>
      <w:r w:rsidR="00A147AA" w:rsidRPr="00687B88">
        <w:rPr>
          <w:rFonts w:ascii="Arial" w:hAnsi="Arial" w:cs="Arial"/>
          <w:lang w:val="es-ES"/>
        </w:rPr>
        <w:t>.</w:t>
      </w:r>
      <w:r w:rsidR="00C44859" w:rsidRPr="00687B88">
        <w:rPr>
          <w:rFonts w:ascii="Arial" w:hAnsi="Arial" w:cs="Arial"/>
          <w:lang w:val="es-ES"/>
        </w:rPr>
        <w:t xml:space="preserve"> De la muestra total (n</w:t>
      </w:r>
      <w:r w:rsidR="003C5F78" w:rsidRPr="00687B88">
        <w:rPr>
          <w:rFonts w:ascii="Arial" w:hAnsi="Arial" w:cs="Arial"/>
          <w:lang w:val="es-ES"/>
        </w:rPr>
        <w:t xml:space="preserve"> </w:t>
      </w:r>
      <w:r w:rsidR="00C44859" w:rsidRPr="00687B88">
        <w:rPr>
          <w:rFonts w:ascii="Arial" w:hAnsi="Arial" w:cs="Arial"/>
          <w:lang w:val="es-ES"/>
        </w:rPr>
        <w:t>=</w:t>
      </w:r>
      <w:r w:rsidR="003C5F78" w:rsidRPr="00687B88">
        <w:rPr>
          <w:rFonts w:ascii="Arial" w:hAnsi="Arial" w:cs="Arial"/>
          <w:lang w:val="es-ES"/>
        </w:rPr>
        <w:t xml:space="preserve"> </w:t>
      </w:r>
      <w:r w:rsidR="00C44859" w:rsidRPr="00687B88">
        <w:rPr>
          <w:rFonts w:ascii="Arial" w:hAnsi="Arial" w:cs="Arial"/>
          <w:lang w:val="es-ES"/>
        </w:rPr>
        <w:t xml:space="preserve">30), se seleccionaron </w:t>
      </w:r>
      <w:r w:rsidR="00A147AA" w:rsidRPr="00687B88">
        <w:rPr>
          <w:rFonts w:ascii="Arial" w:hAnsi="Arial" w:cs="Arial"/>
          <w:lang w:val="es-ES"/>
        </w:rPr>
        <w:t xml:space="preserve">los </w:t>
      </w:r>
      <w:r w:rsidR="00C44859" w:rsidRPr="00687B88">
        <w:rPr>
          <w:rFonts w:ascii="Arial" w:hAnsi="Arial" w:cs="Arial"/>
          <w:lang w:val="es-ES"/>
        </w:rPr>
        <w:t xml:space="preserve">dos pacientes (A y B) </w:t>
      </w:r>
      <w:r w:rsidR="00A147AA" w:rsidRPr="00687B88">
        <w:rPr>
          <w:rFonts w:ascii="Arial" w:hAnsi="Arial" w:cs="Arial"/>
          <w:lang w:val="es-ES"/>
        </w:rPr>
        <w:t>con mayor</w:t>
      </w:r>
      <w:r w:rsidR="00C44859" w:rsidRPr="00687B88">
        <w:rPr>
          <w:rFonts w:ascii="Arial" w:hAnsi="Arial" w:cs="Arial"/>
          <w:lang w:val="es-ES"/>
        </w:rPr>
        <w:t xml:space="preserve"> estadía en UCI</w:t>
      </w:r>
      <w:r w:rsidR="00A147AA" w:rsidRPr="00687B88">
        <w:rPr>
          <w:rFonts w:ascii="Arial" w:hAnsi="Arial" w:cs="Arial"/>
          <w:lang w:val="es-ES"/>
        </w:rPr>
        <w:t xml:space="preserve"> </w:t>
      </w:r>
      <w:r w:rsidR="00C44859" w:rsidRPr="00687B88">
        <w:rPr>
          <w:rFonts w:ascii="Arial" w:hAnsi="Arial" w:cs="Arial"/>
          <w:lang w:val="es-ES"/>
        </w:rPr>
        <w:t xml:space="preserve">(30 y 35 días, respectivamente). Se </w:t>
      </w:r>
      <w:r w:rsidR="00B20FAC" w:rsidRPr="00687B88">
        <w:rPr>
          <w:rFonts w:ascii="Arial" w:hAnsi="Arial" w:cs="Arial"/>
          <w:lang w:val="es-ES"/>
        </w:rPr>
        <w:t>extrajo información d</w:t>
      </w:r>
      <w:r w:rsidR="00C44859" w:rsidRPr="00687B88">
        <w:rPr>
          <w:rFonts w:ascii="Arial" w:hAnsi="Arial" w:cs="Arial"/>
          <w:lang w:val="es-ES"/>
        </w:rPr>
        <w:t>el comportamiento de la inactividad</w:t>
      </w:r>
      <w:r w:rsidR="00B1390B" w:rsidRPr="00687B88">
        <w:rPr>
          <w:rFonts w:ascii="Arial" w:hAnsi="Arial" w:cs="Arial"/>
          <w:lang w:val="es-ES"/>
        </w:rPr>
        <w:t xml:space="preserve"> </w:t>
      </w:r>
      <w:r w:rsidR="00B91CAE" w:rsidRPr="00687B88">
        <w:rPr>
          <w:rFonts w:ascii="Arial" w:hAnsi="Arial" w:cs="Arial"/>
          <w:lang w:val="es-ES"/>
        </w:rPr>
        <w:t xml:space="preserve">de </w:t>
      </w:r>
      <w:r w:rsidR="00B1390B" w:rsidRPr="00687B88">
        <w:rPr>
          <w:rFonts w:ascii="Arial" w:hAnsi="Arial" w:cs="Arial"/>
          <w:lang w:val="es-ES"/>
        </w:rPr>
        <w:t>los primeros diez días desde el despertar</w:t>
      </w:r>
      <w:r w:rsidR="005E2C6A" w:rsidRPr="00687B88">
        <w:rPr>
          <w:rFonts w:ascii="Arial" w:hAnsi="Arial" w:cs="Arial"/>
          <w:lang w:val="es-ES"/>
        </w:rPr>
        <w:t xml:space="preserve">, </w:t>
      </w:r>
      <w:r w:rsidR="00E741BC" w:rsidRPr="00687B88">
        <w:rPr>
          <w:rFonts w:ascii="Arial" w:hAnsi="Arial" w:cs="Arial"/>
          <w:lang w:val="es-ES"/>
        </w:rPr>
        <w:t>usando</w:t>
      </w:r>
      <w:r w:rsidR="00C44859" w:rsidRPr="00687B88">
        <w:rPr>
          <w:rFonts w:ascii="Arial" w:hAnsi="Arial" w:cs="Arial"/>
          <w:lang w:val="es-ES"/>
        </w:rPr>
        <w:t xml:space="preserve"> el </w:t>
      </w:r>
      <w:r w:rsidR="005E2C6A" w:rsidRPr="00687B88">
        <w:rPr>
          <w:rFonts w:ascii="Arial" w:hAnsi="Arial" w:cs="Arial"/>
          <w:lang w:val="es-ES"/>
        </w:rPr>
        <w:t>número y duración de quiebres de inactividad</w:t>
      </w:r>
      <w:r w:rsidR="0026497F" w:rsidRPr="00687B88">
        <w:rPr>
          <w:rFonts w:ascii="Arial" w:hAnsi="Arial" w:cs="Arial"/>
          <w:lang w:val="es-ES"/>
        </w:rPr>
        <w:t xml:space="preserve"> (&gt;100 cuentas/minuto)</w:t>
      </w:r>
      <w:r w:rsidR="005E2C6A" w:rsidRPr="00687B88">
        <w:rPr>
          <w:rFonts w:ascii="Arial" w:hAnsi="Arial" w:cs="Arial"/>
          <w:lang w:val="es-ES"/>
        </w:rPr>
        <w:t xml:space="preserve">. </w:t>
      </w:r>
      <w:r w:rsidR="00C44859" w:rsidRPr="00687B88">
        <w:rPr>
          <w:rFonts w:ascii="Arial" w:hAnsi="Arial" w:cs="Arial"/>
          <w:lang w:val="es-ES"/>
        </w:rPr>
        <w:t>La duración de quiebres de inactividad se presenta en</w:t>
      </w:r>
      <w:r w:rsidR="002606EA" w:rsidRPr="00687B88">
        <w:rPr>
          <w:rFonts w:ascii="Arial" w:hAnsi="Arial" w:cs="Arial"/>
          <w:lang w:val="es-ES"/>
        </w:rPr>
        <w:t xml:space="preserve"> seis</w:t>
      </w:r>
      <w:r w:rsidR="00C44859" w:rsidRPr="00687B88">
        <w:rPr>
          <w:rFonts w:ascii="Arial" w:hAnsi="Arial" w:cs="Arial"/>
          <w:lang w:val="es-ES"/>
        </w:rPr>
        <w:t xml:space="preserve"> intervalos de tiempo acumulados por hora</w:t>
      </w:r>
      <w:r w:rsidR="006C3B39" w:rsidRPr="00687B88">
        <w:rPr>
          <w:rFonts w:ascii="Arial" w:hAnsi="Arial" w:cs="Arial"/>
          <w:lang w:val="es-ES"/>
        </w:rPr>
        <w:t xml:space="preserve"> (&lt;1 minuto, 1-4 minutos, 5-9 minutos, 10-14 minutos, 15-29 minutos, y ≥30 minutos)</w:t>
      </w:r>
      <w:r w:rsidR="002606EA" w:rsidRPr="00687B88">
        <w:rPr>
          <w:rFonts w:ascii="Arial" w:hAnsi="Arial" w:cs="Arial"/>
          <w:lang w:val="es-ES"/>
        </w:rPr>
        <w:t>.</w:t>
      </w:r>
      <w:r w:rsidR="00B1390B" w:rsidRPr="00687B88">
        <w:rPr>
          <w:rFonts w:ascii="Arial" w:hAnsi="Arial" w:cs="Arial"/>
          <w:lang w:val="es-ES"/>
        </w:rPr>
        <w:t xml:space="preserve"> A</w:t>
      </w:r>
      <w:r w:rsidR="00B91CAE" w:rsidRPr="00687B88">
        <w:rPr>
          <w:rFonts w:ascii="Arial" w:hAnsi="Arial" w:cs="Arial"/>
          <w:lang w:val="es-ES"/>
        </w:rPr>
        <w:t xml:space="preserve">demás, </w:t>
      </w:r>
      <w:r w:rsidR="00B1390B" w:rsidRPr="00687B88">
        <w:rPr>
          <w:rFonts w:ascii="Arial" w:hAnsi="Arial" w:cs="Arial"/>
          <w:lang w:val="es-ES"/>
        </w:rPr>
        <w:t>se valoró la movilidad y fuerza muscular</w:t>
      </w:r>
      <w:r w:rsidR="00A74226" w:rsidRPr="00687B88">
        <w:rPr>
          <w:rFonts w:ascii="Arial" w:hAnsi="Arial" w:cs="Arial"/>
          <w:lang w:val="es-ES"/>
        </w:rPr>
        <w:t xml:space="preserve"> al despertar y egreso de UCI</w:t>
      </w:r>
      <w:r w:rsidR="00B1390B" w:rsidRPr="00687B88">
        <w:rPr>
          <w:rFonts w:ascii="Arial" w:hAnsi="Arial" w:cs="Arial"/>
          <w:lang w:val="es-ES"/>
        </w:rPr>
        <w:t>.</w:t>
      </w:r>
    </w:p>
    <w:p w14:paraId="6DFB467E" w14:textId="4D0A5650" w:rsidR="00687B88" w:rsidRDefault="00916581" w:rsidP="00687B88">
      <w:pPr>
        <w:spacing w:line="480" w:lineRule="auto"/>
        <w:rPr>
          <w:rFonts w:ascii="Arial" w:hAnsi="Arial" w:cs="Arial"/>
          <w:lang w:val="es-ES"/>
        </w:rPr>
      </w:pPr>
      <w:r w:rsidRPr="00687B88">
        <w:rPr>
          <w:rFonts w:ascii="Arial" w:hAnsi="Arial" w:cs="Arial"/>
          <w:b/>
          <w:lang w:val="es-ES"/>
        </w:rPr>
        <w:t>Resultados</w:t>
      </w:r>
      <w:r w:rsidRPr="00687B88">
        <w:rPr>
          <w:rFonts w:ascii="Arial" w:hAnsi="Arial" w:cs="Arial"/>
          <w:lang w:val="es-ES"/>
        </w:rPr>
        <w:t xml:space="preserve"> </w:t>
      </w:r>
      <w:r w:rsidR="00C44859" w:rsidRPr="00687B88">
        <w:rPr>
          <w:rFonts w:ascii="Arial" w:hAnsi="Arial" w:cs="Arial"/>
          <w:lang w:val="es-ES"/>
        </w:rPr>
        <w:t xml:space="preserve">Ambos pacientes </w:t>
      </w:r>
      <w:r w:rsidR="009F751C" w:rsidRPr="00687B88">
        <w:rPr>
          <w:rFonts w:ascii="Arial" w:hAnsi="Arial" w:cs="Arial"/>
          <w:lang w:val="es-ES"/>
        </w:rPr>
        <w:t xml:space="preserve">tenían </w:t>
      </w:r>
      <w:r w:rsidR="00C44859" w:rsidRPr="00687B88">
        <w:rPr>
          <w:rFonts w:ascii="Arial" w:hAnsi="Arial" w:cs="Arial"/>
          <w:u w:val="single"/>
          <w:lang w:val="es-ES"/>
        </w:rPr>
        <w:t>&gt;</w:t>
      </w:r>
      <w:r w:rsidR="00C44859" w:rsidRPr="00687B88">
        <w:rPr>
          <w:rFonts w:ascii="Arial" w:hAnsi="Arial" w:cs="Arial"/>
          <w:lang w:val="es-ES"/>
        </w:rPr>
        <w:t xml:space="preserve">65 años, ventilación mecánica &gt;10 días y debilidad muscular severa al despertar. El número de quiebres de inactividad de los pacientes A y B fue de 363 y 268, respectivamente. La </w:t>
      </w:r>
      <w:r w:rsidR="00D84C4E" w:rsidRPr="00687B88">
        <w:rPr>
          <w:rFonts w:ascii="Arial" w:hAnsi="Arial" w:cs="Arial"/>
          <w:lang w:val="es-ES"/>
        </w:rPr>
        <w:t>mediana [</w:t>
      </w:r>
      <w:r w:rsidR="00C44859" w:rsidRPr="00687B88">
        <w:rPr>
          <w:rFonts w:ascii="Arial" w:hAnsi="Arial" w:cs="Arial"/>
          <w:lang w:val="es-ES"/>
        </w:rPr>
        <w:t>RIQ] fue de 35</w:t>
      </w:r>
      <w:r w:rsidR="000A16AA" w:rsidRPr="00687B88">
        <w:rPr>
          <w:rFonts w:ascii="Arial" w:hAnsi="Arial" w:cs="Arial"/>
          <w:lang w:val="es-ES"/>
        </w:rPr>
        <w:t xml:space="preserve"> </w:t>
      </w:r>
      <w:r w:rsidR="00C44859" w:rsidRPr="00687B88">
        <w:rPr>
          <w:rFonts w:ascii="Arial" w:hAnsi="Arial" w:cs="Arial"/>
          <w:lang w:val="es-ES"/>
        </w:rPr>
        <w:t>[33-39] y 25</w:t>
      </w:r>
      <w:r w:rsidR="000A16AA" w:rsidRPr="00687B88">
        <w:rPr>
          <w:rFonts w:ascii="Arial" w:hAnsi="Arial" w:cs="Arial"/>
          <w:lang w:val="es-ES"/>
        </w:rPr>
        <w:t xml:space="preserve"> </w:t>
      </w:r>
      <w:r w:rsidR="00C44859" w:rsidRPr="00687B88">
        <w:rPr>
          <w:rFonts w:ascii="Arial" w:hAnsi="Arial" w:cs="Arial"/>
          <w:lang w:val="es-ES"/>
        </w:rPr>
        <w:t xml:space="preserve">[22-30] quiebres por día para los pacientes A y B, </w:t>
      </w:r>
    </w:p>
    <w:p w14:paraId="209E0EE9" w14:textId="631C0A58" w:rsidR="00687B88" w:rsidRPr="00687B88" w:rsidRDefault="00687B88" w:rsidP="00687B88">
      <w:pPr>
        <w:spacing w:line="480" w:lineRule="auto"/>
        <w:jc w:val="center"/>
        <w:rPr>
          <w:rFonts w:ascii="Arial" w:hAnsi="Arial" w:cs="Arial"/>
          <w:color w:val="808080" w:themeColor="background1" w:themeShade="80"/>
          <w:lang w:val="es-ES"/>
        </w:rPr>
      </w:pPr>
      <w:r w:rsidRPr="00687B88">
        <w:rPr>
          <w:rFonts w:ascii="Arial" w:hAnsi="Arial" w:cs="Arial"/>
          <w:color w:val="808080" w:themeColor="background1" w:themeShade="80"/>
          <w:lang w:val="es-ES"/>
        </w:rPr>
        <w:t>iii</w:t>
      </w:r>
    </w:p>
    <w:p w14:paraId="389EF63D" w14:textId="4925DFDF" w:rsidR="00916581" w:rsidRPr="00687B88" w:rsidRDefault="00C44859" w:rsidP="00687B88">
      <w:pPr>
        <w:spacing w:line="480" w:lineRule="auto"/>
        <w:rPr>
          <w:rFonts w:ascii="Arial" w:hAnsi="Arial" w:cs="Arial"/>
          <w:lang w:val="es-ES"/>
        </w:rPr>
      </w:pPr>
      <w:r w:rsidRPr="00687B88">
        <w:rPr>
          <w:rFonts w:ascii="Arial" w:hAnsi="Arial" w:cs="Arial"/>
          <w:lang w:val="es-ES"/>
        </w:rPr>
        <w:t xml:space="preserve">respectivamente. El paciente </w:t>
      </w:r>
      <w:r w:rsidR="00D96B44" w:rsidRPr="00687B88">
        <w:rPr>
          <w:rFonts w:ascii="Arial" w:hAnsi="Arial" w:cs="Arial"/>
          <w:lang w:val="es-ES"/>
        </w:rPr>
        <w:t>B</w:t>
      </w:r>
      <w:r w:rsidRPr="00687B88">
        <w:rPr>
          <w:rFonts w:ascii="Arial" w:hAnsi="Arial" w:cs="Arial"/>
          <w:lang w:val="es-ES"/>
        </w:rPr>
        <w:t xml:space="preserve"> realizó un </w:t>
      </w:r>
      <w:r w:rsidR="00D96B44" w:rsidRPr="00687B88">
        <w:rPr>
          <w:rFonts w:ascii="Arial" w:hAnsi="Arial" w:cs="Arial"/>
          <w:lang w:val="es-ES"/>
        </w:rPr>
        <w:t>52</w:t>
      </w:r>
      <w:r w:rsidRPr="00687B88">
        <w:rPr>
          <w:rFonts w:ascii="Arial" w:hAnsi="Arial" w:cs="Arial"/>
          <w:lang w:val="es-ES"/>
        </w:rPr>
        <w:t xml:space="preserve">% </w:t>
      </w:r>
      <w:r w:rsidR="00D96B44" w:rsidRPr="00687B88">
        <w:rPr>
          <w:rFonts w:ascii="Arial" w:hAnsi="Arial" w:cs="Arial"/>
          <w:lang w:val="es-ES"/>
        </w:rPr>
        <w:t xml:space="preserve">menos </w:t>
      </w:r>
      <w:r w:rsidRPr="00687B88">
        <w:rPr>
          <w:rFonts w:ascii="Arial" w:hAnsi="Arial" w:cs="Arial"/>
          <w:lang w:val="es-ES"/>
        </w:rPr>
        <w:t>de quiebres de inactividad</w:t>
      </w:r>
      <w:r w:rsidR="007B729D" w:rsidRPr="00687B88">
        <w:rPr>
          <w:rFonts w:ascii="Arial" w:hAnsi="Arial" w:cs="Arial"/>
          <w:lang w:val="es-ES"/>
        </w:rPr>
        <w:t xml:space="preserve"> de</w:t>
      </w:r>
      <w:r w:rsidRPr="00687B88">
        <w:rPr>
          <w:rFonts w:ascii="Arial" w:hAnsi="Arial" w:cs="Arial"/>
          <w:lang w:val="es-ES"/>
        </w:rPr>
        <w:t xml:space="preserve"> ≥</w:t>
      </w:r>
      <w:r w:rsidR="0004687D" w:rsidRPr="00687B88">
        <w:rPr>
          <w:rFonts w:ascii="Arial" w:hAnsi="Arial" w:cs="Arial"/>
          <w:lang w:val="es-ES"/>
        </w:rPr>
        <w:t>30</w:t>
      </w:r>
      <w:r w:rsidRPr="00687B88">
        <w:rPr>
          <w:rFonts w:ascii="Arial" w:hAnsi="Arial" w:cs="Arial"/>
          <w:lang w:val="es-ES"/>
        </w:rPr>
        <w:t xml:space="preserve"> minutos. </w:t>
      </w:r>
      <w:r w:rsidR="00B1390B" w:rsidRPr="00687B88">
        <w:rPr>
          <w:rFonts w:ascii="Arial" w:hAnsi="Arial" w:cs="Arial"/>
          <w:lang w:val="es-ES"/>
        </w:rPr>
        <w:t>Al egreso de UCI, el paciente A tuvo mayor fuerza muscular y movilidad comparado con el paciente B.</w:t>
      </w:r>
    </w:p>
    <w:p w14:paraId="0287B7DC" w14:textId="373865B8" w:rsidR="00C44859" w:rsidRPr="00687B88" w:rsidRDefault="00916581" w:rsidP="00687B88">
      <w:pPr>
        <w:spacing w:line="480" w:lineRule="auto"/>
        <w:rPr>
          <w:rFonts w:ascii="Arial" w:hAnsi="Arial" w:cs="Arial"/>
          <w:color w:val="000000" w:themeColor="text1"/>
        </w:rPr>
      </w:pPr>
      <w:r w:rsidRPr="00687B88">
        <w:rPr>
          <w:rFonts w:ascii="Arial" w:hAnsi="Arial" w:cs="Arial"/>
          <w:b/>
          <w:lang w:val="es-ES"/>
        </w:rPr>
        <w:t xml:space="preserve">Conclusiones </w:t>
      </w:r>
      <w:r w:rsidR="003476AA" w:rsidRPr="00687B88">
        <w:rPr>
          <w:rFonts w:ascii="Arial" w:hAnsi="Arial" w:cs="Arial"/>
          <w:bCs/>
          <w:lang w:val="es-ES"/>
        </w:rPr>
        <w:t>Fue posible</w:t>
      </w:r>
      <w:r w:rsidR="003476AA" w:rsidRPr="00687B88">
        <w:rPr>
          <w:rFonts w:ascii="Arial" w:hAnsi="Arial" w:cs="Arial"/>
          <w:b/>
          <w:lang w:val="es-ES"/>
        </w:rPr>
        <w:t xml:space="preserve"> </w:t>
      </w:r>
      <w:r w:rsidR="003476AA" w:rsidRPr="00687B88">
        <w:rPr>
          <w:rFonts w:ascii="Arial" w:hAnsi="Arial" w:cs="Arial"/>
          <w:lang w:val="es-ES"/>
        </w:rPr>
        <w:t>medir los quiebres de inactividad en pacientes mecánicamente ventilados</w:t>
      </w:r>
      <w:r w:rsidR="00057C69" w:rsidRPr="00687B88">
        <w:rPr>
          <w:rFonts w:ascii="Arial" w:hAnsi="Arial" w:cs="Arial"/>
          <w:lang w:val="es-ES"/>
        </w:rPr>
        <w:t xml:space="preserve">. </w:t>
      </w:r>
      <w:r w:rsidR="004524D0" w:rsidRPr="00687B88">
        <w:rPr>
          <w:rFonts w:ascii="Arial" w:hAnsi="Arial" w:cs="Arial"/>
          <w:color w:val="000000" w:themeColor="text1"/>
        </w:rPr>
        <w:t>Futuros estudios</w:t>
      </w:r>
      <w:r w:rsidR="005453FE" w:rsidRPr="00687B88">
        <w:rPr>
          <w:rFonts w:ascii="Arial" w:hAnsi="Arial" w:cs="Arial"/>
          <w:color w:val="000000" w:themeColor="text1"/>
        </w:rPr>
        <w:t xml:space="preserve"> podrían confirmar que la información de la cantidad y duración de los quiebres de inactividad es relevante en la toma de decisiones para la movilización de pacientes críticos.</w:t>
      </w:r>
    </w:p>
    <w:p w14:paraId="09A31572" w14:textId="507A6279" w:rsidR="00792096" w:rsidRDefault="00792096" w:rsidP="00C44859">
      <w:pPr>
        <w:spacing w:line="360" w:lineRule="auto"/>
        <w:jc w:val="both"/>
        <w:rPr>
          <w:rFonts w:ascii="Times New Roman" w:hAnsi="Times New Roman" w:cs="Times New Roman"/>
          <w:lang w:val="es-ES"/>
        </w:rPr>
      </w:pPr>
    </w:p>
    <w:p w14:paraId="02208E4F" w14:textId="6471415E" w:rsidR="00792096" w:rsidRDefault="00792096" w:rsidP="00C44859">
      <w:pPr>
        <w:spacing w:line="360" w:lineRule="auto"/>
        <w:jc w:val="both"/>
        <w:rPr>
          <w:rFonts w:ascii="Times New Roman" w:hAnsi="Times New Roman" w:cs="Times New Roman"/>
          <w:lang w:val="es-ES"/>
        </w:rPr>
      </w:pPr>
    </w:p>
    <w:p w14:paraId="67E5B1DA" w14:textId="71E4D7F3" w:rsidR="00687B88" w:rsidRDefault="00687B88" w:rsidP="00C44859">
      <w:pPr>
        <w:spacing w:line="360" w:lineRule="auto"/>
        <w:jc w:val="both"/>
        <w:rPr>
          <w:rFonts w:ascii="Times New Roman" w:hAnsi="Times New Roman" w:cs="Times New Roman"/>
          <w:lang w:val="es-ES"/>
        </w:rPr>
      </w:pPr>
    </w:p>
    <w:p w14:paraId="733D8AB9" w14:textId="1AFFC861" w:rsidR="00687B88" w:rsidRDefault="00687B88" w:rsidP="00C44859">
      <w:pPr>
        <w:spacing w:line="360" w:lineRule="auto"/>
        <w:jc w:val="both"/>
        <w:rPr>
          <w:rFonts w:ascii="Times New Roman" w:hAnsi="Times New Roman" w:cs="Times New Roman"/>
          <w:lang w:val="es-ES"/>
        </w:rPr>
      </w:pPr>
    </w:p>
    <w:p w14:paraId="61B6FDBD" w14:textId="443126F5" w:rsidR="00687B88" w:rsidRDefault="00687B88" w:rsidP="00C44859">
      <w:pPr>
        <w:spacing w:line="360" w:lineRule="auto"/>
        <w:jc w:val="both"/>
        <w:rPr>
          <w:rFonts w:ascii="Times New Roman" w:hAnsi="Times New Roman" w:cs="Times New Roman"/>
          <w:lang w:val="es-ES"/>
        </w:rPr>
      </w:pPr>
    </w:p>
    <w:p w14:paraId="2CB0630A" w14:textId="05D44EE7" w:rsidR="00687B88" w:rsidRDefault="00687B88" w:rsidP="00C44859">
      <w:pPr>
        <w:spacing w:line="360" w:lineRule="auto"/>
        <w:jc w:val="both"/>
        <w:rPr>
          <w:rFonts w:ascii="Times New Roman" w:hAnsi="Times New Roman" w:cs="Times New Roman"/>
          <w:lang w:val="es-ES"/>
        </w:rPr>
      </w:pPr>
    </w:p>
    <w:p w14:paraId="3CE3A658" w14:textId="0471612E" w:rsidR="00687B88" w:rsidRDefault="00687B88" w:rsidP="00C44859">
      <w:pPr>
        <w:spacing w:line="360" w:lineRule="auto"/>
        <w:jc w:val="both"/>
        <w:rPr>
          <w:rFonts w:ascii="Times New Roman" w:hAnsi="Times New Roman" w:cs="Times New Roman"/>
          <w:lang w:val="es-ES"/>
        </w:rPr>
      </w:pPr>
    </w:p>
    <w:p w14:paraId="0CA9C1B5" w14:textId="677905BB" w:rsidR="00687B88" w:rsidRDefault="00687B88" w:rsidP="00C44859">
      <w:pPr>
        <w:spacing w:line="360" w:lineRule="auto"/>
        <w:jc w:val="both"/>
        <w:rPr>
          <w:rFonts w:ascii="Times New Roman" w:hAnsi="Times New Roman" w:cs="Times New Roman"/>
          <w:lang w:val="es-ES"/>
        </w:rPr>
      </w:pPr>
    </w:p>
    <w:p w14:paraId="28DDD3FE" w14:textId="611A70D1" w:rsidR="00687B88" w:rsidRDefault="00687B88" w:rsidP="00C44859">
      <w:pPr>
        <w:spacing w:line="360" w:lineRule="auto"/>
        <w:jc w:val="both"/>
        <w:rPr>
          <w:rFonts w:ascii="Times New Roman" w:hAnsi="Times New Roman" w:cs="Times New Roman"/>
          <w:lang w:val="es-ES"/>
        </w:rPr>
      </w:pPr>
    </w:p>
    <w:p w14:paraId="4E66EEF2" w14:textId="5DE99EC4" w:rsidR="00687B88" w:rsidRDefault="00687B88" w:rsidP="00C44859">
      <w:pPr>
        <w:spacing w:line="360" w:lineRule="auto"/>
        <w:jc w:val="both"/>
        <w:rPr>
          <w:rFonts w:ascii="Times New Roman" w:hAnsi="Times New Roman" w:cs="Times New Roman"/>
          <w:lang w:val="es-ES"/>
        </w:rPr>
      </w:pPr>
    </w:p>
    <w:p w14:paraId="667CB1C6" w14:textId="58BCDA56" w:rsidR="00687B88" w:rsidRDefault="00687B88" w:rsidP="00C44859">
      <w:pPr>
        <w:spacing w:line="360" w:lineRule="auto"/>
        <w:jc w:val="both"/>
        <w:rPr>
          <w:rFonts w:ascii="Times New Roman" w:hAnsi="Times New Roman" w:cs="Times New Roman"/>
          <w:lang w:val="es-ES"/>
        </w:rPr>
      </w:pPr>
    </w:p>
    <w:p w14:paraId="6010F42D" w14:textId="05744183" w:rsidR="00687B88" w:rsidRDefault="00687B88" w:rsidP="00C44859">
      <w:pPr>
        <w:spacing w:line="360" w:lineRule="auto"/>
        <w:jc w:val="both"/>
        <w:rPr>
          <w:rFonts w:ascii="Times New Roman" w:hAnsi="Times New Roman" w:cs="Times New Roman"/>
          <w:lang w:val="es-ES"/>
        </w:rPr>
      </w:pPr>
    </w:p>
    <w:p w14:paraId="5801E5ED" w14:textId="5BDE9CCC" w:rsidR="00687B88" w:rsidRDefault="00687B88" w:rsidP="00C44859">
      <w:pPr>
        <w:spacing w:line="360" w:lineRule="auto"/>
        <w:jc w:val="both"/>
        <w:rPr>
          <w:rFonts w:ascii="Times New Roman" w:hAnsi="Times New Roman" w:cs="Times New Roman"/>
          <w:lang w:val="es-ES"/>
        </w:rPr>
      </w:pPr>
    </w:p>
    <w:p w14:paraId="063226F0" w14:textId="4D0C7D15" w:rsidR="00687B88" w:rsidRDefault="00687B88" w:rsidP="00C44859">
      <w:pPr>
        <w:spacing w:line="360" w:lineRule="auto"/>
        <w:jc w:val="both"/>
        <w:rPr>
          <w:rFonts w:ascii="Times New Roman" w:hAnsi="Times New Roman" w:cs="Times New Roman"/>
          <w:lang w:val="es-ES"/>
        </w:rPr>
      </w:pPr>
    </w:p>
    <w:p w14:paraId="73277BCC" w14:textId="4CC533E6" w:rsidR="00687B88" w:rsidRDefault="00687B88" w:rsidP="00C44859">
      <w:pPr>
        <w:spacing w:line="360" w:lineRule="auto"/>
        <w:jc w:val="both"/>
        <w:rPr>
          <w:rFonts w:ascii="Times New Roman" w:hAnsi="Times New Roman" w:cs="Times New Roman"/>
          <w:lang w:val="es-ES"/>
        </w:rPr>
      </w:pPr>
    </w:p>
    <w:p w14:paraId="4464E2E2" w14:textId="6D60DA41" w:rsidR="00687B88" w:rsidRDefault="00687B88" w:rsidP="00C44859">
      <w:pPr>
        <w:spacing w:line="360" w:lineRule="auto"/>
        <w:jc w:val="both"/>
        <w:rPr>
          <w:rFonts w:ascii="Times New Roman" w:hAnsi="Times New Roman" w:cs="Times New Roman"/>
          <w:lang w:val="es-ES"/>
        </w:rPr>
      </w:pPr>
    </w:p>
    <w:p w14:paraId="37A1EDDE" w14:textId="5A2F3A09" w:rsidR="00687B88" w:rsidRDefault="00687B88" w:rsidP="00C44859">
      <w:pPr>
        <w:spacing w:line="360" w:lineRule="auto"/>
        <w:jc w:val="both"/>
        <w:rPr>
          <w:rFonts w:ascii="Times New Roman" w:hAnsi="Times New Roman" w:cs="Times New Roman"/>
          <w:lang w:val="es-ES"/>
        </w:rPr>
      </w:pPr>
    </w:p>
    <w:p w14:paraId="60D243AF" w14:textId="7D7B774C" w:rsidR="00687B88" w:rsidRDefault="00687B88" w:rsidP="00C44859">
      <w:pPr>
        <w:spacing w:line="360" w:lineRule="auto"/>
        <w:jc w:val="both"/>
        <w:rPr>
          <w:rFonts w:ascii="Times New Roman" w:hAnsi="Times New Roman" w:cs="Times New Roman"/>
          <w:lang w:val="es-ES"/>
        </w:rPr>
      </w:pPr>
    </w:p>
    <w:p w14:paraId="141CE574" w14:textId="77777777" w:rsidR="00687B88" w:rsidRDefault="00687B88" w:rsidP="00C44859">
      <w:pPr>
        <w:spacing w:line="360" w:lineRule="auto"/>
        <w:jc w:val="both"/>
        <w:rPr>
          <w:rFonts w:ascii="Times New Roman" w:hAnsi="Times New Roman" w:cs="Times New Roman"/>
          <w:lang w:val="es-ES"/>
        </w:rPr>
      </w:pPr>
    </w:p>
    <w:p w14:paraId="03B61567" w14:textId="16F31367" w:rsidR="00C44859" w:rsidRPr="00114D71" w:rsidRDefault="00792096" w:rsidP="00687B88">
      <w:pPr>
        <w:spacing w:line="360" w:lineRule="auto"/>
        <w:jc w:val="center"/>
        <w:rPr>
          <w:rFonts w:ascii="Arial" w:hAnsi="Arial" w:cs="Arial"/>
          <w:color w:val="808080" w:themeColor="background1" w:themeShade="80"/>
          <w:lang w:val="en-US"/>
        </w:rPr>
      </w:pPr>
      <w:r w:rsidRPr="00114D71">
        <w:rPr>
          <w:rFonts w:ascii="Arial" w:hAnsi="Arial" w:cs="Arial"/>
          <w:color w:val="808080" w:themeColor="background1" w:themeShade="80"/>
          <w:lang w:val="en-US"/>
        </w:rPr>
        <w:t>i</w:t>
      </w:r>
      <w:r w:rsidR="00687B88" w:rsidRPr="00114D71">
        <w:rPr>
          <w:rFonts w:ascii="Arial" w:hAnsi="Arial" w:cs="Arial"/>
          <w:color w:val="808080" w:themeColor="background1" w:themeShade="80"/>
          <w:lang w:val="en-US"/>
        </w:rPr>
        <w:t>v</w:t>
      </w:r>
    </w:p>
    <w:p w14:paraId="23A8DCD7" w14:textId="196BE815" w:rsidR="00C44859" w:rsidRPr="00687B88" w:rsidRDefault="00C44859" w:rsidP="00687B88">
      <w:pPr>
        <w:spacing w:line="480" w:lineRule="auto"/>
        <w:jc w:val="both"/>
        <w:rPr>
          <w:rFonts w:ascii="Arial" w:hAnsi="Arial" w:cs="Arial"/>
          <w:b/>
          <w:color w:val="FF0000"/>
          <w:lang w:val="en-US"/>
        </w:rPr>
      </w:pPr>
      <w:r w:rsidRPr="00687B88">
        <w:rPr>
          <w:rFonts w:ascii="Arial" w:hAnsi="Arial" w:cs="Arial"/>
          <w:b/>
          <w:lang w:val="en-US"/>
        </w:rPr>
        <w:t>Abstract</w:t>
      </w:r>
      <w:r w:rsidR="00494FD0" w:rsidRPr="00687B88">
        <w:rPr>
          <w:rFonts w:ascii="Arial" w:hAnsi="Arial" w:cs="Arial"/>
          <w:b/>
          <w:lang w:val="en-US"/>
        </w:rPr>
        <w:t xml:space="preserve"> </w:t>
      </w:r>
    </w:p>
    <w:p w14:paraId="46573561" w14:textId="0A8CED66" w:rsidR="00C75FE4" w:rsidRPr="00687B88" w:rsidRDefault="00C44859" w:rsidP="00687B88">
      <w:pPr>
        <w:spacing w:line="480" w:lineRule="auto"/>
        <w:jc w:val="both"/>
        <w:rPr>
          <w:rFonts w:ascii="Arial" w:hAnsi="Arial" w:cs="Arial"/>
          <w:lang w:val="en-US"/>
        </w:rPr>
      </w:pPr>
      <w:r w:rsidRPr="00687B88">
        <w:rPr>
          <w:rFonts w:ascii="Arial" w:hAnsi="Arial" w:cs="Arial"/>
          <w:b/>
          <w:lang w:val="en-US"/>
        </w:rPr>
        <w:t>Background</w:t>
      </w:r>
      <w:r w:rsidRPr="00687B88">
        <w:rPr>
          <w:rFonts w:ascii="Arial" w:hAnsi="Arial" w:cs="Arial"/>
          <w:lang w:val="en-US"/>
        </w:rPr>
        <w:t xml:space="preserve"> </w:t>
      </w:r>
      <w:r w:rsidR="00C75FE4" w:rsidRPr="00687B88">
        <w:rPr>
          <w:rFonts w:ascii="Arial" w:hAnsi="Arial" w:cs="Arial"/>
          <w:lang w:val="en-US"/>
        </w:rPr>
        <w:t xml:space="preserve">Critically ill patients remain inactive </w:t>
      </w:r>
      <w:r w:rsidR="00565E37" w:rsidRPr="00687B88">
        <w:rPr>
          <w:rFonts w:ascii="Arial" w:hAnsi="Arial" w:cs="Arial"/>
          <w:lang w:val="en-US"/>
        </w:rPr>
        <w:t xml:space="preserve">most of the time </w:t>
      </w:r>
      <w:r w:rsidR="00C75FE4" w:rsidRPr="00687B88">
        <w:rPr>
          <w:rFonts w:ascii="Arial" w:hAnsi="Arial" w:cs="Arial"/>
          <w:lang w:val="en-US"/>
        </w:rPr>
        <w:t>(</w:t>
      </w:r>
      <w:r w:rsidR="00565E37" w:rsidRPr="00687B88">
        <w:rPr>
          <w:rFonts w:ascii="Arial" w:hAnsi="Arial" w:cs="Arial"/>
          <w:lang w:val="en-US"/>
        </w:rPr>
        <w:t xml:space="preserve">between </w:t>
      </w:r>
      <w:r w:rsidR="00C75FE4" w:rsidRPr="00687B88">
        <w:rPr>
          <w:rFonts w:ascii="Arial" w:hAnsi="Arial" w:cs="Arial"/>
          <w:lang w:val="en-US"/>
        </w:rPr>
        <w:t>92-98%) during</w:t>
      </w:r>
      <w:r w:rsidR="00494FD0" w:rsidRPr="00687B88">
        <w:rPr>
          <w:rFonts w:ascii="Arial" w:hAnsi="Arial" w:cs="Arial"/>
          <w:lang w:val="en-US"/>
        </w:rPr>
        <w:t xml:space="preserve"> </w:t>
      </w:r>
      <w:r w:rsidR="00C75FE4" w:rsidRPr="00687B88">
        <w:rPr>
          <w:rFonts w:ascii="Arial" w:hAnsi="Arial" w:cs="Arial"/>
          <w:lang w:val="en-US"/>
        </w:rPr>
        <w:t xml:space="preserve">intensive care unit (ICU) stay. </w:t>
      </w:r>
      <w:r w:rsidR="00EB2CA2" w:rsidRPr="00687B88">
        <w:rPr>
          <w:rFonts w:ascii="Arial" w:hAnsi="Arial" w:cs="Arial"/>
          <w:lang w:val="en-US"/>
        </w:rPr>
        <w:t xml:space="preserve">Aim: </w:t>
      </w:r>
      <w:r w:rsidR="00C75FE4" w:rsidRPr="00687B88">
        <w:rPr>
          <w:rFonts w:ascii="Arial" w:hAnsi="Arial" w:cs="Arial"/>
          <w:lang w:val="en-US"/>
        </w:rPr>
        <w:t xml:space="preserve">to describe the physical inactivity behavior in mechanically ventilated patients using the concept of inactivity breaks of actigraphy records. </w:t>
      </w:r>
    </w:p>
    <w:p w14:paraId="71E9F77C" w14:textId="7390A2C0" w:rsidR="003D794E" w:rsidRPr="00687B88" w:rsidRDefault="00C44859" w:rsidP="00687B88">
      <w:pPr>
        <w:spacing w:line="480" w:lineRule="auto"/>
        <w:jc w:val="both"/>
        <w:rPr>
          <w:rFonts w:ascii="Arial" w:hAnsi="Arial" w:cs="Arial"/>
          <w:lang w:val="en-US"/>
        </w:rPr>
      </w:pPr>
      <w:r w:rsidRPr="00687B88">
        <w:rPr>
          <w:rFonts w:ascii="Arial" w:hAnsi="Arial" w:cs="Arial"/>
          <w:b/>
          <w:lang w:val="en-US"/>
        </w:rPr>
        <w:t>Methods</w:t>
      </w:r>
      <w:r w:rsidRPr="00687B88">
        <w:rPr>
          <w:rFonts w:ascii="Arial" w:hAnsi="Arial" w:cs="Arial"/>
          <w:lang w:val="en-US"/>
        </w:rPr>
        <w:t xml:space="preserve"> Secondary analysis of a prospective observational study</w:t>
      </w:r>
      <w:r w:rsidR="00C75FE4" w:rsidRPr="00687B88">
        <w:rPr>
          <w:rFonts w:ascii="Arial" w:hAnsi="Arial" w:cs="Arial"/>
          <w:lang w:val="en-US"/>
        </w:rPr>
        <w:t xml:space="preserve"> of mechanically ventilated critically ill </w:t>
      </w:r>
      <w:r w:rsidR="00EB2CA2" w:rsidRPr="00687B88">
        <w:rPr>
          <w:rFonts w:ascii="Arial" w:hAnsi="Arial" w:cs="Arial"/>
          <w:lang w:val="en-US"/>
        </w:rPr>
        <w:t>adult</w:t>
      </w:r>
      <w:r w:rsidR="00B33A86" w:rsidRPr="00687B88">
        <w:rPr>
          <w:rFonts w:ascii="Arial" w:hAnsi="Arial" w:cs="Arial"/>
          <w:lang w:val="en-US"/>
        </w:rPr>
        <w:t>s</w:t>
      </w:r>
      <w:r w:rsidR="00EB2CA2" w:rsidRPr="00687B88">
        <w:rPr>
          <w:rFonts w:ascii="Arial" w:hAnsi="Arial" w:cs="Arial"/>
          <w:lang w:val="en-US"/>
        </w:rPr>
        <w:t xml:space="preserve"> </w:t>
      </w:r>
      <w:r w:rsidR="003D794E" w:rsidRPr="00687B88">
        <w:rPr>
          <w:rFonts w:ascii="Arial" w:hAnsi="Arial" w:cs="Arial"/>
          <w:lang w:val="en-US"/>
        </w:rPr>
        <w:t>who were monitored with actigraphy during their ICU stay</w:t>
      </w:r>
      <w:r w:rsidRPr="00687B88">
        <w:rPr>
          <w:rFonts w:ascii="Arial" w:hAnsi="Arial" w:cs="Arial"/>
          <w:lang w:val="en-US"/>
        </w:rPr>
        <w:t xml:space="preserve">. </w:t>
      </w:r>
      <w:r w:rsidR="00B33A86" w:rsidRPr="00687B88">
        <w:rPr>
          <w:rFonts w:ascii="Arial" w:hAnsi="Arial" w:cs="Arial"/>
          <w:lang w:val="en-US"/>
        </w:rPr>
        <w:t xml:space="preserve">From the total sample (n = 30), the two patients (A and B) with the longest ICU stay (30 and 35 days, respectively) were selected. </w:t>
      </w:r>
      <w:r w:rsidR="003D794E" w:rsidRPr="00687B88">
        <w:rPr>
          <w:rFonts w:ascii="Arial" w:hAnsi="Arial" w:cs="Arial"/>
          <w:lang w:val="en-US"/>
        </w:rPr>
        <w:t xml:space="preserve">Data </w:t>
      </w:r>
      <w:r w:rsidR="00494FD0" w:rsidRPr="00687B88">
        <w:rPr>
          <w:rFonts w:ascii="Arial" w:hAnsi="Arial" w:cs="Arial"/>
          <w:lang w:val="en-US"/>
        </w:rPr>
        <w:t>on</w:t>
      </w:r>
      <w:r w:rsidR="003D794E" w:rsidRPr="00687B88">
        <w:rPr>
          <w:rFonts w:ascii="Arial" w:hAnsi="Arial" w:cs="Arial"/>
          <w:lang w:val="en-US"/>
        </w:rPr>
        <w:t xml:space="preserve"> physical inactivity behavior for the first ten days </w:t>
      </w:r>
      <w:r w:rsidR="00EB2CA2" w:rsidRPr="00687B88">
        <w:rPr>
          <w:rFonts w:ascii="Arial" w:hAnsi="Arial" w:cs="Arial"/>
          <w:lang w:val="en-US"/>
        </w:rPr>
        <w:t xml:space="preserve">from </w:t>
      </w:r>
      <w:r w:rsidR="003D794E" w:rsidRPr="00687B88">
        <w:rPr>
          <w:rFonts w:ascii="Arial" w:hAnsi="Arial" w:cs="Arial"/>
          <w:lang w:val="en-US"/>
        </w:rPr>
        <w:t xml:space="preserve">awakening were extracted using the number and duration of inactivity breaks (&gt;100 counts/minute). The duration of inactivity breaks </w:t>
      </w:r>
      <w:r w:rsidR="00EB2CA2" w:rsidRPr="00687B88">
        <w:rPr>
          <w:rFonts w:ascii="Arial" w:hAnsi="Arial" w:cs="Arial"/>
          <w:lang w:val="en-US"/>
        </w:rPr>
        <w:t xml:space="preserve">is </w:t>
      </w:r>
      <w:r w:rsidR="003D794E" w:rsidRPr="00687B88">
        <w:rPr>
          <w:rFonts w:ascii="Arial" w:hAnsi="Arial" w:cs="Arial"/>
          <w:lang w:val="en-US"/>
        </w:rPr>
        <w:t xml:space="preserve">presented in six intervals of time accumulated per hour (&lt;1 minute, 1-4 minutes, 5-9 minutes, 10-14 minutes, 15-29 minutes, and ≥30 minutes). </w:t>
      </w:r>
      <w:r w:rsidR="00B0730A" w:rsidRPr="00687B88">
        <w:rPr>
          <w:rFonts w:ascii="Arial" w:hAnsi="Arial" w:cs="Arial"/>
          <w:lang w:val="en-US"/>
        </w:rPr>
        <w:t>Additionally</w:t>
      </w:r>
      <w:r w:rsidR="003D794E" w:rsidRPr="00687B88">
        <w:rPr>
          <w:rFonts w:ascii="Arial" w:hAnsi="Arial" w:cs="Arial"/>
          <w:lang w:val="en-US"/>
        </w:rPr>
        <w:t xml:space="preserve">, mobility and muscle strength were evaluated </w:t>
      </w:r>
      <w:r w:rsidR="00B0730A" w:rsidRPr="00687B88">
        <w:rPr>
          <w:rFonts w:ascii="Arial" w:hAnsi="Arial" w:cs="Arial"/>
          <w:lang w:val="en-US"/>
        </w:rPr>
        <w:t xml:space="preserve">on </w:t>
      </w:r>
      <w:r w:rsidR="003D794E" w:rsidRPr="00687B88">
        <w:rPr>
          <w:rFonts w:ascii="Arial" w:hAnsi="Arial" w:cs="Arial"/>
          <w:lang w:val="en-US"/>
        </w:rPr>
        <w:t xml:space="preserve">awakening and </w:t>
      </w:r>
      <w:r w:rsidR="00B0730A" w:rsidRPr="00687B88">
        <w:rPr>
          <w:rFonts w:ascii="Arial" w:hAnsi="Arial" w:cs="Arial"/>
          <w:lang w:val="en-US"/>
        </w:rPr>
        <w:t xml:space="preserve">at </w:t>
      </w:r>
      <w:r w:rsidR="003D794E" w:rsidRPr="00687B88">
        <w:rPr>
          <w:rFonts w:ascii="Arial" w:hAnsi="Arial" w:cs="Arial"/>
          <w:lang w:val="en-US"/>
        </w:rPr>
        <w:t>ICU discharge.</w:t>
      </w:r>
    </w:p>
    <w:p w14:paraId="0EB3959D" w14:textId="77777777" w:rsidR="00687B88" w:rsidRDefault="00C44859" w:rsidP="00687B88">
      <w:pPr>
        <w:spacing w:line="480" w:lineRule="auto"/>
        <w:jc w:val="both"/>
        <w:rPr>
          <w:rFonts w:ascii="Arial" w:hAnsi="Arial" w:cs="Arial"/>
          <w:lang w:val="en-US"/>
        </w:rPr>
      </w:pPr>
      <w:r w:rsidRPr="00687B88">
        <w:rPr>
          <w:rFonts w:ascii="Arial" w:hAnsi="Arial" w:cs="Arial"/>
          <w:b/>
          <w:lang w:val="en-US"/>
        </w:rPr>
        <w:t xml:space="preserve">Results </w:t>
      </w:r>
      <w:r w:rsidRPr="00687B88">
        <w:rPr>
          <w:rFonts w:ascii="Arial" w:hAnsi="Arial" w:cs="Arial"/>
          <w:lang w:val="en-US"/>
        </w:rPr>
        <w:t xml:space="preserve">Both patients were ≥65 years old, mechanically ventilated for &gt;10 days, and had severe weakness on awakening. </w:t>
      </w:r>
      <w:r w:rsidR="00494FD0" w:rsidRPr="00687B88">
        <w:rPr>
          <w:rFonts w:ascii="Arial" w:hAnsi="Arial" w:cs="Arial"/>
          <w:lang w:val="en-US"/>
        </w:rPr>
        <w:t>The number of inactivity breaks for patients A and B, was 363 and 268 breaks in ten days, respectively. The median [IQR] was 35</w:t>
      </w:r>
      <w:r w:rsidR="00A97E1F" w:rsidRPr="00687B88">
        <w:rPr>
          <w:rFonts w:ascii="Arial" w:hAnsi="Arial" w:cs="Arial"/>
          <w:lang w:val="en-US"/>
        </w:rPr>
        <w:t xml:space="preserve"> </w:t>
      </w:r>
      <w:r w:rsidR="00494FD0" w:rsidRPr="00687B88">
        <w:rPr>
          <w:rFonts w:ascii="Arial" w:hAnsi="Arial" w:cs="Arial"/>
          <w:lang w:val="en-US"/>
        </w:rPr>
        <w:t>[33–39] and 25</w:t>
      </w:r>
      <w:r w:rsidR="00A97E1F" w:rsidRPr="00687B88">
        <w:rPr>
          <w:rFonts w:ascii="Arial" w:hAnsi="Arial" w:cs="Arial"/>
          <w:lang w:val="en-US"/>
        </w:rPr>
        <w:t xml:space="preserve"> </w:t>
      </w:r>
      <w:r w:rsidR="00494FD0" w:rsidRPr="00687B88">
        <w:rPr>
          <w:rFonts w:ascii="Arial" w:hAnsi="Arial" w:cs="Arial"/>
          <w:lang w:val="en-US"/>
        </w:rPr>
        <w:t xml:space="preserve">[22–30] inactivity breaks per day for patients A and B, respectively. Patient B </w:t>
      </w:r>
      <w:r w:rsidR="00A97E1F" w:rsidRPr="00687B88">
        <w:rPr>
          <w:rFonts w:ascii="Arial" w:hAnsi="Arial" w:cs="Arial"/>
          <w:lang w:val="en-US"/>
        </w:rPr>
        <w:t xml:space="preserve">shows </w:t>
      </w:r>
      <w:r w:rsidR="00494FD0" w:rsidRPr="00687B88">
        <w:rPr>
          <w:rFonts w:ascii="Arial" w:hAnsi="Arial" w:cs="Arial"/>
          <w:lang w:val="en-US"/>
        </w:rPr>
        <w:t xml:space="preserve">52% fewer inactivity breaks of ≥30 minutes. Patient A had better muscle strength and mobility at ICU discharge </w:t>
      </w:r>
      <w:r w:rsidR="00A97E1F" w:rsidRPr="00687B88">
        <w:rPr>
          <w:rFonts w:ascii="Arial" w:hAnsi="Arial" w:cs="Arial"/>
          <w:lang w:val="en-US"/>
        </w:rPr>
        <w:t xml:space="preserve">compared to </w:t>
      </w:r>
    </w:p>
    <w:p w14:paraId="258A03DF" w14:textId="3AC35209" w:rsidR="00687B88" w:rsidRPr="00687B88" w:rsidRDefault="00687B88" w:rsidP="00687B88">
      <w:pPr>
        <w:spacing w:line="480" w:lineRule="auto"/>
        <w:jc w:val="center"/>
        <w:rPr>
          <w:rFonts w:ascii="Arial" w:hAnsi="Arial" w:cs="Arial"/>
          <w:color w:val="808080" w:themeColor="background1" w:themeShade="80"/>
          <w:lang w:val="en-US"/>
        </w:rPr>
      </w:pPr>
      <w:r w:rsidRPr="00687B88">
        <w:rPr>
          <w:rFonts w:ascii="Arial" w:hAnsi="Arial" w:cs="Arial"/>
          <w:color w:val="808080" w:themeColor="background1" w:themeShade="80"/>
          <w:lang w:val="en-US"/>
        </w:rPr>
        <w:t>v</w:t>
      </w:r>
    </w:p>
    <w:p w14:paraId="4779F1B1" w14:textId="1A7F6D1F" w:rsidR="00687B88" w:rsidRPr="00687B88" w:rsidRDefault="00494FD0" w:rsidP="00687B88">
      <w:pPr>
        <w:spacing w:line="480" w:lineRule="auto"/>
        <w:jc w:val="both"/>
        <w:rPr>
          <w:rFonts w:ascii="Arial" w:hAnsi="Arial" w:cs="Arial"/>
          <w:lang w:val="en-US"/>
        </w:rPr>
      </w:pPr>
      <w:r w:rsidRPr="00687B88">
        <w:rPr>
          <w:rFonts w:ascii="Arial" w:hAnsi="Arial" w:cs="Arial"/>
          <w:lang w:val="en-US"/>
        </w:rPr>
        <w:t>patient B.</w:t>
      </w:r>
    </w:p>
    <w:p w14:paraId="41661C72" w14:textId="518586B0" w:rsidR="00C44859" w:rsidRPr="00687B88" w:rsidRDefault="00C44859" w:rsidP="00687B88">
      <w:pPr>
        <w:spacing w:line="480" w:lineRule="auto"/>
        <w:jc w:val="both"/>
        <w:rPr>
          <w:rFonts w:ascii="Arial" w:hAnsi="Arial" w:cs="Arial"/>
          <w:lang w:val="en-US"/>
        </w:rPr>
      </w:pPr>
      <w:r w:rsidRPr="00687B88">
        <w:rPr>
          <w:rFonts w:ascii="Arial" w:hAnsi="Arial" w:cs="Arial"/>
          <w:b/>
          <w:lang w:val="en-US"/>
        </w:rPr>
        <w:t xml:space="preserve">Conclusions </w:t>
      </w:r>
      <w:r w:rsidR="00494FD0" w:rsidRPr="00687B88">
        <w:rPr>
          <w:rFonts w:ascii="Arial" w:hAnsi="Arial" w:cs="Arial"/>
          <w:lang w:val="en-US"/>
        </w:rPr>
        <w:t xml:space="preserve">It was </w:t>
      </w:r>
      <w:r w:rsidR="00A97E1F" w:rsidRPr="00687B88">
        <w:rPr>
          <w:rFonts w:ascii="Arial" w:hAnsi="Arial" w:cs="Arial"/>
          <w:lang w:val="en-US"/>
        </w:rPr>
        <w:t xml:space="preserve">feasible </w:t>
      </w:r>
      <w:r w:rsidR="00494FD0" w:rsidRPr="00687B88">
        <w:rPr>
          <w:rFonts w:ascii="Arial" w:hAnsi="Arial" w:cs="Arial"/>
          <w:lang w:val="en-US"/>
        </w:rPr>
        <w:t xml:space="preserve">to measure inactivity breaks in mechanically ventilated patients. Future studies </w:t>
      </w:r>
      <w:r w:rsidR="00A97E1F" w:rsidRPr="00687B88">
        <w:rPr>
          <w:rFonts w:ascii="Arial" w:hAnsi="Arial" w:cs="Arial"/>
          <w:lang w:val="en-US"/>
        </w:rPr>
        <w:t xml:space="preserve">should </w:t>
      </w:r>
      <w:r w:rsidR="00494FD0" w:rsidRPr="00687B88">
        <w:rPr>
          <w:rFonts w:ascii="Arial" w:hAnsi="Arial" w:cs="Arial"/>
          <w:lang w:val="en-US"/>
        </w:rPr>
        <w:t>confirm that information on the number and duration of inactivity breaks is relevant in decision-making for the mobilization of critically ill patients.</w:t>
      </w:r>
    </w:p>
    <w:p w14:paraId="0EDAECCE" w14:textId="77777777" w:rsidR="00916581" w:rsidRPr="00687B88" w:rsidRDefault="00916581" w:rsidP="00687B88">
      <w:pPr>
        <w:spacing w:line="480" w:lineRule="auto"/>
        <w:jc w:val="both"/>
        <w:rPr>
          <w:rFonts w:ascii="Arial" w:hAnsi="Arial" w:cs="Arial"/>
          <w:b/>
          <w:lang w:val="en-US"/>
        </w:rPr>
      </w:pPr>
      <w:r w:rsidRPr="00687B88">
        <w:rPr>
          <w:rFonts w:ascii="Arial" w:hAnsi="Arial" w:cs="Arial"/>
          <w:b/>
          <w:lang w:val="en-US"/>
        </w:rPr>
        <w:t>Palabras claves</w:t>
      </w:r>
    </w:p>
    <w:p w14:paraId="4C884BFA" w14:textId="2D3ACC2A" w:rsidR="00C44859" w:rsidRPr="00687B88" w:rsidRDefault="008C06D2" w:rsidP="00687B88">
      <w:pPr>
        <w:spacing w:line="480" w:lineRule="auto"/>
        <w:jc w:val="both"/>
        <w:rPr>
          <w:rFonts w:ascii="Arial" w:hAnsi="Arial" w:cs="Arial"/>
          <w:lang w:val="en-US"/>
        </w:rPr>
      </w:pPr>
      <w:r w:rsidRPr="00687B88">
        <w:rPr>
          <w:rFonts w:ascii="Arial" w:hAnsi="Arial" w:cs="Arial"/>
          <w:lang w:val="en-US"/>
        </w:rPr>
        <w:t xml:space="preserve">Immobilization, </w:t>
      </w:r>
      <w:r w:rsidR="005F2601" w:rsidRPr="00687B88">
        <w:rPr>
          <w:rFonts w:ascii="Arial" w:hAnsi="Arial" w:cs="Arial"/>
          <w:lang w:val="en-US"/>
        </w:rPr>
        <w:t xml:space="preserve">Sedentary behavior, Intensive Care Units, </w:t>
      </w:r>
      <w:r w:rsidRPr="00687B88">
        <w:rPr>
          <w:rFonts w:ascii="Arial" w:hAnsi="Arial" w:cs="Arial"/>
          <w:lang w:val="en-US"/>
        </w:rPr>
        <w:t xml:space="preserve">Rehabilitation. </w:t>
      </w:r>
    </w:p>
    <w:p w14:paraId="43B7346F" w14:textId="77777777" w:rsidR="00C44859" w:rsidRPr="00687B88" w:rsidRDefault="00C44859" w:rsidP="00687B88">
      <w:pPr>
        <w:spacing w:line="480" w:lineRule="auto"/>
        <w:jc w:val="both"/>
        <w:rPr>
          <w:rFonts w:ascii="Arial" w:hAnsi="Arial" w:cs="Arial"/>
          <w:lang w:val="en-US"/>
        </w:rPr>
      </w:pPr>
    </w:p>
    <w:p w14:paraId="52EB5FE0" w14:textId="308ED3C7" w:rsidR="00916581" w:rsidRPr="00687B88" w:rsidRDefault="00916581" w:rsidP="00687B88">
      <w:pPr>
        <w:spacing w:line="480" w:lineRule="auto"/>
        <w:jc w:val="both"/>
        <w:rPr>
          <w:rFonts w:ascii="Arial" w:hAnsi="Arial" w:cs="Arial"/>
          <w:b/>
          <w:lang w:val="es-ES"/>
        </w:rPr>
      </w:pPr>
      <w:r w:rsidRPr="00687B88">
        <w:rPr>
          <w:rFonts w:ascii="Arial" w:hAnsi="Arial" w:cs="Arial"/>
          <w:b/>
          <w:lang w:val="es-ES"/>
        </w:rPr>
        <w:t xml:space="preserve">Ideas claves </w:t>
      </w:r>
    </w:p>
    <w:p w14:paraId="416DF21D" w14:textId="6AFA61F1" w:rsidR="00C44859" w:rsidRPr="00687B88" w:rsidRDefault="00C44859" w:rsidP="00687B88">
      <w:pPr>
        <w:spacing w:line="480" w:lineRule="auto"/>
        <w:jc w:val="both"/>
        <w:rPr>
          <w:rFonts w:ascii="Arial" w:hAnsi="Arial" w:cs="Arial"/>
          <w:lang w:val="es-ES"/>
        </w:rPr>
      </w:pPr>
      <w:r w:rsidRPr="00687B88">
        <w:rPr>
          <w:rFonts w:ascii="Arial" w:hAnsi="Arial" w:cs="Arial"/>
          <w:lang w:val="es-ES"/>
        </w:rPr>
        <w:t xml:space="preserve">Primer estudio que analiza el comportamiento de la inactividad en unidad de cuidados intensivos mediante </w:t>
      </w:r>
      <w:r w:rsidR="007805A9" w:rsidRPr="00687B88">
        <w:rPr>
          <w:rFonts w:ascii="Arial" w:hAnsi="Arial" w:cs="Arial"/>
          <w:lang w:val="es-ES"/>
        </w:rPr>
        <w:t xml:space="preserve">una prueba de concepto de </w:t>
      </w:r>
      <w:r w:rsidRPr="00687B88">
        <w:rPr>
          <w:rFonts w:ascii="Arial" w:hAnsi="Arial" w:cs="Arial"/>
          <w:lang w:val="es-ES"/>
        </w:rPr>
        <w:t>quiebres de inactividad obtenidos de registros ininterrumpidos de actigrafía.</w:t>
      </w:r>
    </w:p>
    <w:p w14:paraId="14481D21" w14:textId="77777777" w:rsidR="00C44859" w:rsidRPr="00687B88" w:rsidRDefault="00C44859" w:rsidP="00687B88">
      <w:pPr>
        <w:spacing w:line="480" w:lineRule="auto"/>
        <w:jc w:val="both"/>
        <w:rPr>
          <w:rFonts w:ascii="Arial" w:hAnsi="Arial" w:cs="Arial"/>
          <w:lang w:val="es-ES"/>
        </w:rPr>
      </w:pPr>
    </w:p>
    <w:p w14:paraId="59FF904E" w14:textId="28303C5A" w:rsidR="00C44859" w:rsidRPr="00687B88" w:rsidRDefault="00C44859" w:rsidP="00687B88">
      <w:pPr>
        <w:spacing w:line="480" w:lineRule="auto"/>
        <w:jc w:val="both"/>
        <w:rPr>
          <w:rFonts w:ascii="Arial" w:hAnsi="Arial" w:cs="Arial"/>
          <w:lang w:val="es-ES"/>
        </w:rPr>
      </w:pPr>
      <w:r w:rsidRPr="00687B88">
        <w:rPr>
          <w:rFonts w:ascii="Arial" w:hAnsi="Arial" w:cs="Arial"/>
          <w:lang w:val="es-ES"/>
        </w:rPr>
        <w:t xml:space="preserve">El </w:t>
      </w:r>
      <w:r w:rsidR="00765B5A" w:rsidRPr="00687B88">
        <w:rPr>
          <w:rFonts w:ascii="Arial" w:hAnsi="Arial" w:cs="Arial"/>
          <w:lang w:val="es-ES"/>
        </w:rPr>
        <w:t xml:space="preserve">concepto de quiebres de inactividad según </w:t>
      </w:r>
      <w:r w:rsidRPr="00687B88">
        <w:rPr>
          <w:rFonts w:ascii="Arial" w:hAnsi="Arial" w:cs="Arial"/>
          <w:lang w:val="es-ES"/>
        </w:rPr>
        <w:t>número y duración parece</w:t>
      </w:r>
      <w:r w:rsidR="00A97E1F" w:rsidRPr="00687B88">
        <w:rPr>
          <w:rFonts w:ascii="Arial" w:hAnsi="Arial" w:cs="Arial"/>
          <w:lang w:val="es-ES"/>
        </w:rPr>
        <w:t>n</w:t>
      </w:r>
      <w:r w:rsidRPr="00687B88">
        <w:rPr>
          <w:rFonts w:ascii="Arial" w:hAnsi="Arial" w:cs="Arial"/>
          <w:lang w:val="es-ES"/>
        </w:rPr>
        <w:t xml:space="preserve"> aportar nueva información sobre el comportamiento de la inactividad física de los pacientes críticos.</w:t>
      </w:r>
    </w:p>
    <w:p w14:paraId="625FD4C1" w14:textId="77777777" w:rsidR="00C44859" w:rsidRPr="00687B88" w:rsidRDefault="00C44859" w:rsidP="00687B88">
      <w:pPr>
        <w:spacing w:line="480" w:lineRule="auto"/>
        <w:jc w:val="both"/>
        <w:rPr>
          <w:rFonts w:ascii="Arial" w:hAnsi="Arial" w:cs="Arial"/>
          <w:lang w:val="es-ES"/>
        </w:rPr>
      </w:pPr>
    </w:p>
    <w:p w14:paraId="6A8DF21E" w14:textId="6FA092F0" w:rsidR="00C44859" w:rsidRPr="00687B88" w:rsidRDefault="00765B5A" w:rsidP="00687B88">
      <w:pPr>
        <w:spacing w:line="480" w:lineRule="auto"/>
        <w:jc w:val="both"/>
        <w:rPr>
          <w:rFonts w:ascii="Arial" w:hAnsi="Arial" w:cs="Arial"/>
          <w:lang w:val="es-ES"/>
        </w:rPr>
      </w:pPr>
      <w:r w:rsidRPr="00687B88">
        <w:rPr>
          <w:rFonts w:ascii="Arial" w:hAnsi="Arial" w:cs="Arial"/>
          <w:lang w:val="es-ES"/>
        </w:rPr>
        <w:t>El concepto de</w:t>
      </w:r>
      <w:r w:rsidR="00C44859" w:rsidRPr="00687B88">
        <w:rPr>
          <w:rFonts w:ascii="Arial" w:hAnsi="Arial" w:cs="Arial"/>
          <w:lang w:val="es-ES"/>
        </w:rPr>
        <w:t xml:space="preserve"> quiebres de inactividad podría estar relacionado con la modificación de la </w:t>
      </w:r>
      <w:r w:rsidR="000153C2" w:rsidRPr="00687B88">
        <w:rPr>
          <w:rFonts w:ascii="Arial" w:hAnsi="Arial" w:cs="Arial"/>
          <w:lang w:val="es-ES"/>
        </w:rPr>
        <w:t xml:space="preserve">movilidad y </w:t>
      </w:r>
      <w:r w:rsidR="00C44859" w:rsidRPr="00687B88">
        <w:rPr>
          <w:rFonts w:ascii="Arial" w:hAnsi="Arial" w:cs="Arial"/>
          <w:lang w:val="es-ES"/>
        </w:rPr>
        <w:t>fuerza muscular al egreso de la UCI.</w:t>
      </w:r>
    </w:p>
    <w:p w14:paraId="3649186D" w14:textId="722EFCCE" w:rsidR="00C44859" w:rsidRDefault="00C44859" w:rsidP="00687B88">
      <w:pPr>
        <w:spacing w:line="480" w:lineRule="auto"/>
        <w:jc w:val="both"/>
        <w:rPr>
          <w:rFonts w:ascii="Arial" w:hAnsi="Arial" w:cs="Arial"/>
          <w:lang w:val="es-ES"/>
        </w:rPr>
      </w:pPr>
    </w:p>
    <w:p w14:paraId="0FA56D5D" w14:textId="58614C72" w:rsidR="00687B88" w:rsidRDefault="00687B88" w:rsidP="00687B88">
      <w:pPr>
        <w:spacing w:line="480" w:lineRule="auto"/>
        <w:jc w:val="both"/>
        <w:rPr>
          <w:rFonts w:ascii="Arial" w:hAnsi="Arial" w:cs="Arial"/>
          <w:lang w:val="es-ES"/>
        </w:rPr>
      </w:pPr>
    </w:p>
    <w:p w14:paraId="1EC46CB5" w14:textId="267466D3" w:rsidR="00687B88" w:rsidRPr="00687B88" w:rsidRDefault="00687B88" w:rsidP="00687B88">
      <w:pPr>
        <w:spacing w:line="480" w:lineRule="auto"/>
        <w:jc w:val="center"/>
        <w:rPr>
          <w:rFonts w:ascii="Arial" w:hAnsi="Arial" w:cs="Arial"/>
          <w:color w:val="808080" w:themeColor="background1" w:themeShade="80"/>
          <w:lang w:val="es-ES"/>
        </w:rPr>
      </w:pPr>
      <w:r w:rsidRPr="00687B88">
        <w:rPr>
          <w:rFonts w:ascii="Arial" w:hAnsi="Arial" w:cs="Arial"/>
          <w:color w:val="808080" w:themeColor="background1" w:themeShade="80"/>
          <w:lang w:val="es-ES"/>
        </w:rPr>
        <w:t>vi</w:t>
      </w:r>
    </w:p>
    <w:p w14:paraId="6678B250" w14:textId="5A997C4D" w:rsidR="00E35877" w:rsidRDefault="00C44859" w:rsidP="00687B88">
      <w:pPr>
        <w:spacing w:line="480" w:lineRule="auto"/>
        <w:jc w:val="both"/>
        <w:rPr>
          <w:rFonts w:ascii="Arial" w:hAnsi="Arial" w:cs="Arial"/>
          <w:lang w:val="es-ES"/>
        </w:rPr>
      </w:pPr>
      <w:r w:rsidRPr="00687B88">
        <w:rPr>
          <w:rFonts w:ascii="Arial" w:hAnsi="Arial" w:cs="Arial"/>
          <w:lang w:val="es-ES"/>
        </w:rPr>
        <w:t xml:space="preserve">Son limitaciones del estudio el tamaño reducido de la muestra, por lo </w:t>
      </w:r>
      <w:r w:rsidR="00D84C4E" w:rsidRPr="00687B88">
        <w:rPr>
          <w:rFonts w:ascii="Arial" w:hAnsi="Arial" w:cs="Arial"/>
          <w:lang w:val="es-ES"/>
        </w:rPr>
        <w:t>tanto,</w:t>
      </w:r>
      <w:r w:rsidRPr="00687B88">
        <w:rPr>
          <w:rFonts w:ascii="Arial" w:hAnsi="Arial" w:cs="Arial"/>
          <w:lang w:val="es-ES"/>
        </w:rPr>
        <w:t xml:space="preserve"> no se puede determinar la relación de los quiebres de inactividad con la fuerza muscular y movilidad al </w:t>
      </w:r>
      <w:r w:rsidR="00A97E1F" w:rsidRPr="00687B88">
        <w:rPr>
          <w:rFonts w:ascii="Arial" w:hAnsi="Arial" w:cs="Arial"/>
          <w:lang w:val="es-ES"/>
        </w:rPr>
        <w:t xml:space="preserve">egreso </w:t>
      </w:r>
      <w:r w:rsidRPr="00687B88">
        <w:rPr>
          <w:rFonts w:ascii="Arial" w:hAnsi="Arial" w:cs="Arial"/>
          <w:lang w:val="es-ES"/>
        </w:rPr>
        <w:t>de la UCI.</w:t>
      </w:r>
    </w:p>
    <w:p w14:paraId="4D427308" w14:textId="0943EAAD" w:rsidR="00687B88" w:rsidRDefault="00687B88" w:rsidP="00687B88">
      <w:pPr>
        <w:spacing w:line="480" w:lineRule="auto"/>
        <w:jc w:val="both"/>
        <w:rPr>
          <w:rFonts w:ascii="Arial" w:hAnsi="Arial" w:cs="Arial"/>
          <w:lang w:val="es-ES"/>
        </w:rPr>
      </w:pPr>
    </w:p>
    <w:p w14:paraId="0D8EB07D" w14:textId="36156362" w:rsidR="00687B88" w:rsidRDefault="00687B88" w:rsidP="00687B88">
      <w:pPr>
        <w:spacing w:line="480" w:lineRule="auto"/>
        <w:jc w:val="both"/>
        <w:rPr>
          <w:rFonts w:ascii="Arial" w:hAnsi="Arial" w:cs="Arial"/>
          <w:lang w:val="es-ES"/>
        </w:rPr>
      </w:pPr>
    </w:p>
    <w:p w14:paraId="6D927460" w14:textId="2687758C" w:rsidR="00687B88" w:rsidRDefault="00687B88" w:rsidP="00687B88">
      <w:pPr>
        <w:spacing w:line="480" w:lineRule="auto"/>
        <w:jc w:val="both"/>
        <w:rPr>
          <w:rFonts w:ascii="Arial" w:hAnsi="Arial" w:cs="Arial"/>
          <w:lang w:val="es-ES"/>
        </w:rPr>
      </w:pPr>
    </w:p>
    <w:p w14:paraId="35B53A47" w14:textId="04897509" w:rsidR="00687B88" w:rsidRDefault="00687B88" w:rsidP="00687B88">
      <w:pPr>
        <w:spacing w:line="480" w:lineRule="auto"/>
        <w:jc w:val="both"/>
        <w:rPr>
          <w:rFonts w:ascii="Arial" w:hAnsi="Arial" w:cs="Arial"/>
          <w:lang w:val="es-ES"/>
        </w:rPr>
      </w:pPr>
    </w:p>
    <w:p w14:paraId="285B9970" w14:textId="5D1A15E2" w:rsidR="00687B88" w:rsidRDefault="00687B88" w:rsidP="00687B88">
      <w:pPr>
        <w:spacing w:line="480" w:lineRule="auto"/>
        <w:jc w:val="both"/>
        <w:rPr>
          <w:rFonts w:ascii="Arial" w:hAnsi="Arial" w:cs="Arial"/>
          <w:lang w:val="es-ES"/>
        </w:rPr>
      </w:pPr>
    </w:p>
    <w:p w14:paraId="4CC661C8" w14:textId="71A217F6" w:rsidR="00687B88" w:rsidRDefault="00687B88" w:rsidP="00687B88">
      <w:pPr>
        <w:spacing w:line="480" w:lineRule="auto"/>
        <w:jc w:val="both"/>
        <w:rPr>
          <w:rFonts w:ascii="Arial" w:hAnsi="Arial" w:cs="Arial"/>
          <w:lang w:val="es-ES"/>
        </w:rPr>
      </w:pPr>
    </w:p>
    <w:p w14:paraId="727E1E31" w14:textId="6B59384E" w:rsidR="00687B88" w:rsidRDefault="00687B88" w:rsidP="00687B88">
      <w:pPr>
        <w:spacing w:line="480" w:lineRule="auto"/>
        <w:jc w:val="both"/>
        <w:rPr>
          <w:rFonts w:ascii="Arial" w:hAnsi="Arial" w:cs="Arial"/>
          <w:lang w:val="es-ES"/>
        </w:rPr>
      </w:pPr>
    </w:p>
    <w:p w14:paraId="58D207F0" w14:textId="0C8768EB" w:rsidR="00687B88" w:rsidRDefault="00687B88" w:rsidP="00687B88">
      <w:pPr>
        <w:spacing w:line="480" w:lineRule="auto"/>
        <w:jc w:val="both"/>
        <w:rPr>
          <w:rFonts w:ascii="Arial" w:hAnsi="Arial" w:cs="Arial"/>
          <w:lang w:val="es-ES"/>
        </w:rPr>
      </w:pPr>
    </w:p>
    <w:p w14:paraId="41D0B3F9" w14:textId="7E951E8F" w:rsidR="00687B88" w:rsidRDefault="00687B88" w:rsidP="00687B88">
      <w:pPr>
        <w:spacing w:line="480" w:lineRule="auto"/>
        <w:jc w:val="both"/>
        <w:rPr>
          <w:rFonts w:ascii="Arial" w:hAnsi="Arial" w:cs="Arial"/>
          <w:lang w:val="es-ES"/>
        </w:rPr>
      </w:pPr>
    </w:p>
    <w:p w14:paraId="39C2629D" w14:textId="714DF4E1" w:rsidR="00687B88" w:rsidRDefault="00687B88" w:rsidP="00687B88">
      <w:pPr>
        <w:spacing w:line="480" w:lineRule="auto"/>
        <w:jc w:val="both"/>
        <w:rPr>
          <w:rFonts w:ascii="Arial" w:hAnsi="Arial" w:cs="Arial"/>
          <w:lang w:val="es-ES"/>
        </w:rPr>
      </w:pPr>
    </w:p>
    <w:p w14:paraId="56B83F64" w14:textId="7564CFA5" w:rsidR="00687B88" w:rsidRDefault="00687B88" w:rsidP="00687B88">
      <w:pPr>
        <w:spacing w:line="480" w:lineRule="auto"/>
        <w:jc w:val="both"/>
        <w:rPr>
          <w:rFonts w:ascii="Arial" w:hAnsi="Arial" w:cs="Arial"/>
          <w:lang w:val="es-ES"/>
        </w:rPr>
      </w:pPr>
    </w:p>
    <w:p w14:paraId="377ED17F" w14:textId="1737C5FD" w:rsidR="00687B88" w:rsidRDefault="00687B88" w:rsidP="00687B88">
      <w:pPr>
        <w:spacing w:line="480" w:lineRule="auto"/>
        <w:jc w:val="both"/>
        <w:rPr>
          <w:rFonts w:ascii="Arial" w:hAnsi="Arial" w:cs="Arial"/>
          <w:lang w:val="es-ES"/>
        </w:rPr>
      </w:pPr>
    </w:p>
    <w:p w14:paraId="51B32E03" w14:textId="61F8FE48" w:rsidR="00687B88" w:rsidRDefault="00687B88" w:rsidP="00687B88">
      <w:pPr>
        <w:spacing w:line="480" w:lineRule="auto"/>
        <w:jc w:val="both"/>
        <w:rPr>
          <w:rFonts w:ascii="Arial" w:hAnsi="Arial" w:cs="Arial"/>
          <w:lang w:val="es-ES"/>
        </w:rPr>
      </w:pPr>
    </w:p>
    <w:p w14:paraId="283FFE27" w14:textId="3A05EA85" w:rsidR="00687B88" w:rsidRDefault="00687B88" w:rsidP="00687B88">
      <w:pPr>
        <w:spacing w:line="480" w:lineRule="auto"/>
        <w:jc w:val="both"/>
        <w:rPr>
          <w:rFonts w:ascii="Arial" w:hAnsi="Arial" w:cs="Arial"/>
          <w:lang w:val="es-ES"/>
        </w:rPr>
      </w:pPr>
    </w:p>
    <w:p w14:paraId="1002CDAE" w14:textId="56994C20" w:rsidR="00687B88" w:rsidRDefault="00687B88" w:rsidP="00687B88">
      <w:pPr>
        <w:spacing w:line="480" w:lineRule="auto"/>
        <w:jc w:val="both"/>
        <w:rPr>
          <w:rFonts w:ascii="Arial" w:hAnsi="Arial" w:cs="Arial"/>
          <w:lang w:val="es-ES"/>
        </w:rPr>
      </w:pPr>
    </w:p>
    <w:p w14:paraId="520A3F24" w14:textId="6E2527E9" w:rsidR="00687B88" w:rsidRDefault="00687B88" w:rsidP="00687B88">
      <w:pPr>
        <w:spacing w:line="480" w:lineRule="auto"/>
        <w:jc w:val="both"/>
        <w:rPr>
          <w:rFonts w:ascii="Arial" w:hAnsi="Arial" w:cs="Arial"/>
          <w:lang w:val="es-ES"/>
        </w:rPr>
      </w:pPr>
    </w:p>
    <w:p w14:paraId="2278FBB3" w14:textId="165CC4CB" w:rsidR="00687B88" w:rsidRDefault="00687B88" w:rsidP="00687B88">
      <w:pPr>
        <w:spacing w:line="480" w:lineRule="auto"/>
        <w:jc w:val="both"/>
        <w:rPr>
          <w:rFonts w:ascii="Arial" w:hAnsi="Arial" w:cs="Arial"/>
          <w:lang w:val="es-ES"/>
        </w:rPr>
      </w:pPr>
    </w:p>
    <w:p w14:paraId="7FF64D26" w14:textId="26FAADDB" w:rsidR="00687B88" w:rsidRPr="00687B88" w:rsidRDefault="00687B88" w:rsidP="00687B88">
      <w:pPr>
        <w:spacing w:line="480" w:lineRule="auto"/>
        <w:jc w:val="both"/>
        <w:rPr>
          <w:rFonts w:ascii="Arial" w:hAnsi="Arial" w:cs="Arial"/>
          <w:color w:val="808080" w:themeColor="background1" w:themeShade="80"/>
          <w:lang w:val="es-ES"/>
        </w:rPr>
      </w:pPr>
    </w:p>
    <w:p w14:paraId="4E193434" w14:textId="31861785" w:rsidR="00E35877" w:rsidRPr="00687B88" w:rsidRDefault="00687B88" w:rsidP="00687B88">
      <w:pPr>
        <w:spacing w:line="480" w:lineRule="auto"/>
        <w:jc w:val="center"/>
        <w:rPr>
          <w:rFonts w:ascii="Arial" w:hAnsi="Arial" w:cs="Arial"/>
          <w:color w:val="808080" w:themeColor="background1" w:themeShade="80"/>
          <w:lang w:val="es-ES"/>
        </w:rPr>
      </w:pPr>
      <w:r w:rsidRPr="00687B88">
        <w:rPr>
          <w:rFonts w:ascii="Arial" w:hAnsi="Arial" w:cs="Arial"/>
          <w:color w:val="808080" w:themeColor="background1" w:themeShade="80"/>
          <w:lang w:val="es-ES"/>
        </w:rPr>
        <w:t>vii</w:t>
      </w:r>
    </w:p>
    <w:p w14:paraId="3C3F5352" w14:textId="77777777" w:rsidR="00E35877" w:rsidRDefault="00E35877" w:rsidP="00E35877">
      <w:pPr>
        <w:spacing w:line="360" w:lineRule="auto"/>
        <w:rPr>
          <w:rFonts w:ascii="Times New Roman" w:hAnsi="Times New Roman" w:cs="Times New Roman"/>
        </w:rPr>
      </w:pPr>
    </w:p>
    <w:p w14:paraId="2838C284" w14:textId="77777777" w:rsidR="00E35877" w:rsidRDefault="00E35877" w:rsidP="00E35877">
      <w:pPr>
        <w:spacing w:line="360" w:lineRule="auto"/>
        <w:rPr>
          <w:rFonts w:ascii="Times New Roman" w:hAnsi="Times New Roman" w:cs="Times New Roman"/>
        </w:rPr>
      </w:pPr>
    </w:p>
    <w:p w14:paraId="0734B23E" w14:textId="77777777" w:rsidR="00E35877" w:rsidRDefault="00E35877" w:rsidP="00E35877">
      <w:pPr>
        <w:spacing w:line="360" w:lineRule="auto"/>
        <w:rPr>
          <w:rFonts w:ascii="Times New Roman" w:hAnsi="Times New Roman" w:cs="Times New Roman"/>
        </w:rPr>
      </w:pPr>
    </w:p>
    <w:p w14:paraId="12824572" w14:textId="77777777" w:rsidR="00E35877" w:rsidRDefault="00E35877" w:rsidP="00E35877">
      <w:pPr>
        <w:spacing w:line="360" w:lineRule="auto"/>
        <w:rPr>
          <w:rFonts w:ascii="Times New Roman" w:hAnsi="Times New Roman" w:cs="Times New Roman"/>
        </w:rPr>
      </w:pPr>
    </w:p>
    <w:p w14:paraId="37EC386A" w14:textId="77777777" w:rsidR="00E35877" w:rsidRDefault="00E35877" w:rsidP="00E35877">
      <w:pPr>
        <w:spacing w:line="360" w:lineRule="auto"/>
        <w:rPr>
          <w:rFonts w:ascii="Times New Roman" w:hAnsi="Times New Roman" w:cs="Times New Roman"/>
        </w:rPr>
      </w:pPr>
    </w:p>
    <w:p w14:paraId="4D31584A" w14:textId="77777777" w:rsidR="00E35877" w:rsidRDefault="00E35877" w:rsidP="00E35877">
      <w:pPr>
        <w:spacing w:line="360" w:lineRule="auto"/>
        <w:rPr>
          <w:rFonts w:ascii="Times New Roman" w:hAnsi="Times New Roman" w:cs="Times New Roman"/>
        </w:rPr>
      </w:pPr>
    </w:p>
    <w:p w14:paraId="335045F3" w14:textId="77777777" w:rsidR="00E35877" w:rsidRDefault="00E35877" w:rsidP="00E35877">
      <w:pPr>
        <w:spacing w:line="360" w:lineRule="auto"/>
        <w:rPr>
          <w:rFonts w:ascii="Times New Roman" w:hAnsi="Times New Roman" w:cs="Times New Roman"/>
        </w:rPr>
      </w:pPr>
    </w:p>
    <w:p w14:paraId="4FB6633B" w14:textId="77777777" w:rsidR="00E35877" w:rsidRDefault="00E35877" w:rsidP="00E35877">
      <w:pPr>
        <w:spacing w:line="360" w:lineRule="auto"/>
        <w:rPr>
          <w:rFonts w:ascii="Times New Roman" w:hAnsi="Times New Roman" w:cs="Times New Roman"/>
        </w:rPr>
      </w:pPr>
    </w:p>
    <w:p w14:paraId="45E80753" w14:textId="77777777" w:rsidR="00E35877" w:rsidRDefault="00E35877" w:rsidP="00E35877">
      <w:pPr>
        <w:spacing w:line="360" w:lineRule="auto"/>
        <w:rPr>
          <w:rFonts w:ascii="Times New Roman" w:hAnsi="Times New Roman" w:cs="Times New Roman"/>
        </w:rPr>
      </w:pPr>
    </w:p>
    <w:p w14:paraId="1CE46DB5" w14:textId="77777777" w:rsidR="00E35877" w:rsidRDefault="00E35877" w:rsidP="00E35877">
      <w:pPr>
        <w:spacing w:line="360" w:lineRule="auto"/>
        <w:rPr>
          <w:rFonts w:ascii="Times New Roman" w:hAnsi="Times New Roman" w:cs="Times New Roman"/>
        </w:rPr>
      </w:pPr>
    </w:p>
    <w:p w14:paraId="0B35C824" w14:textId="77777777" w:rsidR="00E35877" w:rsidRDefault="00E35877" w:rsidP="00E35877">
      <w:pPr>
        <w:spacing w:line="360" w:lineRule="auto"/>
        <w:rPr>
          <w:rFonts w:ascii="Times New Roman" w:hAnsi="Times New Roman" w:cs="Times New Roman"/>
        </w:rPr>
      </w:pPr>
    </w:p>
    <w:p w14:paraId="59B9B52A" w14:textId="77777777" w:rsidR="00E35877" w:rsidRDefault="00E35877" w:rsidP="00E35877">
      <w:pPr>
        <w:spacing w:line="360" w:lineRule="auto"/>
        <w:rPr>
          <w:rFonts w:ascii="Times New Roman" w:hAnsi="Times New Roman" w:cs="Times New Roman"/>
        </w:rPr>
      </w:pPr>
    </w:p>
    <w:p w14:paraId="637591E3" w14:textId="77777777" w:rsidR="00E35877" w:rsidRDefault="00E35877" w:rsidP="00E35877">
      <w:pPr>
        <w:spacing w:line="360" w:lineRule="auto"/>
        <w:rPr>
          <w:rFonts w:ascii="Times New Roman" w:hAnsi="Times New Roman" w:cs="Times New Roman"/>
        </w:rPr>
      </w:pPr>
    </w:p>
    <w:p w14:paraId="02D67C5B" w14:textId="77777777" w:rsidR="00E35877" w:rsidRDefault="00E35877" w:rsidP="00E35877">
      <w:pPr>
        <w:spacing w:line="360" w:lineRule="auto"/>
        <w:rPr>
          <w:rFonts w:ascii="Times New Roman" w:hAnsi="Times New Roman" w:cs="Times New Roman"/>
        </w:rPr>
      </w:pPr>
    </w:p>
    <w:p w14:paraId="751C2B6C" w14:textId="77777777" w:rsidR="00E35877" w:rsidRDefault="00E35877" w:rsidP="00E35877">
      <w:pPr>
        <w:spacing w:line="360" w:lineRule="auto"/>
        <w:rPr>
          <w:rFonts w:ascii="Times New Roman" w:hAnsi="Times New Roman" w:cs="Times New Roman"/>
        </w:rPr>
      </w:pPr>
    </w:p>
    <w:p w14:paraId="1D26F518" w14:textId="77777777" w:rsidR="00E35877" w:rsidRDefault="00E35877" w:rsidP="00E35877">
      <w:pPr>
        <w:spacing w:line="360" w:lineRule="auto"/>
        <w:rPr>
          <w:rFonts w:ascii="Times New Roman" w:hAnsi="Times New Roman" w:cs="Times New Roman"/>
        </w:rPr>
      </w:pPr>
    </w:p>
    <w:p w14:paraId="4CF5E661" w14:textId="77777777" w:rsidR="00E35877" w:rsidRDefault="00E35877" w:rsidP="00E35877">
      <w:pPr>
        <w:spacing w:line="360" w:lineRule="auto"/>
        <w:rPr>
          <w:rFonts w:ascii="Times New Roman" w:hAnsi="Times New Roman" w:cs="Times New Roman"/>
        </w:rPr>
      </w:pPr>
    </w:p>
    <w:p w14:paraId="1649A14E" w14:textId="77777777" w:rsidR="00E35877" w:rsidRDefault="00E35877" w:rsidP="00E35877">
      <w:pPr>
        <w:spacing w:line="360" w:lineRule="auto"/>
        <w:rPr>
          <w:rFonts w:ascii="Times New Roman" w:hAnsi="Times New Roman" w:cs="Times New Roman"/>
        </w:rPr>
      </w:pPr>
    </w:p>
    <w:p w14:paraId="0B246BB9" w14:textId="77777777" w:rsidR="00E35877" w:rsidRDefault="00E35877" w:rsidP="00E35877">
      <w:pPr>
        <w:spacing w:line="360" w:lineRule="auto"/>
        <w:rPr>
          <w:rFonts w:ascii="Times New Roman" w:hAnsi="Times New Roman" w:cs="Times New Roman"/>
        </w:rPr>
      </w:pPr>
    </w:p>
    <w:p w14:paraId="709208F3" w14:textId="77777777" w:rsidR="00E35877" w:rsidRDefault="00E35877" w:rsidP="00E35877">
      <w:pPr>
        <w:spacing w:line="360" w:lineRule="auto"/>
        <w:rPr>
          <w:rFonts w:ascii="Times New Roman" w:hAnsi="Times New Roman" w:cs="Times New Roman"/>
        </w:rPr>
      </w:pPr>
    </w:p>
    <w:p w14:paraId="7BE0901E" w14:textId="004128A1" w:rsidR="00E35877" w:rsidRDefault="00E35877" w:rsidP="00E35877">
      <w:pPr>
        <w:spacing w:line="360" w:lineRule="auto"/>
        <w:rPr>
          <w:rFonts w:ascii="Times New Roman" w:hAnsi="Times New Roman" w:cs="Times New Roman"/>
        </w:rPr>
      </w:pPr>
    </w:p>
    <w:p w14:paraId="5EC05DC3" w14:textId="14D9E14E" w:rsidR="00687B88" w:rsidRDefault="00687B88" w:rsidP="00E35877">
      <w:pPr>
        <w:spacing w:line="360" w:lineRule="auto"/>
        <w:rPr>
          <w:rFonts w:ascii="Times New Roman" w:hAnsi="Times New Roman" w:cs="Times New Roman"/>
        </w:rPr>
      </w:pPr>
    </w:p>
    <w:p w14:paraId="2D47B004" w14:textId="77777777" w:rsidR="00E35877" w:rsidRPr="00792096" w:rsidRDefault="00E35877" w:rsidP="00E35877">
      <w:pPr>
        <w:spacing w:line="360" w:lineRule="auto"/>
        <w:rPr>
          <w:rFonts w:ascii="Times New Roman" w:hAnsi="Times New Roman" w:cs="Times New Roman"/>
          <w:b/>
        </w:rPr>
      </w:pPr>
    </w:p>
    <w:p w14:paraId="0EAFAAF8" w14:textId="0F222DE7" w:rsidR="00E35877" w:rsidRPr="00687B88" w:rsidRDefault="00E35877" w:rsidP="00687B88">
      <w:pPr>
        <w:spacing w:line="480" w:lineRule="auto"/>
        <w:rPr>
          <w:rFonts w:ascii="Arial" w:hAnsi="Arial" w:cs="Arial"/>
          <w:b/>
        </w:rPr>
      </w:pPr>
      <w:r w:rsidRPr="00687B88">
        <w:rPr>
          <w:rFonts w:ascii="Arial" w:hAnsi="Arial" w:cs="Arial"/>
          <w:b/>
        </w:rPr>
        <w:t>Permiso de reproducción, uso y archivo</w:t>
      </w:r>
    </w:p>
    <w:p w14:paraId="06546BBE" w14:textId="77777777" w:rsidR="00E35877" w:rsidRPr="00687B88" w:rsidRDefault="00E35877" w:rsidP="00687B88">
      <w:pPr>
        <w:spacing w:line="480" w:lineRule="auto"/>
        <w:rPr>
          <w:rFonts w:ascii="Arial" w:hAnsi="Arial" w:cs="Arial"/>
        </w:rPr>
      </w:pPr>
      <w:r w:rsidRPr="00687B88">
        <w:rPr>
          <w:rFonts w:ascii="Arial" w:hAnsi="Arial" w:cs="Arial"/>
        </w:rPr>
        <w:t xml:space="preserve">© Se autoriza la reproducción de fragmentos de esta obra para fines académicos o de investigación, siempre que se incluya la referencia bibliográfica </w:t>
      </w:r>
    </w:p>
    <w:p w14:paraId="384B237F" w14:textId="553B3DEB" w:rsidR="00E35877" w:rsidRDefault="00687B88" w:rsidP="00687B88">
      <w:pPr>
        <w:jc w:val="center"/>
        <w:rPr>
          <w:rFonts w:ascii="Times New Roman" w:hAnsi="Times New Roman" w:cs="Times New Roman"/>
        </w:rPr>
      </w:pPr>
      <w:r w:rsidRPr="00687B88">
        <w:rPr>
          <w:rFonts w:ascii="Times New Roman" w:hAnsi="Times New Roman" w:cs="Times New Roman"/>
          <w:color w:val="808080" w:themeColor="background1" w:themeShade="80"/>
        </w:rPr>
        <w:t>viii</w:t>
      </w:r>
      <w:r w:rsidR="00E35877">
        <w:rPr>
          <w:rFonts w:ascii="Times New Roman" w:hAnsi="Times New Roman" w:cs="Times New Roman"/>
        </w:rPr>
        <w:br w:type="page"/>
      </w:r>
    </w:p>
    <w:p w14:paraId="7DC079D2" w14:textId="20A65D1D" w:rsidR="00C77397" w:rsidRPr="00687B88" w:rsidRDefault="00E35877" w:rsidP="00C77397">
      <w:pPr>
        <w:spacing w:line="360" w:lineRule="auto"/>
        <w:rPr>
          <w:rFonts w:ascii="Arial" w:hAnsi="Arial" w:cs="Arial"/>
          <w:b/>
        </w:rPr>
      </w:pPr>
      <w:r w:rsidRPr="00687B88">
        <w:rPr>
          <w:rFonts w:ascii="Arial" w:hAnsi="Arial" w:cs="Arial"/>
          <w:b/>
        </w:rPr>
        <w:t>Tabla de contenidos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036"/>
      </w:tblGrid>
      <w:tr w:rsidR="00E35877" w:rsidRPr="00687B88" w14:paraId="7FFA3C67" w14:textId="77777777" w:rsidTr="00114D71">
        <w:tc>
          <w:tcPr>
            <w:tcW w:w="7508" w:type="dxa"/>
            <w:tcBorders>
              <w:bottom w:val="single" w:sz="4" w:space="0" w:color="auto"/>
            </w:tcBorders>
          </w:tcPr>
          <w:p w14:paraId="558D2C6C" w14:textId="700E9694" w:rsidR="00E35877" w:rsidRPr="00687B88" w:rsidRDefault="00E35877" w:rsidP="00114D71">
            <w:pPr>
              <w:spacing w:line="480" w:lineRule="auto"/>
              <w:rPr>
                <w:rFonts w:ascii="Arial" w:hAnsi="Arial" w:cs="Arial"/>
                <w:b/>
              </w:rPr>
            </w:pPr>
            <w:r w:rsidRPr="00687B88">
              <w:rPr>
                <w:rFonts w:ascii="Arial" w:hAnsi="Arial" w:cs="Arial"/>
                <w:b/>
              </w:rPr>
              <w:t xml:space="preserve">RESUMEN </w:t>
            </w:r>
          </w:p>
        </w:tc>
        <w:tc>
          <w:tcPr>
            <w:tcW w:w="1036" w:type="dxa"/>
            <w:tcBorders>
              <w:bottom w:val="single" w:sz="4" w:space="0" w:color="auto"/>
            </w:tcBorders>
          </w:tcPr>
          <w:p w14:paraId="23EE1722" w14:textId="233D11A9" w:rsidR="00E35877" w:rsidRPr="00D6481C" w:rsidRDefault="00687B88" w:rsidP="00D6481C">
            <w:pPr>
              <w:spacing w:line="480" w:lineRule="auto"/>
              <w:jc w:val="center"/>
              <w:rPr>
                <w:rFonts w:ascii="Arial" w:hAnsi="Arial" w:cs="Arial"/>
              </w:rPr>
            </w:pPr>
            <w:r w:rsidRPr="00D6481C">
              <w:rPr>
                <w:rFonts w:ascii="Arial" w:hAnsi="Arial" w:cs="Arial"/>
              </w:rPr>
              <w:t>ii</w:t>
            </w:r>
            <w:r w:rsidR="00D6481C" w:rsidRPr="00D6481C">
              <w:rPr>
                <w:rFonts w:ascii="Arial" w:hAnsi="Arial" w:cs="Arial"/>
              </w:rPr>
              <w:t xml:space="preserve"> – </w:t>
            </w:r>
            <w:r w:rsidRPr="00D6481C">
              <w:rPr>
                <w:rFonts w:ascii="Arial" w:hAnsi="Arial" w:cs="Arial"/>
              </w:rPr>
              <w:t>vii</w:t>
            </w:r>
          </w:p>
        </w:tc>
      </w:tr>
      <w:tr w:rsidR="00E35877" w:rsidRPr="00687B88" w14:paraId="6B0197E0" w14:textId="77777777" w:rsidTr="00114D71">
        <w:tc>
          <w:tcPr>
            <w:tcW w:w="7508" w:type="dxa"/>
            <w:tcBorders>
              <w:top w:val="single" w:sz="4" w:space="0" w:color="auto"/>
              <w:bottom w:val="single" w:sz="4" w:space="0" w:color="auto"/>
            </w:tcBorders>
          </w:tcPr>
          <w:p w14:paraId="3DEC3F71" w14:textId="0E160F8D" w:rsidR="00E35877" w:rsidRPr="00687B88" w:rsidRDefault="00E35877" w:rsidP="00114D71">
            <w:pPr>
              <w:spacing w:line="480" w:lineRule="auto"/>
              <w:rPr>
                <w:rFonts w:ascii="Arial" w:hAnsi="Arial" w:cs="Arial"/>
                <w:b/>
              </w:rPr>
            </w:pPr>
            <w:r w:rsidRPr="00687B88">
              <w:rPr>
                <w:rFonts w:ascii="Arial" w:hAnsi="Arial" w:cs="Arial"/>
                <w:b/>
              </w:rPr>
              <w:t>INTRODUCCIÓN</w:t>
            </w:r>
          </w:p>
        </w:tc>
        <w:tc>
          <w:tcPr>
            <w:tcW w:w="1036" w:type="dxa"/>
            <w:tcBorders>
              <w:top w:val="single" w:sz="4" w:space="0" w:color="auto"/>
              <w:bottom w:val="single" w:sz="4" w:space="0" w:color="auto"/>
            </w:tcBorders>
          </w:tcPr>
          <w:p w14:paraId="2B4AADFD" w14:textId="10C890FE" w:rsidR="00E35877" w:rsidRPr="00D6481C" w:rsidRDefault="00D6481C" w:rsidP="00D6481C">
            <w:pPr>
              <w:spacing w:line="480" w:lineRule="auto"/>
              <w:jc w:val="center"/>
              <w:rPr>
                <w:rFonts w:ascii="Arial" w:hAnsi="Arial" w:cs="Arial"/>
              </w:rPr>
            </w:pPr>
            <w:r w:rsidRPr="00D6481C">
              <w:rPr>
                <w:rFonts w:ascii="Arial" w:hAnsi="Arial" w:cs="Arial"/>
              </w:rPr>
              <w:t>1 – 3</w:t>
            </w:r>
          </w:p>
        </w:tc>
      </w:tr>
      <w:tr w:rsidR="00E35877" w:rsidRPr="00687B88" w14:paraId="0B8DCE0B" w14:textId="77777777" w:rsidTr="00114D71">
        <w:tc>
          <w:tcPr>
            <w:tcW w:w="7508" w:type="dxa"/>
            <w:tcBorders>
              <w:top w:val="single" w:sz="4" w:space="0" w:color="auto"/>
              <w:bottom w:val="single" w:sz="4" w:space="0" w:color="auto"/>
            </w:tcBorders>
          </w:tcPr>
          <w:p w14:paraId="372C6BD4" w14:textId="04237D27" w:rsidR="00E35877" w:rsidRPr="00687B88" w:rsidRDefault="00E35877" w:rsidP="00114D71">
            <w:pPr>
              <w:spacing w:line="480" w:lineRule="auto"/>
              <w:rPr>
                <w:rFonts w:ascii="Arial" w:hAnsi="Arial" w:cs="Arial"/>
                <w:b/>
              </w:rPr>
            </w:pPr>
            <w:r w:rsidRPr="00687B88">
              <w:rPr>
                <w:rFonts w:ascii="Arial" w:hAnsi="Arial" w:cs="Arial"/>
                <w:b/>
              </w:rPr>
              <w:t>MÉTODOS</w:t>
            </w:r>
          </w:p>
        </w:tc>
        <w:tc>
          <w:tcPr>
            <w:tcW w:w="1036" w:type="dxa"/>
            <w:tcBorders>
              <w:top w:val="single" w:sz="4" w:space="0" w:color="auto"/>
              <w:bottom w:val="single" w:sz="4" w:space="0" w:color="auto"/>
            </w:tcBorders>
          </w:tcPr>
          <w:p w14:paraId="3E317CCE" w14:textId="2D5A64B2" w:rsidR="00E35877" w:rsidRPr="00D6481C" w:rsidRDefault="00D6481C" w:rsidP="00D6481C">
            <w:pPr>
              <w:spacing w:line="480" w:lineRule="auto"/>
              <w:jc w:val="center"/>
              <w:rPr>
                <w:rFonts w:ascii="Arial" w:hAnsi="Arial" w:cs="Arial"/>
              </w:rPr>
            </w:pPr>
            <w:r w:rsidRPr="00D6481C">
              <w:rPr>
                <w:rFonts w:ascii="Arial" w:hAnsi="Arial" w:cs="Arial"/>
              </w:rPr>
              <w:t>4 – 9</w:t>
            </w:r>
          </w:p>
        </w:tc>
      </w:tr>
      <w:tr w:rsidR="00E35877" w:rsidRPr="00687B88" w14:paraId="24736454" w14:textId="77777777" w:rsidTr="00114D71">
        <w:tc>
          <w:tcPr>
            <w:tcW w:w="7508" w:type="dxa"/>
            <w:tcBorders>
              <w:top w:val="single" w:sz="4" w:space="0" w:color="auto"/>
              <w:bottom w:val="single" w:sz="4" w:space="0" w:color="auto"/>
            </w:tcBorders>
          </w:tcPr>
          <w:p w14:paraId="5A26425A" w14:textId="689BA4BF" w:rsidR="00E35877" w:rsidRPr="00687B88" w:rsidRDefault="00E35877" w:rsidP="00114D71">
            <w:pPr>
              <w:spacing w:line="480" w:lineRule="auto"/>
              <w:rPr>
                <w:rFonts w:ascii="Arial" w:hAnsi="Arial" w:cs="Arial"/>
                <w:b/>
              </w:rPr>
            </w:pPr>
            <w:r w:rsidRPr="00687B88">
              <w:rPr>
                <w:rFonts w:ascii="Arial" w:hAnsi="Arial" w:cs="Arial"/>
                <w:b/>
              </w:rPr>
              <w:t>RESULTADOS</w:t>
            </w:r>
          </w:p>
        </w:tc>
        <w:tc>
          <w:tcPr>
            <w:tcW w:w="1036" w:type="dxa"/>
            <w:tcBorders>
              <w:top w:val="single" w:sz="4" w:space="0" w:color="auto"/>
              <w:bottom w:val="single" w:sz="4" w:space="0" w:color="auto"/>
            </w:tcBorders>
          </w:tcPr>
          <w:p w14:paraId="08CC660B" w14:textId="7FD1B5F7" w:rsidR="00E35877" w:rsidRPr="00D6481C" w:rsidRDefault="00D6481C" w:rsidP="00D6481C">
            <w:pPr>
              <w:spacing w:line="480" w:lineRule="auto"/>
              <w:jc w:val="center"/>
              <w:rPr>
                <w:rFonts w:ascii="Arial" w:hAnsi="Arial" w:cs="Arial"/>
              </w:rPr>
            </w:pPr>
            <w:r w:rsidRPr="00D6481C">
              <w:rPr>
                <w:rFonts w:ascii="Arial" w:hAnsi="Arial" w:cs="Arial"/>
              </w:rPr>
              <w:t>9 – 10</w:t>
            </w:r>
          </w:p>
        </w:tc>
      </w:tr>
      <w:tr w:rsidR="00E35877" w:rsidRPr="00687B88" w14:paraId="1F7AA086" w14:textId="77777777" w:rsidTr="00114D71">
        <w:tc>
          <w:tcPr>
            <w:tcW w:w="7508" w:type="dxa"/>
            <w:tcBorders>
              <w:top w:val="single" w:sz="4" w:space="0" w:color="auto"/>
              <w:bottom w:val="single" w:sz="4" w:space="0" w:color="auto"/>
            </w:tcBorders>
          </w:tcPr>
          <w:p w14:paraId="79DCA40F" w14:textId="0CF03BDC" w:rsidR="00E35877" w:rsidRPr="00687B88" w:rsidRDefault="00E35877" w:rsidP="00114D71">
            <w:pPr>
              <w:spacing w:line="480" w:lineRule="auto"/>
              <w:rPr>
                <w:rFonts w:ascii="Arial" w:hAnsi="Arial" w:cs="Arial"/>
                <w:b/>
              </w:rPr>
            </w:pPr>
            <w:r w:rsidRPr="00687B88">
              <w:rPr>
                <w:rFonts w:ascii="Arial" w:hAnsi="Arial" w:cs="Arial"/>
                <w:b/>
              </w:rPr>
              <w:t>DISCUSIÓN</w:t>
            </w:r>
          </w:p>
        </w:tc>
        <w:tc>
          <w:tcPr>
            <w:tcW w:w="1036" w:type="dxa"/>
            <w:tcBorders>
              <w:top w:val="single" w:sz="4" w:space="0" w:color="auto"/>
              <w:bottom w:val="single" w:sz="4" w:space="0" w:color="auto"/>
            </w:tcBorders>
          </w:tcPr>
          <w:p w14:paraId="208EC079" w14:textId="7FD5BC9A" w:rsidR="00E35877" w:rsidRPr="00D6481C" w:rsidRDefault="00D6481C" w:rsidP="00D6481C">
            <w:pPr>
              <w:spacing w:line="480" w:lineRule="auto"/>
              <w:jc w:val="center"/>
              <w:rPr>
                <w:rFonts w:ascii="Arial" w:hAnsi="Arial" w:cs="Arial"/>
              </w:rPr>
            </w:pPr>
            <w:r w:rsidRPr="00D6481C">
              <w:rPr>
                <w:rFonts w:ascii="Arial" w:hAnsi="Arial" w:cs="Arial"/>
              </w:rPr>
              <w:t>11 – 13</w:t>
            </w:r>
          </w:p>
        </w:tc>
      </w:tr>
      <w:tr w:rsidR="00E35877" w:rsidRPr="00687B88" w14:paraId="7EEC3CC6" w14:textId="77777777" w:rsidTr="00114D71">
        <w:tc>
          <w:tcPr>
            <w:tcW w:w="7508" w:type="dxa"/>
            <w:tcBorders>
              <w:top w:val="single" w:sz="4" w:space="0" w:color="auto"/>
              <w:bottom w:val="single" w:sz="4" w:space="0" w:color="auto"/>
            </w:tcBorders>
          </w:tcPr>
          <w:p w14:paraId="3E6D01DB" w14:textId="467724C4" w:rsidR="00E35877" w:rsidRPr="00687B88" w:rsidRDefault="00E35877" w:rsidP="00114D71">
            <w:pPr>
              <w:spacing w:line="480" w:lineRule="auto"/>
              <w:rPr>
                <w:rFonts w:ascii="Arial" w:hAnsi="Arial" w:cs="Arial"/>
                <w:b/>
              </w:rPr>
            </w:pPr>
            <w:r w:rsidRPr="00687B88">
              <w:rPr>
                <w:rFonts w:ascii="Arial" w:hAnsi="Arial" w:cs="Arial"/>
                <w:b/>
              </w:rPr>
              <w:t>CON</w:t>
            </w:r>
            <w:r w:rsidR="00114D71">
              <w:rPr>
                <w:rFonts w:ascii="Arial" w:hAnsi="Arial" w:cs="Arial"/>
                <w:b/>
              </w:rPr>
              <w:t>C</w:t>
            </w:r>
            <w:r w:rsidRPr="00687B88">
              <w:rPr>
                <w:rFonts w:ascii="Arial" w:hAnsi="Arial" w:cs="Arial"/>
                <w:b/>
              </w:rPr>
              <w:t>LUSIÓN</w:t>
            </w:r>
          </w:p>
        </w:tc>
        <w:tc>
          <w:tcPr>
            <w:tcW w:w="1036" w:type="dxa"/>
            <w:tcBorders>
              <w:top w:val="single" w:sz="4" w:space="0" w:color="auto"/>
              <w:bottom w:val="single" w:sz="4" w:space="0" w:color="auto"/>
            </w:tcBorders>
          </w:tcPr>
          <w:p w14:paraId="76ED0BD7" w14:textId="195116CB" w:rsidR="00E35877" w:rsidRPr="00D6481C" w:rsidRDefault="00D6481C" w:rsidP="00D6481C">
            <w:pPr>
              <w:spacing w:line="480" w:lineRule="auto"/>
              <w:jc w:val="center"/>
              <w:rPr>
                <w:rFonts w:ascii="Arial" w:hAnsi="Arial" w:cs="Arial"/>
              </w:rPr>
            </w:pPr>
            <w:r w:rsidRPr="00D6481C">
              <w:rPr>
                <w:rFonts w:ascii="Arial" w:hAnsi="Arial" w:cs="Arial"/>
              </w:rPr>
              <w:t>14</w:t>
            </w:r>
          </w:p>
        </w:tc>
      </w:tr>
      <w:tr w:rsidR="00E35877" w:rsidRPr="00687B88" w14:paraId="16E2C6D2" w14:textId="77777777" w:rsidTr="00114D71">
        <w:trPr>
          <w:trHeight w:val="431"/>
        </w:trPr>
        <w:tc>
          <w:tcPr>
            <w:tcW w:w="7508" w:type="dxa"/>
            <w:tcBorders>
              <w:top w:val="single" w:sz="4" w:space="0" w:color="auto"/>
              <w:bottom w:val="single" w:sz="4" w:space="0" w:color="auto"/>
            </w:tcBorders>
          </w:tcPr>
          <w:p w14:paraId="47E479EE" w14:textId="63CA52A9" w:rsidR="00E35877" w:rsidRPr="00687B88" w:rsidRDefault="00E35877" w:rsidP="00114D71">
            <w:pPr>
              <w:spacing w:line="480" w:lineRule="auto"/>
              <w:rPr>
                <w:rFonts w:ascii="Arial" w:hAnsi="Arial" w:cs="Arial"/>
                <w:b/>
              </w:rPr>
            </w:pPr>
            <w:r w:rsidRPr="00687B88">
              <w:rPr>
                <w:rFonts w:ascii="Arial" w:hAnsi="Arial" w:cs="Arial"/>
                <w:b/>
              </w:rPr>
              <w:t>REFERENCIAS</w:t>
            </w:r>
          </w:p>
        </w:tc>
        <w:tc>
          <w:tcPr>
            <w:tcW w:w="1036" w:type="dxa"/>
            <w:tcBorders>
              <w:top w:val="single" w:sz="4" w:space="0" w:color="auto"/>
              <w:bottom w:val="single" w:sz="4" w:space="0" w:color="auto"/>
            </w:tcBorders>
          </w:tcPr>
          <w:p w14:paraId="23267EFF" w14:textId="45B16C23" w:rsidR="00E35877" w:rsidRPr="00D6481C" w:rsidRDefault="00D6481C" w:rsidP="00D6481C">
            <w:pPr>
              <w:spacing w:line="480" w:lineRule="auto"/>
              <w:jc w:val="center"/>
              <w:rPr>
                <w:rFonts w:ascii="Arial" w:hAnsi="Arial" w:cs="Arial"/>
              </w:rPr>
            </w:pPr>
            <w:r w:rsidRPr="00D6481C">
              <w:rPr>
                <w:rFonts w:ascii="Arial" w:hAnsi="Arial" w:cs="Arial"/>
              </w:rPr>
              <w:t>21 – 27</w:t>
            </w:r>
          </w:p>
        </w:tc>
      </w:tr>
      <w:tr w:rsidR="00114D71" w:rsidRPr="00687B88" w14:paraId="763DDE76" w14:textId="77777777" w:rsidTr="00114D71">
        <w:trPr>
          <w:trHeight w:val="431"/>
        </w:trPr>
        <w:tc>
          <w:tcPr>
            <w:tcW w:w="7508" w:type="dxa"/>
            <w:tcBorders>
              <w:top w:val="single" w:sz="4" w:space="0" w:color="auto"/>
              <w:bottom w:val="single" w:sz="4" w:space="0" w:color="auto"/>
            </w:tcBorders>
          </w:tcPr>
          <w:p w14:paraId="115AE974" w14:textId="1E51DAC8" w:rsidR="00114D71" w:rsidRDefault="00114D71" w:rsidP="00114D71">
            <w:pPr>
              <w:spacing w:line="480" w:lineRule="auto"/>
              <w:rPr>
                <w:rFonts w:ascii="Arial" w:hAnsi="Arial" w:cs="Arial"/>
                <w:b/>
              </w:rPr>
            </w:pPr>
            <w:r>
              <w:rPr>
                <w:rFonts w:ascii="Arial" w:hAnsi="Arial" w:cs="Arial"/>
                <w:b/>
              </w:rPr>
              <w:t>ILUSTRACIONES: FIGURAS</w:t>
            </w:r>
          </w:p>
          <w:p w14:paraId="01EE7509" w14:textId="77777777" w:rsidR="00114D71" w:rsidRDefault="00114D71" w:rsidP="00114D71">
            <w:pPr>
              <w:spacing w:line="480" w:lineRule="auto"/>
              <w:rPr>
                <w:rFonts w:ascii="Arial" w:hAnsi="Arial" w:cs="Arial"/>
              </w:rPr>
            </w:pPr>
            <w:r w:rsidRPr="00D6481C">
              <w:rPr>
                <w:rFonts w:ascii="Arial" w:hAnsi="Arial" w:cs="Arial"/>
                <w:b/>
              </w:rPr>
              <w:t>Figura 1.</w:t>
            </w:r>
            <w:r>
              <w:rPr>
                <w:rFonts w:ascii="Arial" w:hAnsi="Arial" w:cs="Arial"/>
              </w:rPr>
              <w:t xml:space="preserve"> </w:t>
            </w:r>
            <w:r w:rsidRPr="00114D71">
              <w:rPr>
                <w:rFonts w:ascii="Arial" w:hAnsi="Arial" w:cs="Arial"/>
              </w:rPr>
              <w:t>Definición de los quiebres de inactividad durante la</w:t>
            </w:r>
            <w:r>
              <w:rPr>
                <w:rFonts w:ascii="Arial" w:hAnsi="Arial" w:cs="Arial"/>
              </w:rPr>
              <w:t xml:space="preserve"> </w:t>
            </w:r>
            <w:r w:rsidRPr="00114D71">
              <w:rPr>
                <w:rFonts w:ascii="Arial" w:hAnsi="Arial" w:cs="Arial"/>
              </w:rPr>
              <w:t>monitorización de actigrafía en la UCI.</w:t>
            </w:r>
          </w:p>
          <w:p w14:paraId="0152AB9F" w14:textId="77777777" w:rsidR="00114D71" w:rsidRPr="00114D71" w:rsidRDefault="00114D71" w:rsidP="00114D71">
            <w:pPr>
              <w:spacing w:line="480" w:lineRule="auto"/>
              <w:rPr>
                <w:rFonts w:ascii="Arial" w:hAnsi="Arial" w:cs="Arial"/>
              </w:rPr>
            </w:pPr>
            <w:r w:rsidRPr="00D6481C">
              <w:rPr>
                <w:rFonts w:ascii="Arial" w:hAnsi="Arial" w:cs="Arial"/>
                <w:b/>
              </w:rPr>
              <w:t>Figura 2.</w:t>
            </w:r>
            <w:r w:rsidRPr="00114D71">
              <w:rPr>
                <w:rFonts w:ascii="Arial" w:hAnsi="Arial" w:cs="Arial"/>
              </w:rPr>
              <w:t xml:space="preserve"> Número de quiebres de inactividad según duración durante los primeros diez días desde el despertar del paciente A.</w:t>
            </w:r>
          </w:p>
          <w:p w14:paraId="37FF65EA" w14:textId="0BDF7494" w:rsidR="00114D71" w:rsidRPr="00114D71" w:rsidRDefault="00114D71" w:rsidP="00114D71">
            <w:pPr>
              <w:spacing w:line="480" w:lineRule="auto"/>
              <w:jc w:val="both"/>
              <w:rPr>
                <w:rFonts w:ascii="Times New Roman" w:hAnsi="Times New Roman" w:cs="Times New Roman"/>
              </w:rPr>
            </w:pPr>
            <w:r w:rsidRPr="00114D71">
              <w:rPr>
                <w:rFonts w:ascii="Arial" w:hAnsi="Arial" w:cs="Arial"/>
                <w:b/>
              </w:rPr>
              <w:t xml:space="preserve">Figura 3. </w:t>
            </w:r>
            <w:r w:rsidRPr="00114D71">
              <w:rPr>
                <w:rFonts w:ascii="Arial" w:hAnsi="Arial" w:cs="Arial"/>
              </w:rPr>
              <w:t>Número de quiebres de inactividad según duración durante los primeros diez días desde el despertar del paciente B.</w:t>
            </w:r>
          </w:p>
        </w:tc>
        <w:tc>
          <w:tcPr>
            <w:tcW w:w="1036" w:type="dxa"/>
            <w:tcBorders>
              <w:top w:val="single" w:sz="4" w:space="0" w:color="auto"/>
              <w:bottom w:val="single" w:sz="4" w:space="0" w:color="auto"/>
            </w:tcBorders>
          </w:tcPr>
          <w:p w14:paraId="6B15AC3C" w14:textId="77777777" w:rsidR="00114D71" w:rsidRPr="00D6481C" w:rsidRDefault="00114D71" w:rsidP="00D6481C">
            <w:pPr>
              <w:spacing w:line="480" w:lineRule="auto"/>
              <w:jc w:val="center"/>
              <w:rPr>
                <w:rFonts w:ascii="Arial" w:hAnsi="Arial" w:cs="Arial"/>
              </w:rPr>
            </w:pPr>
          </w:p>
          <w:p w14:paraId="6A95B37A" w14:textId="428E4EDC" w:rsidR="00D6481C" w:rsidRPr="00D6481C" w:rsidRDefault="00D6481C" w:rsidP="00D6481C">
            <w:pPr>
              <w:spacing w:line="480" w:lineRule="auto"/>
              <w:jc w:val="center"/>
              <w:rPr>
                <w:rFonts w:ascii="Arial" w:hAnsi="Arial" w:cs="Arial"/>
              </w:rPr>
            </w:pPr>
            <w:r w:rsidRPr="00D6481C">
              <w:rPr>
                <w:rFonts w:ascii="Arial" w:hAnsi="Arial" w:cs="Arial"/>
              </w:rPr>
              <w:t>15 – 16</w:t>
            </w:r>
          </w:p>
          <w:p w14:paraId="5BB37B4A" w14:textId="48DF4D99" w:rsidR="00D6481C" w:rsidRPr="00D6481C" w:rsidRDefault="00D6481C" w:rsidP="00D6481C">
            <w:pPr>
              <w:spacing w:line="480" w:lineRule="auto"/>
              <w:jc w:val="center"/>
              <w:rPr>
                <w:rFonts w:ascii="Arial" w:hAnsi="Arial" w:cs="Arial"/>
              </w:rPr>
            </w:pPr>
          </w:p>
          <w:p w14:paraId="39B0B02A" w14:textId="08001641" w:rsidR="00D6481C" w:rsidRPr="00D6481C" w:rsidRDefault="00D6481C" w:rsidP="00D6481C">
            <w:pPr>
              <w:spacing w:line="480" w:lineRule="auto"/>
              <w:jc w:val="center"/>
              <w:rPr>
                <w:rFonts w:ascii="Arial" w:hAnsi="Arial" w:cs="Arial"/>
              </w:rPr>
            </w:pPr>
            <w:r w:rsidRPr="00D6481C">
              <w:rPr>
                <w:rFonts w:ascii="Arial" w:hAnsi="Arial" w:cs="Arial"/>
              </w:rPr>
              <w:t>19</w:t>
            </w:r>
          </w:p>
          <w:p w14:paraId="06625FCF" w14:textId="0702316A" w:rsidR="00D6481C" w:rsidRPr="00D6481C" w:rsidRDefault="00D6481C" w:rsidP="00D6481C">
            <w:pPr>
              <w:spacing w:line="480" w:lineRule="auto"/>
              <w:jc w:val="center"/>
              <w:rPr>
                <w:rFonts w:ascii="Arial" w:hAnsi="Arial" w:cs="Arial"/>
              </w:rPr>
            </w:pPr>
          </w:p>
          <w:p w14:paraId="7A2E5F3C" w14:textId="3F97A233" w:rsidR="00D6481C" w:rsidRPr="00D6481C" w:rsidRDefault="00D6481C" w:rsidP="00D6481C">
            <w:pPr>
              <w:spacing w:line="480" w:lineRule="auto"/>
              <w:jc w:val="center"/>
              <w:rPr>
                <w:rFonts w:ascii="Arial" w:hAnsi="Arial" w:cs="Arial"/>
              </w:rPr>
            </w:pPr>
            <w:r w:rsidRPr="00D6481C">
              <w:rPr>
                <w:rFonts w:ascii="Arial" w:hAnsi="Arial" w:cs="Arial"/>
              </w:rPr>
              <w:t>20</w:t>
            </w:r>
          </w:p>
          <w:p w14:paraId="5BF58D62" w14:textId="0C134E67" w:rsidR="00D6481C" w:rsidRPr="00D6481C" w:rsidRDefault="00D6481C" w:rsidP="00D6481C">
            <w:pPr>
              <w:spacing w:line="480" w:lineRule="auto"/>
              <w:jc w:val="center"/>
              <w:rPr>
                <w:rFonts w:ascii="Arial" w:hAnsi="Arial" w:cs="Arial"/>
              </w:rPr>
            </w:pPr>
          </w:p>
        </w:tc>
      </w:tr>
      <w:tr w:rsidR="00114D71" w:rsidRPr="00687B88" w14:paraId="4E87B2A0" w14:textId="77777777" w:rsidTr="00114D71">
        <w:trPr>
          <w:trHeight w:val="431"/>
        </w:trPr>
        <w:tc>
          <w:tcPr>
            <w:tcW w:w="7508" w:type="dxa"/>
            <w:tcBorders>
              <w:top w:val="single" w:sz="4" w:space="0" w:color="auto"/>
              <w:bottom w:val="single" w:sz="4" w:space="0" w:color="auto"/>
            </w:tcBorders>
          </w:tcPr>
          <w:p w14:paraId="0C24B5C7" w14:textId="06AFBC6B" w:rsidR="00114D71" w:rsidRDefault="00114D71" w:rsidP="00114D71">
            <w:pPr>
              <w:spacing w:line="480" w:lineRule="auto"/>
              <w:rPr>
                <w:rFonts w:ascii="Arial" w:hAnsi="Arial" w:cs="Arial"/>
                <w:b/>
              </w:rPr>
            </w:pPr>
            <w:r>
              <w:rPr>
                <w:rFonts w:ascii="Arial" w:hAnsi="Arial" w:cs="Arial"/>
                <w:b/>
              </w:rPr>
              <w:t xml:space="preserve">ILUSTRACIONES: </w:t>
            </w:r>
            <w:r w:rsidR="00D6481C">
              <w:rPr>
                <w:rFonts w:ascii="Arial" w:hAnsi="Arial" w:cs="Arial"/>
                <w:b/>
              </w:rPr>
              <w:t>TABLAS</w:t>
            </w:r>
          </w:p>
          <w:p w14:paraId="33A7B070" w14:textId="77777777" w:rsidR="00114D71" w:rsidRDefault="00114D71" w:rsidP="00114D71">
            <w:pPr>
              <w:spacing w:line="480" w:lineRule="auto"/>
              <w:rPr>
                <w:rFonts w:ascii="Arial" w:hAnsi="Arial" w:cs="Arial"/>
              </w:rPr>
            </w:pPr>
            <w:r w:rsidRPr="00114D71">
              <w:rPr>
                <w:rFonts w:ascii="Arial" w:hAnsi="Arial" w:cs="Arial"/>
              </w:rPr>
              <w:t>Tabla 1. Características de los pacientes</w:t>
            </w:r>
          </w:p>
          <w:p w14:paraId="45EA7BA4" w14:textId="1687F655" w:rsidR="00114D71" w:rsidRPr="00114D71" w:rsidRDefault="00114D71" w:rsidP="00114D71">
            <w:pPr>
              <w:spacing w:line="480" w:lineRule="auto"/>
              <w:rPr>
                <w:rFonts w:ascii="Arial" w:hAnsi="Arial" w:cs="Arial"/>
              </w:rPr>
            </w:pPr>
            <w:r w:rsidRPr="00114D71">
              <w:rPr>
                <w:rFonts w:ascii="Arial" w:hAnsi="Arial" w:cs="Arial"/>
              </w:rPr>
              <w:t>Tabla 2. Número de quiebres de inactividad según duración durante los primeros diez días desde el despertar.</w:t>
            </w:r>
          </w:p>
        </w:tc>
        <w:tc>
          <w:tcPr>
            <w:tcW w:w="1036" w:type="dxa"/>
            <w:tcBorders>
              <w:top w:val="single" w:sz="4" w:space="0" w:color="auto"/>
              <w:bottom w:val="single" w:sz="4" w:space="0" w:color="auto"/>
            </w:tcBorders>
          </w:tcPr>
          <w:p w14:paraId="4F9627F5" w14:textId="1EDC1BD5" w:rsidR="00D6481C" w:rsidRPr="00D6481C" w:rsidRDefault="00D6481C" w:rsidP="00D6481C">
            <w:pPr>
              <w:spacing w:line="480" w:lineRule="auto"/>
              <w:jc w:val="center"/>
              <w:rPr>
                <w:rFonts w:ascii="Arial" w:hAnsi="Arial" w:cs="Arial"/>
              </w:rPr>
            </w:pPr>
          </w:p>
          <w:p w14:paraId="7D246E60" w14:textId="68742716" w:rsidR="00D6481C" w:rsidRPr="00D6481C" w:rsidRDefault="00D6481C" w:rsidP="00D6481C">
            <w:pPr>
              <w:jc w:val="center"/>
              <w:rPr>
                <w:rFonts w:ascii="Arial" w:hAnsi="Arial" w:cs="Arial"/>
              </w:rPr>
            </w:pPr>
            <w:r w:rsidRPr="00D6481C">
              <w:rPr>
                <w:rFonts w:ascii="Arial" w:hAnsi="Arial" w:cs="Arial"/>
              </w:rPr>
              <w:t>16 – 17</w:t>
            </w:r>
          </w:p>
          <w:p w14:paraId="364B0FF9" w14:textId="78B081DF" w:rsidR="00D6481C" w:rsidRPr="00D6481C" w:rsidRDefault="00D6481C" w:rsidP="00D6481C">
            <w:pPr>
              <w:jc w:val="center"/>
              <w:rPr>
                <w:rFonts w:ascii="Arial" w:hAnsi="Arial" w:cs="Arial"/>
              </w:rPr>
            </w:pPr>
          </w:p>
          <w:p w14:paraId="26732D9E" w14:textId="2B0D03E0" w:rsidR="00114D71" w:rsidRPr="00D6481C" w:rsidRDefault="00D6481C" w:rsidP="00D6481C">
            <w:pPr>
              <w:jc w:val="center"/>
              <w:rPr>
                <w:rFonts w:ascii="Arial" w:hAnsi="Arial" w:cs="Arial"/>
              </w:rPr>
            </w:pPr>
            <w:r w:rsidRPr="00D6481C">
              <w:rPr>
                <w:rFonts w:ascii="Arial" w:hAnsi="Arial" w:cs="Arial"/>
              </w:rPr>
              <w:t>18</w:t>
            </w:r>
          </w:p>
        </w:tc>
      </w:tr>
    </w:tbl>
    <w:p w14:paraId="2AC9FC9A" w14:textId="20D7BC7A" w:rsidR="008C06D2" w:rsidRPr="00687B88" w:rsidRDefault="008C06D2" w:rsidP="00C77397">
      <w:pPr>
        <w:spacing w:line="360" w:lineRule="auto"/>
        <w:rPr>
          <w:rFonts w:ascii="Arial" w:hAnsi="Arial" w:cs="Arial"/>
          <w:b/>
        </w:rPr>
      </w:pPr>
      <w:r w:rsidRPr="00687B88">
        <w:rPr>
          <w:rFonts w:ascii="Arial" w:hAnsi="Arial" w:cs="Arial"/>
          <w:b/>
        </w:rPr>
        <w:br w:type="page"/>
      </w:r>
    </w:p>
    <w:p w14:paraId="21EC6CD3" w14:textId="796F3DD1" w:rsidR="00C44859" w:rsidRPr="00687B88" w:rsidRDefault="008C06D2" w:rsidP="00687B88">
      <w:pPr>
        <w:spacing w:line="480" w:lineRule="auto"/>
        <w:jc w:val="both"/>
        <w:rPr>
          <w:rFonts w:ascii="Arial" w:hAnsi="Arial" w:cs="Arial"/>
          <w:b/>
        </w:rPr>
      </w:pPr>
      <w:r w:rsidRPr="00687B88">
        <w:rPr>
          <w:rFonts w:ascii="Arial" w:hAnsi="Arial" w:cs="Arial"/>
          <w:b/>
        </w:rPr>
        <w:t>Introducción</w:t>
      </w:r>
    </w:p>
    <w:p w14:paraId="10D21578" w14:textId="1257C36A" w:rsidR="003511BD" w:rsidRPr="00687B88" w:rsidRDefault="001F2561" w:rsidP="00687B88">
      <w:pPr>
        <w:spacing w:line="480" w:lineRule="auto"/>
        <w:jc w:val="both"/>
        <w:rPr>
          <w:rFonts w:ascii="Arial" w:hAnsi="Arial" w:cs="Arial"/>
        </w:rPr>
      </w:pPr>
      <w:r w:rsidRPr="00687B88">
        <w:rPr>
          <w:rFonts w:ascii="Arial" w:hAnsi="Arial" w:cs="Arial"/>
        </w:rPr>
        <w:t>Los pacientes de la unidad de cuidados intensivos (UCI) se ven expuestos a largos periodos de reposo en cama</w:t>
      </w:r>
      <w:r w:rsidR="0041477D" w:rsidRPr="00687B88">
        <w:rPr>
          <w:rFonts w:ascii="Arial" w:hAnsi="Arial" w:cs="Arial"/>
        </w:rPr>
        <w:fldChar w:fldCharType="begin" w:fldLock="1"/>
      </w:r>
      <w:r w:rsidR="003037EE" w:rsidRPr="00687B88">
        <w:rPr>
          <w:rFonts w:ascii="Arial" w:hAnsi="Arial" w:cs="Arial"/>
        </w:rPr>
        <w:instrText>ADDIN CSL_CITATION {"citationItems":[{"id":"ITEM-1","itemData":{"DOI":"10.1097/CCM.0000000000003299","ISSN":"15300293","abstract":"OBJECTIVE: To update and expand the 2013 Clinical Practice Guidelines for the Management of Pain, Agitation, and Delirium in Adult Patients in the ICU. DESIGN: Thirty-two international experts, four methodologists, and four critical illness survivors met virtually at least monthly. All section groups gathered face-to-face at annual Society of Critical Care Medicine congresses; virtual connections included those unable to attend. A formal conflict of interest policy was developed a priori and enforced throughout the process. Teleconferences and electronic discussions among subgroups and whole panel were part of the guidelines' development. A general content review was completed face-to-face by all panel members in January 2017. METHODS: Content experts, methodologists, and ICU survivors were represented in each of the five sections of the guidelines: Pain, Agitation/sedation, Delirium, Immobility (mobilization/rehabilitation), and Sleep (disruption). Each section created Population, Intervention, Comparison, and Outcome, and nonactionable, descriptive questions based on perceived clinical relevance. The guideline group then voted their ranking, and patients prioritized their importance. For each Population, Intervention, Comparison, and Outcome question, sections searched the best available evidence, determined its quality, and formulated recommendations as \"strong,\" \"conditional,\" or \"good\" practice statements based on Grading of Recommendations Assessment, Development and Evaluation principles. In addition, evidence gaps and clinical caveats were explicitly identified. RESULTS: The Pain, Agitation/Sedation, Delirium, Immobility (mobilization/rehabilitation), and Sleep (disruption) panel issued 37 recommendations (three strong and 34 conditional), two good practice statements, and 32 ungraded, nonactionable statements. Three questions from the patient-centered prioritized question list remained without recommendation. CONCLUSIONS: We found substantial agreement among a large, interdisciplinary cohort of international experts regarding evidence supporting recommendations, and the remaining literature gaps in the assessment, prevention, and treatment of Pain, Agitation/sedation, Delirium, Immobility (mobilization/rehabilitation), and Sleep (disruption) in critically ill adults. Highlighting this evidence and the research needs will improve Pain, Agitation/sedation, Delirium, Immobility (mobilization/rehabilitation), and Sleep (disruption) management and p…","author":[{"dropping-particle":"","family":"Devlin","given":"John W.","non-dropping-particle":"","parse-names":false,"suffix":""},{"dropping-particle":"","family":"Skrobik","given":"Yoanna","non-dropping-particle":"","parse-names":false,"suffix":""},{"dropping-particle":"","family":"Gélinas","given":"Céline","non-dropping-particle":"","parse-names":false,"suffix":""},{"dropping-particle":"","family":"Needham","given":"Dale M.","non-dropping-particle":"","parse-names":false,"suffix":""},{"dropping-particle":"","family":"Slooter","given":"Arjen J.C.","non-dropping-particle":"","parse-names":false,"suffix":""},{"dropping-particle":"","family":"Pandharipande","given":"Pratik P.","non-dropping-particle":"","parse-names":false,"suffix":""},{"dropping-particle":"","family":"Watson","given":"Paula L.","non-dropping-particle":"","parse-names":false,"suffix":""},{"dropping-particle":"","family":"Weinhouse","given":"Gerald L.","non-dropping-particle":"","parse-names":false,"suffix":""},{"dropping-particle":"","family":"Nunnally","given":"Mark E.","non-dropping-particle":"","parse-names":false,"suffix":""},{"dropping-particle":"","family":"Rochwerg","given":"Bram","non-dropping-particle":"","parse-names":false,"suffix":""},{"dropping-particle":"","family":"Balas","given":"Michele C.","non-dropping-particle":"","parse-names":false,"suffix":""},{"dropping-particle":"","family":"Boogaard","given":"Mark","non-dropping-particle":"van den","parse-names":false,"suffix":""},{"dropping-particle":"","family":"Bosma","given":"Karen J.","non-dropping-particle":"","parse-names":false,"suffix":""},{"dropping-particle":"","family":"Brummel","given":"Nathaniel E.","non-dropping-particle":"","parse-names":false,"suffix":""},{"dropping-particle":"","family":"Chanques","given":"Gerald","non-dropping-particle":"","parse-names":false,"suffix":""},{"dropping-particle":"","family":"Denehy","given":"Linda","non-dropping-particle":"","parse-names":false,"suffix":""},{"dropping-particle":"","family":"Drouot","given":"Xavier","non-dropping-particle":"","parse-names":false,"suffix":""},{"dropping-particle":"","family":"Fraser","given":"Gilles L.","non-dropping-particle":"","parse-names":false,"suffix":""},{"dropping-particle":"","family":"Harris","given":"Jocelyn E.","non-dropping-particle":"","parse-names":false,"suffix":""},{"dropping-particle":"","family":"Joffe","given":"Aaron M.","non-dropping-particle":"","parse-names":false,"suffix":""},{"dropping-particle":"","family":"Kho","given":"Michelle E.","non-dropping-particle":"","parse-names":false,"suffix":""},{"dropping-particle":"","family":"Kress","given":"John P.","non-dropping-particle":"","parse-names":false,"suffix":""},{"dropping-particle":"","family":"Lanphere","given":"Julie A.","non-dropping-particle":"","parse-names":false,"suffix":""},{"dropping-particle":"","family":"McKinley","given":"Sharon","non-dropping-particle":"","parse-names":false,"suffix":""},{"dropping-particle":"","family":"Neufeld","given":"Karin J.","non-dropping-particle":"","parse-names":false,"suffix":""},{"dropping-particle":"","family":"Pisani","given":"Margaret A.","non-dropping-particle":"","parse-names":false,"suffix":""},{"dropping-particle":"","family":"Payen","given":"Jean Francois","non-dropping-particle":"","parse-names":false,"suffix":""},{"dropping-particle":"","family":"Pun","given":"Brenda T.","non-dropping-particle":"","parse-names":false,"suffix":""},{"dropping-particle":"","family":"Puntillo","given":"Kathleen A.","non-dropping-particle":"","parse-names":false,"suffix":""},{"dropping-particle":"","family":"Riker","given":"Richard R.","non-dropping-particle":"","parse-names":false,"suffix":""},{"dropping-particle":"","family":"Robinson","given":"Bryce R.H.","non-dropping-particle":"","parse-names":false,"suffix":""},{"dropping-particle":"","family":"Shehabi","given":"Yahya","non-dropping-particle":"","parse-names":false,"suffix":""},{"dropping-particle":"","family":"Szumita","given":"Paul M.","non-dropping-particle":"","parse-names":false,"suffix":""},{"dropping-particle":"","family":"Winkelman","given":"Chris","non-dropping-particle":"","parse-names":false,"suffix":""},{"dropping-particle":"","family":"Centofanti","given":"John E.","non-dropping-particle":"","parse-names":false,"suffix":""},{"dropping-particle":"","family":"Price","given":"Carrie","non-dropping-particle":"","parse-names":false,"suffix":""},{"dropping-particle":"","family":"Nikayin","given":"Sina","non-dropping-particle":"","parse-names":false,"suffix":""},{"dropping-particle":"","family":"Misak","given":"Cheryl J.","non-dropping-particle":"","parse-names":false,"suffix":""},{"dropping-particle":"","family":"Flood","given":"Pamela D.","non-dropping-particle":"","parse-names":false,"suffix":""},{"dropping-particle":"","family":"Kiedrowski","given":"Ken","non-dropping-particle":"","parse-names":false,"suffix":""},{"dropping-particle":"","family":"Alhazzani","given":"Waleed","non-dropping-particle":"","parse-names":false,"suffix":""}],"container-title":"Critical care medicine","id":"ITEM-1","issued":{"date-parts":[["2018"]]},"title":"Clinical Practice Guidelines for the Prevention and Management of Pain, Agitation/Sedation, Delirium, Immobility, and Sleep Disruption in Adult Patients in the ICU","type":"article-journal"},"uris":["http://www.mendeley.com/documents/?uuid=73343138-89cc-480f-918b-bb07a4481851"]}],"mendeley":{"formattedCitation":"[1]","plainTextFormattedCitation":"[1]","previouslyFormattedCitation":"[1]"},"properties":{"noteIndex":0},"schema":"https://github.com/citation-style-language/schema/raw/master/csl-citation.json"}</w:instrText>
      </w:r>
      <w:r w:rsidR="0041477D" w:rsidRPr="00687B88">
        <w:rPr>
          <w:rFonts w:ascii="Arial" w:hAnsi="Arial" w:cs="Arial"/>
        </w:rPr>
        <w:fldChar w:fldCharType="separate"/>
      </w:r>
      <w:r w:rsidR="004B2EA2" w:rsidRPr="00687B88">
        <w:rPr>
          <w:rFonts w:ascii="Arial" w:hAnsi="Arial" w:cs="Arial"/>
          <w:noProof/>
        </w:rPr>
        <w:t>[1]</w:t>
      </w:r>
      <w:r w:rsidR="0041477D" w:rsidRPr="00687B88">
        <w:rPr>
          <w:rFonts w:ascii="Arial" w:hAnsi="Arial" w:cs="Arial"/>
        </w:rPr>
        <w:fldChar w:fldCharType="end"/>
      </w:r>
      <w:r w:rsidRPr="00687B88">
        <w:rPr>
          <w:rFonts w:ascii="Arial" w:hAnsi="Arial" w:cs="Arial"/>
        </w:rPr>
        <w:t xml:space="preserve">. </w:t>
      </w:r>
      <w:r w:rsidR="00290031" w:rsidRPr="00687B88">
        <w:rPr>
          <w:rFonts w:ascii="Arial" w:hAnsi="Arial" w:cs="Arial"/>
        </w:rPr>
        <w:t xml:space="preserve">Durante la primera semana desde </w:t>
      </w:r>
      <w:r w:rsidR="00C75717" w:rsidRPr="00687B88">
        <w:rPr>
          <w:rFonts w:ascii="Arial" w:hAnsi="Arial" w:cs="Arial"/>
        </w:rPr>
        <w:t xml:space="preserve">el ingreso </w:t>
      </w:r>
      <w:r w:rsidR="00290031" w:rsidRPr="00687B88">
        <w:rPr>
          <w:rFonts w:ascii="Arial" w:hAnsi="Arial" w:cs="Arial"/>
        </w:rPr>
        <w:t>a</w:t>
      </w:r>
      <w:r w:rsidR="00C75717" w:rsidRPr="00687B88">
        <w:rPr>
          <w:rFonts w:ascii="Arial" w:hAnsi="Arial" w:cs="Arial"/>
        </w:rPr>
        <w:t xml:space="preserve"> la</w:t>
      </w:r>
      <w:r w:rsidR="00290031" w:rsidRPr="00687B88">
        <w:rPr>
          <w:rFonts w:ascii="Arial" w:hAnsi="Arial" w:cs="Arial"/>
        </w:rPr>
        <w:t xml:space="preserve"> UCI los pacientes pueden perder cerca de un 2% de masa muscular por día</w:t>
      </w:r>
      <w:r w:rsidR="0041477D" w:rsidRPr="00687B88">
        <w:rPr>
          <w:rFonts w:ascii="Arial" w:hAnsi="Arial" w:cs="Arial"/>
        </w:rPr>
        <w:fldChar w:fldCharType="begin" w:fldLock="1"/>
      </w:r>
      <w:r w:rsidR="003037EE" w:rsidRPr="00687B88">
        <w:rPr>
          <w:rFonts w:ascii="Arial" w:hAnsi="Arial" w:cs="Arial"/>
        </w:rPr>
        <w:instrText>ADDIN CSL_CITATION {"citationItems":[{"id":"ITEM-1","itemData":{"DOI":"10.1186/s13054-022-04253-0","ISSN":"1466609X","PMID":"36597123","abstract":"Background: Patients with critical illness can lose more than 15% of muscle mass in one week, and this can have long-term detrimental effects. However, there is currently no synthesis of the data of intensive care unit (ICU) muscle wasting studies, so the true mean rate of muscle loss across all studies is unknown. The aim of this project was therefore to systematically synthetise data on the rate of muscle loss and to identify the methods used to measure muscle size and to synthetise data on the prevalence of ICU-acquired weakness in critically ill patients. Methods: We conducted a systematic literature search of MEDLINE, PubMed, AMED, BNI, CINAHL, and EMCARE until January 2022 (International Prospective Register of Systematic Reviews [PROSPERO] registration: CRD420222989540. We included studies with at least 20 adult critically ill patients where the investigators measured a muscle mass-related variable at two time points during the ICU stay. We followed Preferred Reporting Items for Systematic Reviews and Meta-Analyses (PRISMA) guidelines and assessed the study quality using the Newcastle–Ottawa Scale. Results: Fifty-two studies that included 3251 patients fulfilled the selection criteria. These studies investigated the rate of muscle wasting in 1773 (55%) patients and assessed ICU-acquired muscle weakness in 1478 (45%) patients. The methods used to assess muscle mass were ultrasound in 85% (n = 28/33) of the studies and computed tomography in the rest 15% (n = 5/33). During the first week of critical illness, patients lost every day −1.75% (95% CI −2.05, −1.45) of their rectus femoris thickness or −2.10% (95% CI −3.17, −1.02) of rectus femoris cross-sectional area. The overall prevalence of ICU-acquired weakness was 48% (95% CI 39%, 56%). Conclusion: On average, critically ill patients lose nearly 2% of skeletal muscle per day during the first week of ICU admission.","author":[{"dropping-particle":"","family":"Fazzini","given":"Brigitta","non-dropping-particle":"","parse-names":false,"suffix":""},{"dropping-particle":"","family":"Märkl","given":"Tobias","non-dropping-particle":"","parse-names":false,"suffix":""},{"dropping-particle":"","family":"Costas","given":"Christos","non-dropping-particle":"","parse-names":false,"suffix":""},{"dropping-particle":"","family":"Blobner","given":"Manfred","non-dropping-particle":"","parse-names":false,"suffix":""},{"dropping-particle":"","family":"Schaller","given":"Stefan J.","non-dropping-particle":"","parse-names":false,"suffix":""},{"dropping-particle":"","family":"Prowle","given":"John","non-dropping-particle":"","parse-names":false,"suffix":""},{"dropping-particle":"","family":"Puthucheary","given":"Zudin","non-dropping-particle":"","parse-names":false,"suffix":""},{"dropping-particle":"","family":"Wackerhage","given":"Henning","non-dropping-particle":"","parse-names":false,"suffix":""}],"container-title":"Critical Care","id":"ITEM-1","issue":"1","issued":{"date-parts":[["2023"]]},"page":"1-26","publisher":"BioMed Central","title":"The rate and assessment of muscle wasting during critical illness: a systematic review and meta-analysis","type":"article-journal","volume":"27"},"uris":["http://www.mendeley.com/documents/?uuid=266edb53-5a0a-4082-8eb6-e4c09f56f03a"]}],"mendeley":{"formattedCitation":"[2]","plainTextFormattedCitation":"[2]","previouslyFormattedCitation":"[2]"},"properties":{"noteIndex":0},"schema":"https://github.com/citation-style-language/schema/raw/master/csl-citation.json"}</w:instrText>
      </w:r>
      <w:r w:rsidR="0041477D" w:rsidRPr="00687B88">
        <w:rPr>
          <w:rFonts w:ascii="Arial" w:hAnsi="Arial" w:cs="Arial"/>
        </w:rPr>
        <w:fldChar w:fldCharType="separate"/>
      </w:r>
      <w:r w:rsidR="004B2EA2" w:rsidRPr="00687B88">
        <w:rPr>
          <w:rFonts w:ascii="Arial" w:hAnsi="Arial" w:cs="Arial"/>
          <w:noProof/>
        </w:rPr>
        <w:t>[2]</w:t>
      </w:r>
      <w:r w:rsidR="0041477D" w:rsidRPr="00687B88">
        <w:rPr>
          <w:rFonts w:ascii="Arial" w:hAnsi="Arial" w:cs="Arial"/>
        </w:rPr>
        <w:fldChar w:fldCharType="end"/>
      </w:r>
      <w:r w:rsidR="00C75717" w:rsidRPr="00687B88">
        <w:rPr>
          <w:rFonts w:ascii="Arial" w:hAnsi="Arial" w:cs="Arial"/>
        </w:rPr>
        <w:t xml:space="preserve">, desarrollando </w:t>
      </w:r>
      <w:r w:rsidR="00290031" w:rsidRPr="00687B88">
        <w:rPr>
          <w:rFonts w:ascii="Arial" w:hAnsi="Arial" w:cs="Arial"/>
        </w:rPr>
        <w:t>consecuencias significativas durante su hospitalización en el sistema musculoesquelético, cardiovascular, respiratorio y otros sistemas corporales</w:t>
      </w:r>
      <w:r w:rsidR="0041477D" w:rsidRPr="00687B88">
        <w:rPr>
          <w:rFonts w:ascii="Arial" w:hAnsi="Arial" w:cs="Arial"/>
        </w:rPr>
        <w:fldChar w:fldCharType="begin" w:fldLock="1"/>
      </w:r>
      <w:r w:rsidR="003037EE" w:rsidRPr="00687B88">
        <w:rPr>
          <w:rFonts w:ascii="Arial" w:hAnsi="Arial" w:cs="Arial"/>
        </w:rPr>
        <w:instrText>ADDIN CSL_CITATION {"citationItems":[{"id":"ITEM-1","itemData":{"DOI":"10.1186/s13728-015-0036-7","ISSN":"20467648","abstract":"Prolonged immobility is harmful with rapid reductions in muscle mass, bone mineral density and impairment in other body systems evident within the first week of bed rest which is further exacerbated in individuals with critical illness. Our understanding of the aetiology and secondary consequences of prolonged immobilization in the critically ill is improving with recent and ongoing research to establish the cause, effect, and best treatment options. This review aims to describe the current literature on bed rest models for examining immobilization-induced changes in the musculoskeletal system and pathophysiology of immobilisation in critical illness including examination of intracellular signalling processes involved. Finally, the review examines the current barriers to early activity and mobilization and potential rehabilitation strategies, which are being, investigated which may reverse the effects of prolonged bed rest. Addressing the deleterious effects of immobilization is a major step in treatment and prevention of the public health issue, that is, critical illness survivorship.","author":[{"dropping-particle":"","family":"Parry","given":"Selina M.","non-dropping-particle":"","parse-names":false,"suffix":""},{"dropping-particle":"","family":"Puthucheary","given":"Zudin A.","non-dropping-particle":"","parse-names":false,"suffix":""}],"container-title":"Extreme Physiology and Medicine","id":"ITEM-1","issue":"1","issued":{"date-parts":[["2015"]]},"page":"1-8","publisher":"BioMed Central","title":"The impact of extended bed rest on the musculoskeletal system in the critical care environment","type":"article-journal","volume":"4"},"uris":["http://www.mendeley.com/documents/?uuid=590a1756-d47a-467f-ac9b-9ed48f1ea553"]}],"mendeley":{"formattedCitation":"[3]","plainTextFormattedCitation":"[3]","previouslyFormattedCitation":"[3]"},"properties":{"noteIndex":0},"schema":"https://github.com/citation-style-language/schema/raw/master/csl-citation.json"}</w:instrText>
      </w:r>
      <w:r w:rsidR="0041477D" w:rsidRPr="00687B88">
        <w:rPr>
          <w:rFonts w:ascii="Arial" w:hAnsi="Arial" w:cs="Arial"/>
        </w:rPr>
        <w:fldChar w:fldCharType="separate"/>
      </w:r>
      <w:r w:rsidR="004B2EA2" w:rsidRPr="00687B88">
        <w:rPr>
          <w:rFonts w:ascii="Arial" w:hAnsi="Arial" w:cs="Arial"/>
          <w:noProof/>
        </w:rPr>
        <w:t>[3]</w:t>
      </w:r>
      <w:r w:rsidR="0041477D" w:rsidRPr="00687B88">
        <w:rPr>
          <w:rFonts w:ascii="Arial" w:hAnsi="Arial" w:cs="Arial"/>
        </w:rPr>
        <w:fldChar w:fldCharType="end"/>
      </w:r>
      <w:r w:rsidR="00290031" w:rsidRPr="00687B88">
        <w:rPr>
          <w:rFonts w:ascii="Arial" w:hAnsi="Arial" w:cs="Arial"/>
        </w:rPr>
        <w:t>.</w:t>
      </w:r>
      <w:r w:rsidR="006A05F1" w:rsidRPr="00687B88">
        <w:rPr>
          <w:rFonts w:ascii="Arial" w:hAnsi="Arial" w:cs="Arial"/>
        </w:rPr>
        <w:t xml:space="preserve"> Por otro lado, l</w:t>
      </w:r>
      <w:r w:rsidRPr="00687B88">
        <w:rPr>
          <w:rFonts w:ascii="Arial" w:hAnsi="Arial" w:cs="Arial"/>
        </w:rPr>
        <w:t xml:space="preserve">a inmovilidad se ha descrito como factor de riesgo importante de </w:t>
      </w:r>
      <w:r w:rsidR="006A05F1" w:rsidRPr="00687B88">
        <w:rPr>
          <w:rFonts w:ascii="Arial" w:hAnsi="Arial" w:cs="Arial"/>
        </w:rPr>
        <w:t>d</w:t>
      </w:r>
      <w:r w:rsidRPr="00687B88">
        <w:rPr>
          <w:rFonts w:ascii="Arial" w:hAnsi="Arial" w:cs="Arial"/>
        </w:rPr>
        <w:t xml:space="preserve">ebilidad </w:t>
      </w:r>
      <w:r w:rsidR="006A05F1" w:rsidRPr="00687B88">
        <w:rPr>
          <w:rFonts w:ascii="Arial" w:hAnsi="Arial" w:cs="Arial"/>
        </w:rPr>
        <w:t>a</w:t>
      </w:r>
      <w:r w:rsidRPr="00687B88">
        <w:rPr>
          <w:rFonts w:ascii="Arial" w:hAnsi="Arial" w:cs="Arial"/>
        </w:rPr>
        <w:t>dquirida en la UCI (DA-UCI)</w:t>
      </w:r>
      <w:r w:rsidR="0041477D" w:rsidRPr="00687B88">
        <w:rPr>
          <w:rFonts w:ascii="Arial" w:hAnsi="Arial" w:cs="Arial"/>
        </w:rPr>
        <w:fldChar w:fldCharType="begin" w:fldLock="1"/>
      </w:r>
      <w:r w:rsidR="003037EE" w:rsidRPr="00687B88">
        <w:rPr>
          <w:rFonts w:ascii="Arial" w:hAnsi="Arial" w:cs="Arial"/>
        </w:rPr>
        <w:instrText>ADDIN CSL_CITATION {"citationItems":[{"id":"ITEM-1","itemData":{"DOI":"10.1097/CCM.0000000000003299","ISSN":"15300293","abstract":"OBJECTIVE: To update and expand the 2013 Clinical Practice Guidelines for the Management of Pain, Agitation, and Delirium in Adult Patients in the ICU. DESIGN: Thirty-two international experts, four methodologists, and four critical illness survivors met virtually at least monthly. All section groups gathered face-to-face at annual Society of Critical Care Medicine congresses; virtual connections included those unable to attend. A formal conflict of interest policy was developed a priori and enforced throughout the process. Teleconferences and electronic discussions among subgroups and whole panel were part of the guidelines' development. A general content review was completed face-to-face by all panel members in January 2017. METHODS: Content experts, methodologists, and ICU survivors were represented in each of the five sections of the guidelines: Pain, Agitation/sedation, Delirium, Immobility (mobilization/rehabilitation), and Sleep (disruption). Each section created Population, Intervention, Comparison, and Outcome, and nonactionable, descriptive questions based on perceived clinical relevance. The guideline group then voted their ranking, and patients prioritized their importance. For each Population, Intervention, Comparison, and Outcome question, sections searched the best available evidence, determined its quality, and formulated recommendations as \"strong,\" \"conditional,\" or \"good\" practice statements based on Grading of Recommendations Assessment, Development and Evaluation principles. In addition, evidence gaps and clinical caveats were explicitly identified. RESULTS: The Pain, Agitation/Sedation, Delirium, Immobility (mobilization/rehabilitation), and Sleep (disruption) panel issued 37 recommendations (three strong and 34 conditional), two good practice statements, and 32 ungraded, nonactionable statements. Three questions from the patient-centered prioritized question list remained without recommendation. CONCLUSIONS: We found substantial agreement among a large, interdisciplinary cohort of international experts regarding evidence supporting recommendations, and the remaining literature gaps in the assessment, prevention, and treatment of Pain, Agitation/sedation, Delirium, Immobility (mobilization/rehabilitation), and Sleep (disruption) in critically ill adults. Highlighting this evidence and the research needs will improve Pain, Agitation/sedation, Delirium, Immobility (mobilization/rehabilitation), and Sleep (disruption) management and p…","author":[{"dropping-particle":"","family":"Devlin","given":"John W.","non-dropping-particle":"","parse-names":false,"suffix":""},{"dropping-particle":"","family":"Skrobik","given":"Yoanna","non-dropping-particle":"","parse-names":false,"suffix":""},{"dropping-particle":"","family":"Gélinas","given":"Céline","non-dropping-particle":"","parse-names":false,"suffix":""},{"dropping-particle":"","family":"Needham","given":"Dale M.","non-dropping-particle":"","parse-names":false,"suffix":""},{"dropping-particle":"","family":"Slooter","given":"Arjen J.C.","non-dropping-particle":"","parse-names":false,"suffix":""},{"dropping-particle":"","family":"Pandharipande","given":"Pratik P.","non-dropping-particle":"","parse-names":false,"suffix":""},{"dropping-particle":"","family":"Watson","given":"Paula L.","non-dropping-particle":"","parse-names":false,"suffix":""},{"dropping-particle":"","family":"Weinhouse","given":"Gerald L.","non-dropping-particle":"","parse-names":false,"suffix":""},{"dropping-particle":"","family":"Nunnally","given":"Mark E.","non-dropping-particle":"","parse-names":false,"suffix":""},{"dropping-particle":"","family":"Rochwerg","given":"Bram","non-dropping-particle":"","parse-names":false,"suffix":""},{"dropping-particle":"","family":"Balas","given":"Michele C.","non-dropping-particle":"","parse-names":false,"suffix":""},{"dropping-particle":"","family":"Boogaard","given":"Mark","non-dropping-particle":"van den","parse-names":false,"suffix":""},{"dropping-particle":"","family":"Bosma","given":"Karen J.","non-dropping-particle":"","parse-names":false,"suffix":""},{"dropping-particle":"","family":"Brummel","given":"Nathaniel E.","non-dropping-particle":"","parse-names":false,"suffix":""},{"dropping-particle":"","family":"Chanques","given":"Gerald","non-dropping-particle":"","parse-names":false,"suffix":""},{"dropping-particle":"","family":"Denehy","given":"Linda","non-dropping-particle":"","parse-names":false,"suffix":""},{"dropping-particle":"","family":"Drouot","given":"Xavier","non-dropping-particle":"","parse-names":false,"suffix":""},{"dropping-particle":"","family":"Fraser","given":"Gilles L.","non-dropping-particle":"","parse-names":false,"suffix":""},{"dropping-particle":"","family":"Harris","given":"Jocelyn E.","non-dropping-particle":"","parse-names":false,"suffix":""},{"dropping-particle":"","family":"Joffe","given":"Aaron M.","non-dropping-particle":"","parse-names":false,"suffix":""},{"dropping-particle":"","family":"Kho","given":"Michelle E.","non-dropping-particle":"","parse-names":false,"suffix":""},{"dropping-particle":"","family":"Kress","given":"John P.","non-dropping-particle":"","parse-names":false,"suffix":""},{"dropping-particle":"","family":"Lanphere","given":"Julie A.","non-dropping-particle":"","parse-names":false,"suffix":""},{"dropping-particle":"","family":"McKinley","given":"Sharon","non-dropping-particle":"","parse-names":false,"suffix":""},{"dropping-particle":"","family":"Neufeld","given":"Karin J.","non-dropping-particle":"","parse-names":false,"suffix":""},{"dropping-particle":"","family":"Pisani","given":"Margaret A.","non-dropping-particle":"","parse-names":false,"suffix":""},{"dropping-particle":"","family":"Payen","given":"Jean Francois","non-dropping-particle":"","parse-names":false,"suffix":""},{"dropping-particle":"","family":"Pun","given":"Brenda T.","non-dropping-particle":"","parse-names":false,"suffix":""},{"dropping-particle":"","family":"Puntillo","given":"Kathleen A.","non-dropping-particle":"","parse-names":false,"suffix":""},{"dropping-particle":"","family":"Riker","given":"Richard R.","non-dropping-particle":"","parse-names":false,"suffix":""},{"dropping-particle":"","family":"Robinson","given":"Bryce R.H.","non-dropping-particle":"","parse-names":false,"suffix":""},{"dropping-particle":"","family":"Shehabi","given":"Yahya","non-dropping-particle":"","parse-names":false,"suffix":""},{"dropping-particle":"","family":"Szumita","given":"Paul M.","non-dropping-particle":"","parse-names":false,"suffix":""},{"dropping-particle":"","family":"Winkelman","given":"Chris","non-dropping-particle":"","parse-names":false,"suffix":""},{"dropping-particle":"","family":"Centofanti","given":"John E.","non-dropping-particle":"","parse-names":false,"suffix":""},{"dropping-particle":"","family":"Price","given":"Carrie","non-dropping-particle":"","parse-names":false,"suffix":""},{"dropping-particle":"","family":"Nikayin","given":"Sina","non-dropping-particle":"","parse-names":false,"suffix":""},{"dropping-particle":"","family":"Misak","given":"Cheryl J.","non-dropping-particle":"","parse-names":false,"suffix":""},{"dropping-particle":"","family":"Flood","given":"Pamela D.","non-dropping-particle":"","parse-names":false,"suffix":""},{"dropping-particle":"","family":"Kiedrowski","given":"Ken","non-dropping-particle":"","parse-names":false,"suffix":""},{"dropping-particle":"","family":"Alhazzani","given":"Waleed","non-dropping-particle":"","parse-names":false,"suffix":""}],"container-title":"Critical care medicine","id":"ITEM-1","issued":{"date-parts":[["2018"]]},"title":"Clinical Practice Guidelines for the Prevention and Management of Pain, Agitation/Sedation, Delirium, Immobility, and Sleep Disruption in Adult Patients in the ICU","type":"article-journal"},"uris":["http://www.mendeley.com/documents/?uuid=73343138-89cc-480f-918b-bb07a4481851"]},{"id":"ITEM-2","itemData":{"DOI":"10.1007/s00134-020-05944-4","ISSN":"14321238","PMID":"32076765","abstract":"Critically ill patients often acquire neuropathy and/or myopathy labeled ICU-acquired weakness. The current insights into incidence, pathophysiology, diagnostic tools, risk factors, short- and long-term consequences and management of ICU-acquired weakness are narratively reviewed. PubMed was searched for combinations of “neuropathy”, “myopathy”, “neuromyopathy”, or “weakness” with “critical illness”, “critically ill”, “ICU”, “PICU”, “sepsis” or “burn”. ICU-acquired weakness affects limb and respiratory muscles with a widely varying prevalence depending on the study population. Pathophysiology remains incompletely understood but comprises complex structural/functional alterations within myofibers and neurons. Clinical and electrophysiological tools are used for diagnosis, each with advantages and limitations. Risk factors include age, weight, comorbidities, illness severity, organ failure, exposure to drugs negatively affecting myofibers and neurons, immobility and other intensive care-related factors. ICU-acquired weakness increases risk of in-ICU, in-hospital and long-term mortality, duration of mechanical ventilation and of hospitalization and augments healthcare-related costs, increases likelihood of prolonged care in rehabilitation centers and reduces physical function and quality of life in the long term. RCTs have shown preventive impact of avoiding hyperglycemia, of omitting early parenteral nutrition use and of minimizing sedation. Results of studies investigating the impact of early mobilization, neuromuscular electrical stimulation and of pharmacological interventions were inconsistent, with recent systematic reviews/meta-analyses revealing no or only low-quality evidence for benefit. ICU-acquired weakness predisposes to adverse short- and long-term outcomes. Only a few preventive, but no therapeutic, strategies exist. Further mechanistic research is needed to identify new targets for interventions to be tested in adequately powered RCTs.","author":[{"dropping-particle":"","family":"Vanhorebeek","given":"Ilse","non-dropping-particle":"","parse-names":false,"suffix":""},{"dropping-particle":"","family":"Latronico","given":"Nicola","non-dropping-particle":"","parse-names":false,"suffix":""},{"dropping-particle":"","family":"Berghe","given":"Greet","non-dropping-particle":"Van den","parse-names":false,"suffix":""}],"container-title":"Intensive Care Medicine","id":"ITEM-2","issued":{"date-parts":[["2020"]]},"title":"ICU-acquired weakness","type":"article"},"uris":["http://www.mendeley.com/documents/?uuid=646ea644-f104-4986-ac23-d03f163774c2"]}],"mendeley":{"formattedCitation":"[1,4]","plainTextFormattedCitation":"[1,4]","previouslyFormattedCitation":"[1,4]"},"properties":{"noteIndex":0},"schema":"https://github.com/citation-style-language/schema/raw/master/csl-citation.json"}</w:instrText>
      </w:r>
      <w:r w:rsidR="0041477D" w:rsidRPr="00687B88">
        <w:rPr>
          <w:rFonts w:ascii="Arial" w:hAnsi="Arial" w:cs="Arial"/>
        </w:rPr>
        <w:fldChar w:fldCharType="separate"/>
      </w:r>
      <w:r w:rsidR="004B2EA2" w:rsidRPr="00687B88">
        <w:rPr>
          <w:rFonts w:ascii="Arial" w:hAnsi="Arial" w:cs="Arial"/>
          <w:noProof/>
        </w:rPr>
        <w:t>[1,4]</w:t>
      </w:r>
      <w:r w:rsidR="0041477D" w:rsidRPr="00687B88">
        <w:rPr>
          <w:rFonts w:ascii="Arial" w:hAnsi="Arial" w:cs="Arial"/>
        </w:rPr>
        <w:fldChar w:fldCharType="end"/>
      </w:r>
      <w:r w:rsidRPr="00687B88">
        <w:rPr>
          <w:rFonts w:ascii="Arial" w:hAnsi="Arial" w:cs="Arial"/>
        </w:rPr>
        <w:t xml:space="preserve"> y puede estar presente en </w:t>
      </w:r>
      <w:r w:rsidR="004D5CFC" w:rsidRPr="00687B88">
        <w:rPr>
          <w:rFonts w:ascii="Arial" w:hAnsi="Arial" w:cs="Arial"/>
        </w:rPr>
        <w:t>aproximadamente</w:t>
      </w:r>
      <w:r w:rsidRPr="00687B88">
        <w:rPr>
          <w:rFonts w:ascii="Arial" w:hAnsi="Arial" w:cs="Arial"/>
        </w:rPr>
        <w:t xml:space="preserve"> un 40% de los pacientes críticos</w:t>
      </w:r>
      <w:r w:rsidR="0041477D" w:rsidRPr="00687B88">
        <w:rPr>
          <w:rFonts w:ascii="Arial" w:hAnsi="Arial" w:cs="Arial"/>
        </w:rPr>
        <w:fldChar w:fldCharType="begin" w:fldLock="1"/>
      </w:r>
      <w:r w:rsidR="003037EE" w:rsidRPr="00687B88">
        <w:rPr>
          <w:rFonts w:ascii="Arial" w:hAnsi="Arial" w:cs="Arial"/>
        </w:rPr>
        <w:instrText>ADDIN CSL_CITATION {"citationItems":[{"id":"ITEM-1","itemData":{"DOI":"10.1111/ane.12964","ISSN":"16000404","PMID":"29845614","abstract":"Intensive care unit-acquired weakness (ICUAW) occurs frequently in the context of critical illness without alternative plausible cause and specific treatment options, and it is important to identify and summarize the independent risk factors for ICUAW. PubMed, Embase, Central, China Biological Medicine, China National Knowledge Infrastructure, VIP and Wanfang databases were searched from database inception until 10 July 2017. Prospective cohort studies on adult ICU patients who were diagnosed with ICUAW using either clinical or electrophysiological criteria were selected. Meta-analysis was performed using Stata version 12.0. The results were analysed using odds ratios (OR) and 95% confidence intervals (CI). Data were pooled using a random-effects model, and heterogeneity was assessed using the I2 statistic. Qualitative analysis and systematic review were used for risk factors that were deemed inappropriate to combine. Fourteen prospective cohort studies were included in this review. The meta-analysis showed that Acute Physiology and Chronic Health Evaluation II score (OR, 1.05; 95%CI, 1.01-1.10), neuromuscular blocking agents (OR, 2.03; 95%CI, 1.22-3.40) and aminoglycosides (OR, 2.27; 95%CI, 1.07-4.81) were found to be significantly associated with ICUAW. Other risk factors, including female, multiple organ failure, systemic inflammatory response syndrome, sepsis, electrolyte disturbances, hyperglycaemia, hyperosmolarity, high lactate level, duration of mechanical ventilation, parenteral nutrition and use of norepinephrine, were statistically significant on multivariable analysis in each single studies. This review provides a number of independent risk factors for ICUAW, which should be guided for early prediction and prevention of the disorder.","author":[{"dropping-particle":"","family":"Yang","given":"Tao","non-dropping-particle":"","parse-names":false,"suffix":""},{"dropping-particle":"","family":"Li","given":"Zhiqiang","non-dropping-particle":"","parse-names":false,"suffix":""},{"dropping-particle":"","family":"Jiang","given":"Li","non-dropping-particle":"","parse-names":false,"suffix":""},{"dropping-particle":"","family":"Wang","given":"Yinhua","non-dropping-particle":"","parse-names":false,"suffix":""},{"dropping-particle":"","family":"Xi","given":"Xiuming","non-dropping-particle":"","parse-names":false,"suffix":""}],"container-title":"Acta Neurologica Scandinavica","id":"ITEM-1","issue":"2","issued":{"date-parts":[["2018"]]},"page":"104-114","title":"Risk factors for intensive care unit-acquired weakness: A systematic review and meta-analysis","type":"article-journal","volume":"138"},"uris":["http://www.mendeley.com/documents/?uuid=1875ca33-5c78-422e-a163-6109e8285ccf"]}],"mendeley":{"formattedCitation":"[5]","plainTextFormattedCitation":"[5]","previouslyFormattedCitation":"[5]"},"properties":{"noteIndex":0},"schema":"https://github.com/citation-style-language/schema/raw/master/csl-citation.json"}</w:instrText>
      </w:r>
      <w:r w:rsidR="0041477D" w:rsidRPr="00687B88">
        <w:rPr>
          <w:rFonts w:ascii="Arial" w:hAnsi="Arial" w:cs="Arial"/>
        </w:rPr>
        <w:fldChar w:fldCharType="separate"/>
      </w:r>
      <w:r w:rsidR="004B2EA2" w:rsidRPr="00687B88">
        <w:rPr>
          <w:rFonts w:ascii="Arial" w:hAnsi="Arial" w:cs="Arial"/>
          <w:noProof/>
        </w:rPr>
        <w:t>[5]</w:t>
      </w:r>
      <w:r w:rsidR="0041477D" w:rsidRPr="00687B88">
        <w:rPr>
          <w:rFonts w:ascii="Arial" w:hAnsi="Arial" w:cs="Arial"/>
        </w:rPr>
        <w:fldChar w:fldCharType="end"/>
      </w:r>
      <w:r w:rsidRPr="00687B88">
        <w:rPr>
          <w:rFonts w:ascii="Arial" w:hAnsi="Arial" w:cs="Arial"/>
        </w:rPr>
        <w:t>.</w:t>
      </w:r>
      <w:r w:rsidR="00F67D12" w:rsidRPr="00687B88">
        <w:rPr>
          <w:rFonts w:ascii="Arial" w:hAnsi="Arial" w:cs="Arial"/>
        </w:rPr>
        <w:t xml:space="preserve"> </w:t>
      </w:r>
      <w:r w:rsidR="00290031" w:rsidRPr="00687B88">
        <w:rPr>
          <w:rFonts w:ascii="Arial" w:hAnsi="Arial" w:cs="Arial"/>
        </w:rPr>
        <w:t xml:space="preserve">La DA-UCI tiene consecuencias </w:t>
      </w:r>
      <w:r w:rsidR="00F7575D" w:rsidRPr="00687B88">
        <w:rPr>
          <w:rFonts w:ascii="Arial" w:hAnsi="Arial" w:cs="Arial"/>
        </w:rPr>
        <w:t>como el</w:t>
      </w:r>
      <w:r w:rsidR="00290031" w:rsidRPr="00687B88">
        <w:rPr>
          <w:rFonts w:ascii="Arial" w:hAnsi="Arial" w:cs="Arial"/>
        </w:rPr>
        <w:t xml:space="preserve"> aumento en las estadías hospitalarias, días de ventilación mecánica</w:t>
      </w:r>
      <w:r w:rsidR="00381D59" w:rsidRPr="00687B88">
        <w:rPr>
          <w:rFonts w:ascii="Arial" w:hAnsi="Arial" w:cs="Arial"/>
        </w:rPr>
        <w:t xml:space="preserve"> (VM)</w:t>
      </w:r>
      <w:r w:rsidR="006A05F1" w:rsidRPr="00687B88">
        <w:rPr>
          <w:rFonts w:ascii="Arial" w:hAnsi="Arial" w:cs="Arial"/>
        </w:rPr>
        <w:t xml:space="preserve"> invasiva</w:t>
      </w:r>
      <w:r w:rsidR="00381D59" w:rsidRPr="00687B88">
        <w:rPr>
          <w:rFonts w:ascii="Arial" w:hAnsi="Arial" w:cs="Arial"/>
        </w:rPr>
        <w:t xml:space="preserve">, </w:t>
      </w:r>
      <w:r w:rsidR="00290031" w:rsidRPr="00687B88">
        <w:rPr>
          <w:rFonts w:ascii="Arial" w:hAnsi="Arial" w:cs="Arial"/>
        </w:rPr>
        <w:t>mortalidad, costos de atención, falla post-extubación, entre otros</w:t>
      </w:r>
      <w:r w:rsidR="0068381A" w:rsidRPr="00687B88">
        <w:rPr>
          <w:rFonts w:ascii="Arial" w:hAnsi="Arial" w:cs="Arial"/>
        </w:rPr>
        <w:fldChar w:fldCharType="begin" w:fldLock="1"/>
      </w:r>
      <w:r w:rsidR="003037EE" w:rsidRPr="00687B88">
        <w:rPr>
          <w:rFonts w:ascii="Arial" w:hAnsi="Arial" w:cs="Arial"/>
        </w:rPr>
        <w:instrText>ADDIN CSL_CITATION {"citationItems":[{"id":"ITEM-1","itemData":{"DOI":"10.1007/s00134-020-05944-4","ISSN":"14321238","PMID":"32076765","abstract":"Critically ill patients often acquire neuropathy and/or myopathy labeled ICU-acquired weakness. The current insights into incidence, pathophysiology, diagnostic tools, risk factors, short- and long-term consequences and management of ICU-acquired weakness are narratively reviewed. PubMed was searched for combinations of “neuropathy”, “myopathy”, “neuromyopathy”, or “weakness” with “critical illness”, “critically ill”, “ICU”, “PICU”, “sepsis” or “burn”. ICU-acquired weakness affects limb and respiratory muscles with a widely varying prevalence depending on the study population. Pathophysiology remains incompletely understood but comprises complex structural/functional alterations within myofibers and neurons. Clinical and electrophysiological tools are used for diagnosis, each with advantages and limitations. Risk factors include age, weight, comorbidities, illness severity, organ failure, exposure to drugs negatively affecting myofibers and neurons, immobility and other intensive care-related factors. ICU-acquired weakness increases risk of in-ICU, in-hospital and long-term mortality, duration of mechanical ventilation and of hospitalization and augments healthcare-related costs, increases likelihood of prolonged care in rehabilitation centers and reduces physical function and quality of life in the long term. RCTs have shown preventive impact of avoiding hyperglycemia, of omitting early parenteral nutrition use and of minimizing sedation. Results of studies investigating the impact of early mobilization, neuromuscular electrical stimulation and of pharmacological interventions were inconsistent, with recent systematic reviews/meta-analyses revealing no or only low-quality evidence for benefit. ICU-acquired weakness predisposes to adverse short- and long-term outcomes. Only a few preventive, but no therapeutic, strategies exist. Further mechanistic research is needed to identify new targets for interventions to be tested in adequately powered RCTs.","author":[{"dropping-particle":"","family":"Vanhorebeek","given":"Ilse","non-dropping-particle":"","parse-names":false,"suffix":""},{"dropping-particle":"","family":"Latronico","given":"Nicola","non-dropping-particle":"","parse-names":false,"suffix":""},{"dropping-particle":"","family":"Berghe","given":"Greet","non-dropping-particle":"Van den","parse-names":false,"suffix":""}],"container-title":"Intensive Care Medicine","id":"ITEM-1","issued":{"date-parts":[["2020"]]},"title":"ICU-acquired weakness","type":"article"},"uris":["http://www.mendeley.com/documents/?uuid=646ea644-f104-4986-ac23-d03f163774c2"]}],"mendeley":{"formattedCitation":"[4]","plainTextFormattedCitation":"[4]","previouslyFormattedCitation":"[4]"},"properties":{"noteIndex":0},"schema":"https://github.com/citation-style-language/schema/raw/master/csl-citation.json"}</w:instrText>
      </w:r>
      <w:r w:rsidR="0068381A" w:rsidRPr="00687B88">
        <w:rPr>
          <w:rFonts w:ascii="Arial" w:hAnsi="Arial" w:cs="Arial"/>
        </w:rPr>
        <w:fldChar w:fldCharType="separate"/>
      </w:r>
      <w:r w:rsidR="004B2EA2" w:rsidRPr="00687B88">
        <w:rPr>
          <w:rFonts w:ascii="Arial" w:hAnsi="Arial" w:cs="Arial"/>
          <w:noProof/>
        </w:rPr>
        <w:t>[4]</w:t>
      </w:r>
      <w:r w:rsidR="0068381A" w:rsidRPr="00687B88">
        <w:rPr>
          <w:rFonts w:ascii="Arial" w:hAnsi="Arial" w:cs="Arial"/>
        </w:rPr>
        <w:fldChar w:fldCharType="end"/>
      </w:r>
      <w:r w:rsidR="00290031" w:rsidRPr="00687B88">
        <w:rPr>
          <w:rFonts w:ascii="Arial" w:hAnsi="Arial" w:cs="Arial"/>
        </w:rPr>
        <w:t xml:space="preserve">. A largo plazo, estas consecuencias se traducen en el síndrome post-cuidados intensivos (PICS, por su sigla en inglés “Post Intensive Care Syndrome”) </w:t>
      </w:r>
      <w:r w:rsidR="006A05F1" w:rsidRPr="00687B88">
        <w:rPr>
          <w:rFonts w:ascii="Arial" w:hAnsi="Arial" w:cs="Arial"/>
        </w:rPr>
        <w:t>definido como cualquier problema</w:t>
      </w:r>
      <w:r w:rsidR="00290031" w:rsidRPr="00687B88">
        <w:rPr>
          <w:rFonts w:ascii="Arial" w:hAnsi="Arial" w:cs="Arial"/>
        </w:rPr>
        <w:t xml:space="preserve"> en el funcionamiento físico, mental y cognitivo</w:t>
      </w:r>
      <w:r w:rsidR="006A05F1" w:rsidRPr="00687B88">
        <w:rPr>
          <w:rFonts w:ascii="Arial" w:hAnsi="Arial" w:cs="Arial"/>
        </w:rPr>
        <w:t>, y</w:t>
      </w:r>
      <w:r w:rsidR="00290031" w:rsidRPr="00687B88">
        <w:rPr>
          <w:rFonts w:ascii="Arial" w:hAnsi="Arial" w:cs="Arial"/>
        </w:rPr>
        <w:t xml:space="preserve"> que puede afectar al paciente hasta </w:t>
      </w:r>
      <w:r w:rsidR="00407C40" w:rsidRPr="00687B88">
        <w:rPr>
          <w:rFonts w:ascii="Arial" w:hAnsi="Arial" w:cs="Arial"/>
        </w:rPr>
        <w:t>cinco</w:t>
      </w:r>
      <w:r w:rsidR="00290031" w:rsidRPr="00687B88">
        <w:rPr>
          <w:rFonts w:ascii="Arial" w:hAnsi="Arial" w:cs="Arial"/>
        </w:rPr>
        <w:t xml:space="preserve"> años </w:t>
      </w:r>
      <w:r w:rsidR="006A05F1" w:rsidRPr="00687B88">
        <w:rPr>
          <w:rFonts w:ascii="Arial" w:hAnsi="Arial" w:cs="Arial"/>
        </w:rPr>
        <w:t xml:space="preserve">o más </w:t>
      </w:r>
      <w:r w:rsidR="00290031" w:rsidRPr="00687B88">
        <w:rPr>
          <w:rFonts w:ascii="Arial" w:hAnsi="Arial" w:cs="Arial"/>
        </w:rPr>
        <w:t>posterior al alta hospitalaria</w:t>
      </w:r>
      <w:r w:rsidR="00290031" w:rsidRPr="00687B88">
        <w:rPr>
          <w:rFonts w:ascii="Arial" w:hAnsi="Arial" w:cs="Arial"/>
        </w:rPr>
        <w:fldChar w:fldCharType="begin" w:fldLock="1"/>
      </w:r>
      <w:r w:rsidR="003037EE" w:rsidRPr="00687B88">
        <w:rPr>
          <w:rFonts w:ascii="Arial" w:hAnsi="Arial" w:cs="Arial"/>
        </w:rPr>
        <w:instrText>ADDIN CSL_CITATION {"citationItems":[{"id":"ITEM-1","itemData":{"DOI":"10.1016/j.aucc.2019.10.004","ISSN":"10367314","PMID":"31839375","abstract":"Objective: The objective of this study was to identify the risk factors for each area of post–intensive care syndrome (PICS) and to determine their effect size. Review method used: This study used systematic review and meta-analysis. Data sources: PubMed, CINAHL, EMBASE, PsycINFO, and Cochrane Library were searched. Review methods: Eighty-nine studies were selected for the review based on the Preferred Reporting Items for Systematic Reviews and Meta-Analyses guidelines. The PICS areas and risk factors reported in the individual studies were reviewed and categorised. We used the Newcastle–Ottawa Scale to evaluate the quality of studies. The effect size of each risk factor was calculated as odds ratio (OR). Results: There were 33 mental health studies, 15 cognitive impairment studies, 32 physical impairment studies, eight studies on two areas, and one study on all three areas. Sixty risk factors were identified, including 33 personal and 27 intensive care unit (ICU)–related factors. Significant risk factors for mental health included female sex (odds ratio [OR] = 3.37, 95% confidence interval [CI]: 1.12–10.17), previous mental health problems (OR = 9.45, 95% CI: 2.08–42.90), and negative ICU experience (OR = 2.59, 95% CI: 2.04–3.28). The only significant risk factor for cognitive impairment was delirium (OR = 2.85, 95% CI: 1.10–7.38). Significant risk factors for physical impairment included older age (OR = 2.19, 95% CI: 1.11–4.33), female sex (OR = 1.96, 95% CI: 1.32–2.91), and high disease severity (OR = 2.54, 95% CI: 1.76–3.66). Conclusions: Although PICS is a multidimensional concept, each area has been studied separately. Significant risk factors for PICS included older age, female sex, previous mental health problems, disease severity, negative ICU experience, and delirium. To prevent PICS, the multidisciplinary team should pay attention to modifiable risk factors such as delirium and patients’ ICU experience.","author":[{"dropping-particle":"","family":"Lee","given":"Minju","non-dropping-particle":"","parse-names":false,"suffix":""},{"dropping-particle":"","family":"Kang","given":"Jiyeon","non-dropping-particle":"","parse-names":false,"suffix":""},{"dropping-particle":"","family":"Jeong","given":"Yeon Jin","non-dropping-particle":"","parse-names":false,"suffix":""}],"container-title":"Australian Critical Care","id":"ITEM-1","issued":{"date-parts":[["2020"]]},"title":"Risk factors for post–intensive care syndrome: A systematic review and meta-analysis","type":"article"},"uris":["http://www.mendeley.com/documents/?uuid=7106b39b-3613-4b14-b74e-7fdc2468ce4b"]},{"id":"ITEM-2","itemData":{"DOI":"10.1515/jtim-2016-0016","ISSN":"2450-131X","PMID":"28721340","abstract":"Survival of critically unwell patients has improved in the last decade due to advances in critical care medicine. Some of these survivors develop cognitive, psychiatric and /or physical disability after treatment in intensive care unit (ICU), which is now recognized as post intensive care syndrome (PICS). Given the limited awareness about PICS in the medical faculty this aspect is often overlooked which may lead to reduced quality of life and cause a lot of suffering of these patients and their families. Efforts should be directed towards preventing PICS by minimizing sedation and early mobilization during ICU.All critical care survivors should be evaluated for PICS and those having signs and symptoms of it should be managed by a multidisciplinary team which includes critical care physician, neuro-psychiatrist, physiotherapist and respiratory therapist, with the use of pharmacological and non-apharmacological interventions. This can be achieved through an organizational change and improvement, knowing the high rate of incidence of PICS and its adverse effects on the survivor’s life and daily activities and its effect on the survivor’s family.","author":[{"dropping-particle":"","family":"Rawal","given":"Gautam","non-dropping-particle":"","parse-names":false,"suffix":""},{"dropping-particle":"","family":"Yadav","given":"Sankalp","non-dropping-particle":"","parse-names":false,"suffix":""},{"dropping-particle":"","family":"Kumar","given":"Raj","non-dropping-particle":"","parse-names":false,"suffix":""}],"container-title":"Journal of Translational Internal Medicine","id":"ITEM-2","issued":{"date-parts":[["2017"]]},"title":"Post-intensive care syndrome: An overview","type":"article-journal"},"uris":["http://www.mendeley.com/documents/?uuid=85c185e6-deb3-40fa-b7b4-6fe6cc5e8ca5"]}],"mendeley":{"formattedCitation":"[6,7]","plainTextFormattedCitation":"[6,7]","previouslyFormattedCitation":"[6,7]"},"properties":{"noteIndex":0},"schema":"https://github.com/citation-style-language/schema/raw/master/csl-citation.json"}</w:instrText>
      </w:r>
      <w:r w:rsidR="00290031" w:rsidRPr="00687B88">
        <w:rPr>
          <w:rFonts w:ascii="Arial" w:hAnsi="Arial" w:cs="Arial"/>
        </w:rPr>
        <w:fldChar w:fldCharType="separate"/>
      </w:r>
      <w:r w:rsidR="004B2EA2" w:rsidRPr="00687B88">
        <w:rPr>
          <w:rFonts w:ascii="Arial" w:hAnsi="Arial" w:cs="Arial"/>
          <w:noProof/>
        </w:rPr>
        <w:t>[6,7]</w:t>
      </w:r>
      <w:r w:rsidR="00290031" w:rsidRPr="00687B88">
        <w:rPr>
          <w:rFonts w:ascii="Arial" w:hAnsi="Arial" w:cs="Arial"/>
        </w:rPr>
        <w:fldChar w:fldCharType="end"/>
      </w:r>
      <w:r w:rsidR="00290031" w:rsidRPr="00687B88">
        <w:rPr>
          <w:rFonts w:ascii="Arial" w:hAnsi="Arial" w:cs="Arial"/>
        </w:rPr>
        <w:t>.</w:t>
      </w:r>
    </w:p>
    <w:p w14:paraId="1B4B34FE" w14:textId="667CDDED" w:rsidR="00790ECD" w:rsidRPr="00687B88" w:rsidRDefault="00790ECD" w:rsidP="00687B88">
      <w:pPr>
        <w:spacing w:line="480" w:lineRule="auto"/>
        <w:rPr>
          <w:rFonts w:ascii="Arial" w:hAnsi="Arial" w:cs="Arial"/>
        </w:rPr>
      </w:pPr>
    </w:p>
    <w:p w14:paraId="695168CF" w14:textId="732EA9BC" w:rsidR="00114D71" w:rsidRDefault="00DE74AA" w:rsidP="00687B88">
      <w:pPr>
        <w:spacing w:line="480" w:lineRule="auto"/>
        <w:rPr>
          <w:rFonts w:ascii="Arial" w:hAnsi="Arial" w:cs="Arial"/>
        </w:rPr>
      </w:pPr>
      <w:r w:rsidRPr="00687B88">
        <w:rPr>
          <w:rFonts w:ascii="Arial" w:hAnsi="Arial" w:cs="Arial"/>
        </w:rPr>
        <w:t>Para combatir estos factores de riesgo, el “</w:t>
      </w:r>
      <w:r w:rsidRPr="00687B88">
        <w:rPr>
          <w:rFonts w:ascii="Arial" w:hAnsi="Arial" w:cs="Arial"/>
          <w:i/>
          <w:iCs/>
        </w:rPr>
        <w:t>ABCDEF bundle</w:t>
      </w:r>
      <w:r w:rsidRPr="00687B88">
        <w:rPr>
          <w:rFonts w:ascii="Arial" w:hAnsi="Arial" w:cs="Arial"/>
        </w:rPr>
        <w:t xml:space="preserve">” </w:t>
      </w:r>
      <w:r w:rsidR="008E09BD" w:rsidRPr="00687B88">
        <w:rPr>
          <w:rFonts w:ascii="Arial" w:hAnsi="Arial" w:cs="Arial"/>
        </w:rPr>
        <w:t>es</w:t>
      </w:r>
      <w:r w:rsidRPr="00687B88">
        <w:rPr>
          <w:rFonts w:ascii="Arial" w:hAnsi="Arial" w:cs="Arial"/>
        </w:rPr>
        <w:t xml:space="preserve"> una estrategia para optimizar los resultados de los pacientes al </w:t>
      </w:r>
      <w:r w:rsidR="00F508C4" w:rsidRPr="00687B88">
        <w:rPr>
          <w:rFonts w:ascii="Arial" w:hAnsi="Arial" w:cs="Arial"/>
        </w:rPr>
        <w:t xml:space="preserve">egreso </w:t>
      </w:r>
      <w:r w:rsidRPr="00687B88">
        <w:rPr>
          <w:rFonts w:ascii="Arial" w:hAnsi="Arial" w:cs="Arial"/>
        </w:rPr>
        <w:t>de la UCI</w:t>
      </w:r>
      <w:r w:rsidR="00D37D6D" w:rsidRPr="00687B88">
        <w:rPr>
          <w:rFonts w:ascii="Arial" w:hAnsi="Arial" w:cs="Arial"/>
        </w:rPr>
        <w:fldChar w:fldCharType="begin" w:fldLock="1"/>
      </w:r>
      <w:r w:rsidR="003037EE" w:rsidRPr="00687B88">
        <w:rPr>
          <w:rFonts w:ascii="Arial" w:hAnsi="Arial" w:cs="Arial"/>
        </w:rPr>
        <w:instrText>ADDIN CSL_CITATION {"citationItems":[{"id":"ITEM-1","itemData":{"DOI":"10.1016/j.ccc.2016.12.005","ISSN":"15578232","PMID":"28284292","abstract":"The ABCDEF bundle represents an evidence-based guide for clinicians to approach the organizational changes needed for optimizing intensive care unit patient recovery and outcomes. This article reviews the core evidence and features behind the ABCDEF bundle. The bundle has individual components that are clearly defined, flexible to implement, and help empower multidisciplinary clinicians and families in the shared care of the critically ill. The ABCDEF bundle helps guide well-rounded patient care and optimal resource utilization resulting in more interactive intensive care unit patients with better controlled pain, who can safely participate in higher-order physical and cognitive activities at the earliest point in their critical illness.","author":[{"dropping-particle":"","family":"Marra","given":"Annachiara","non-dropping-particle":"","parse-names":false,"suffix":""},{"dropping-particle":"","family":"Ely","given":"E. Wesley","non-dropping-particle":"","parse-names":false,"suffix":""},{"dropping-particle":"","family":"Pandharipande","given":"Pratik P.","non-dropping-particle":"","parse-names":false,"suffix":""},{"dropping-particle":"","family":"Patel","given":"Mayur B.","non-dropping-particle":"","parse-names":false,"suffix":""}],"container-title":"Critical Care Clinics","id":"ITEM-1","issue":"2","issued":{"date-parts":[["2017"]]},"page":"225-243","title":"The ABCDEF Bundle in Critical Care","type":"article-journal","volume":"33"},"uris":["http://www.mendeley.com/documents/?uuid=e5848ac7-69f2-4071-bc90-d11522e25798"]}],"mendeley":{"formattedCitation":"[8]","plainTextFormattedCitation":"[8]","previouslyFormattedCitation":"[8]"},"properties":{"noteIndex":0},"schema":"https://github.com/citation-style-language/schema/raw/master/csl-citation.json"}</w:instrText>
      </w:r>
      <w:r w:rsidR="00D37D6D" w:rsidRPr="00687B88">
        <w:rPr>
          <w:rFonts w:ascii="Arial" w:hAnsi="Arial" w:cs="Arial"/>
        </w:rPr>
        <w:fldChar w:fldCharType="separate"/>
      </w:r>
      <w:r w:rsidR="004B2EA2" w:rsidRPr="00687B88">
        <w:rPr>
          <w:rFonts w:ascii="Arial" w:hAnsi="Arial" w:cs="Arial"/>
          <w:noProof/>
        </w:rPr>
        <w:t>[8]</w:t>
      </w:r>
      <w:r w:rsidR="00D37D6D" w:rsidRPr="00687B88">
        <w:rPr>
          <w:rFonts w:ascii="Arial" w:hAnsi="Arial" w:cs="Arial"/>
        </w:rPr>
        <w:fldChar w:fldCharType="end"/>
      </w:r>
      <w:r w:rsidRPr="00687B88">
        <w:rPr>
          <w:rFonts w:ascii="Arial" w:hAnsi="Arial" w:cs="Arial"/>
        </w:rPr>
        <w:t xml:space="preserve">, </w:t>
      </w:r>
      <w:r w:rsidR="008E09BD" w:rsidRPr="00687B88">
        <w:rPr>
          <w:rFonts w:ascii="Arial" w:hAnsi="Arial" w:cs="Arial"/>
        </w:rPr>
        <w:t>incluyendo</w:t>
      </w:r>
      <w:r w:rsidRPr="00687B88">
        <w:rPr>
          <w:rFonts w:ascii="Arial" w:hAnsi="Arial" w:cs="Arial"/>
        </w:rPr>
        <w:t xml:space="preserve"> la movilización como una estrategia factible</w:t>
      </w:r>
      <w:r w:rsidR="006A05F1" w:rsidRPr="00687B88">
        <w:rPr>
          <w:rFonts w:ascii="Arial" w:hAnsi="Arial" w:cs="Arial"/>
        </w:rPr>
        <w:t xml:space="preserve"> y</w:t>
      </w:r>
      <w:r w:rsidR="00D37D6D" w:rsidRPr="00687B88">
        <w:rPr>
          <w:rFonts w:ascii="Arial" w:hAnsi="Arial" w:cs="Arial"/>
        </w:rPr>
        <w:t xml:space="preserve"> </w:t>
      </w:r>
      <w:r w:rsidRPr="00687B88">
        <w:rPr>
          <w:rFonts w:ascii="Arial" w:hAnsi="Arial" w:cs="Arial"/>
        </w:rPr>
        <w:t>segura</w:t>
      </w:r>
      <w:r w:rsidR="00D37D6D" w:rsidRPr="00687B88">
        <w:rPr>
          <w:rFonts w:ascii="Arial" w:hAnsi="Arial" w:cs="Arial"/>
        </w:rPr>
        <w:t xml:space="preserve"> </w:t>
      </w:r>
      <w:r w:rsidR="006A05F1" w:rsidRPr="00687B88">
        <w:rPr>
          <w:rFonts w:ascii="Arial" w:hAnsi="Arial" w:cs="Arial"/>
        </w:rPr>
        <w:t>que</w:t>
      </w:r>
      <w:r w:rsidR="00D37D6D" w:rsidRPr="00687B88">
        <w:rPr>
          <w:rFonts w:ascii="Arial" w:hAnsi="Arial" w:cs="Arial"/>
        </w:rPr>
        <w:t xml:space="preserve"> puede promover a mejores resultados de los pacientes críticos a corto y largo plazo</w:t>
      </w:r>
      <w:r w:rsidR="00873E39" w:rsidRPr="00687B88">
        <w:rPr>
          <w:rFonts w:ascii="Arial" w:hAnsi="Arial" w:cs="Arial"/>
        </w:rPr>
        <w:fldChar w:fldCharType="begin" w:fldLock="1"/>
      </w:r>
      <w:r w:rsidR="003037EE" w:rsidRPr="00687B88">
        <w:rPr>
          <w:rFonts w:ascii="Arial" w:hAnsi="Arial" w:cs="Arial"/>
        </w:rPr>
        <w:instrText>ADDIN CSL_CITATION {"citationItems":[{"id":"ITEM-1","itemData":{"DOI":"10.1186/s13054-014-0658-y","ISSN":"1466609X","PMID":"25475522","abstract":"Introduction: The aim of this study was to develop consensus recommendations on safety parameters for mobilizing adult, mechanically ventilated, intensive care unit (ICU) patients. Methods: A systematic literature review was followed by a meeting of 23 multidisciplinary ICU experts to seek consensus regarding the safe mobilization of mechanically ventilated patients. Results: Safety considerations were summarized in four categories: respiratory, cardiovascular, neurological and other. Consensus was achieved on all criteria for safe mobilization, with the exception being levels of vasoactive agents. Intubation via an endotracheal tube was not a contraindication to early mobilization and a fraction of inspired oxygen less than 0.6 with a percutaneous oxygen saturation more than 90% and a respiratory rate less than 30 breaths/minute were considered safe criteria for in- and out-of-bed mobilization if there were no other contraindications. At an international meeting, 94 multidisciplinary ICU clinicians concurred with the proposed recommendations. Conclusion: Consensus recommendations regarding safety criteria for mobilization of adult, mechanically ventilated patients in the ICU have the potential to guide ICU rehabilitation whilst minimizing the risk of adverse events.","author":[{"dropping-particle":"","family":"Hodgson","given":"Carol L.","non-dropping-particle":"","parse-names":false,"suffix":""},{"dropping-particle":"","family":"Stiller","given":"Kathy","non-dropping-particle":"","parse-names":false,"suffix":""},{"dropping-particle":"","family":"Needham","given":"Dale M.","non-dropping-particle":"","parse-names":false,"suffix":""},{"dropping-particle":"","family":"Tipping","given":"Claire J.","non-dropping-particle":"","parse-names":false,"suffix":""},{"dropping-particle":"","family":"Harrold","given":"Megan","non-dropping-particle":"","parse-names":false,"suffix":""},{"dropping-particle":"","family":"Baldwin","given":"Claire E.","non-dropping-particle":"","parse-names":false,"suffix":""},{"dropping-particle":"","family":"Bradley","given":"Scott","non-dropping-particle":"","parse-names":false,"suffix":""},{"dropping-particle":"","family":"Berney","given":"Sue","non-dropping-particle":"","parse-names":false,"suffix":""},{"dropping-particle":"","family":"Caruana","given":"Lawrence R.","non-dropping-particle":"","parse-names":false,"suffix":""},{"dropping-particle":"","family":"Elliott","given":"Doug","non-dropping-particle":"","parse-names":false,"suffix":""},{"dropping-particle":"","family":"Green","given":"Margot","non-dropping-particle":"","parse-names":false,"suffix":""},{"dropping-particle":"","family":"Haines","given":"Kimberley","non-dropping-particle":"","parse-names":false,"suffix":""},{"dropping-particle":"","family":"Higgins","given":"Alisa M.","non-dropping-particle":"","parse-names":false,"suffix":""},{"dropping-particle":"","family":"Kaukonen","given":"Kirsi Maija","non-dropping-particle":"","parse-names":false,"suffix":""},{"dropping-particle":"","family":"Leditschke","given":"Isabel A.","non-dropping-particle":"","parse-names":false,"suffix":""},{"dropping-particle":"","family":"Nickels","given":"Marc R.","non-dropping-particle":"","parse-names":false,"suffix":""},{"dropping-particle":"","family":"Paratz","given":"Jennifer","non-dropping-particle":"","parse-names":false,"suffix":""},{"dropping-particle":"","family":"Patman","given":"Shane","non-dropping-particle":"","parse-names":false,"suffix":""},{"dropping-particle":"","family":"Skinner","given":"Elizabeth H.","non-dropping-particle":"","parse-names":false,"suffix":""},{"dropping-particle":"","family":"Young","given":"Paul J.","non-dropping-particle":"","parse-names":false,"suffix":""},{"dropping-particle":"","family":"Zanni","given":"Jennifer M.","non-dropping-particle":"","parse-names":false,"suffix":""},{"dropping-particle":"","family":"Denehy","given":"Linda","non-dropping-particle":"","parse-names":false,"suffix":""},{"dropping-particle":"","family":"Webb","given":"Steven A.","non-dropping-particle":"","parse-names":false,"suffix":""}],"container-title":"Critical Care","id":"ITEM-1","issue":"6","issued":{"date-parts":[["2014"]]},"page":"1-9","title":"Expert consensus and recommendations on safety criteria for active mobilization of mechanically ventilated critically ill adults","type":"article-journal","volume":"18"},"uris":["http://www.mendeley.com/documents/?uuid=aeb735b9-096f-4ba0-916e-a0094884d0bb"]},{"id":"ITEM-2","itemData":{"DOI":"10.1016/j.enfie.2020.11.001","ISSN":"25299840","abstract":"INTRODUCTION: Intensive care unit (ICU)-acquired weakness is developed by 40%-46% of patients admitted to ICU. Different studies have shown that Early Mobilisation (EM) is safe, feasible, cost-effective and improves patient outcomes in the short and long term. OBJECTIVE: To design an EM algorithm for the critical patient in general and to list recommendations for EM in specific subpopulations of the critical patient most at risk for mobilisation: neurocritical, traumatic, undergoing continuous renal replacement therapy (CRRT) and with ventricular assist devices (VAD) or extracorporeal membrane oxygenation (ECMO). METHODOLOGY: Review undertaken in the Medline, CINAHL, Cochrane and PEDro databases of studies published in the last 10 years, providing EM protocols/interventions. RESULTS: 30 articles were included. Of these, 21 were on guiding EM in critical patients in general, 7 in neurocritical and/or traumatic patients, 1 on patients undergoing CRRT and 1 on patients with ECMO and/or VAD. Two figures were designed: one for decision-making, taking the ABCDEF bundle into account and the other with the safety criteria and mobility objective for each. CONCLUSIONS: The EM algorithms provided can promote early mobilisation (between the 1st and 5th day from admission to ICU), along with aspects to consider before mobilisation and safety criteria for discontinuing it.","author":[{"dropping-particle":"","family":"Raurell-Torredà","given":"M.","non-dropping-particle":"","parse-names":false,"suffix":""},{"dropping-particle":"","family":"Regaira-Martínez","given":"E.","non-dropping-particle":"","parse-names":false,"suffix":""},{"dropping-particle":"","family":"Planas-Pascual","given":"B.","non-dropping-particle":"","parse-names":false,"suffix":""},{"dropping-particle":"","family":"Ferrer-Roca","given":"R.","non-dropping-particle":"","parse-names":false,"suffix":""},{"dropping-particle":"","family":"Martí","given":"J.D.","non-dropping-particle":"","parse-names":false,"suffix":""},{"dropping-particle":"","family":"Blazquez-Martínez","given":"E.","non-dropping-particle":"","parse-names":false,"suffix":""},{"dropping-particle":"","family":"Ballesteros-Reviriego","given":"G.","non-dropping-particle":"","parse-names":false,"suffix":""},{"dropping-particle":"","family":"Vinuesa-Suárez","given":"I.","non-dropping-particle":"","parse-names":false,"suffix":""},{"dropping-particle":"","family":"Zariquiey-Esteva","given":"G.","non-dropping-particle":"","parse-names":false,"suffix":""}],"container-title":"Enfermería Intensiva (English ed.)","id":"ITEM-2","issue":"3","issued":{"date-parts":[["2021"]]},"page":"153-163","publisher":"Sociedad Española de Enfermería Intensiva y Unidades Coronarias (SEEIUC)","title":"Early mobilisation algorithm for the critical patient. Expert recommendations","type":"article-journal","volume":"32"},"uris":["http://www.mendeley.com/documents/?uuid=4db27705-3e13-4d62-8314-e40cd32e716b"]},{"id":"ITEM-3","itemData":{"ISSN":"15354970","PMID":"28278391","abstract":"Background: Early mobilization and rehabilitation of patients in intensive care units (ICU) may improve physical function, and reduce the duration of delirium, mechanical ventilation and ICU length of stay. However, safety concerns are an important barrier to widespread implementation. Objective: To synthesize safety data regarding patient mobilization and rehabilitation in the ICU, including falls, removal of endotracheal tubes (ETT), removal or dysfunction of intravascular catheters, removal of other catheters/tubes, cardiac arrest, hemodynamic changes and desaturation. Data Sources: Systematic literature review, including searches of 5 databases. Eligible studies evaluated patients who received mobilization-related interventions in the ICU. Exclusion criteria included: 1) case series with &lt;10 patients; 2) majority of patients &lt;18 years old; and 3) data not reported to permit calculation of incidence of safety events. Data Extraction: Number of patients, mobilization/rehabilitation sessions, potential safety events and events with negative consequences (e.g. requiring intervention or additional therapy). Synthesis: Heterogeneity was assessed by I-square statistics, and bias assessed by the Newcastle-Ottawa Scale and Cochrane risk of bias assessment. The literature search identified 20,660 titles. There were 48 eligible publications evaluating 7,546 patients, with 583 potential safety events occurring in 22,351 mobilization/rehabilitation sessions. There were a total of 583 (2.6%) potential safety events with heterogeneity in the definitions for these events. For the safety event types that could be meta-analyzed, pooled incidences per 1,000 mobilization/rehabilitation sessions (95% confidence interval) were: hemodynamic changes, 3.8 (1.3–11.4) and desaturation, 1.9 (0.9–4.3). A total of 24 studies of 3,404 patients reported on any consequences of potential safety events (e.g. needing to increase dose of vasopressor due to mobility-related hypotension), with a frequency of 0.6% in 14,398 mobilization/rehabilitation sessions. Conclusions: Patient mobilization and physical rehabilitation in the ICU appears safe with a low incidence of potential safety events, and only rare events having any consequences for patient management. Heterogeneity in the definition of safety events across studies emphasizes the importance of implementing existing consensus-based definitions.","author":[{"dropping-particle":"","family":"Nydhal","given":"Peter","non-dropping-particle":"","parse-names":false,"suffix":""},{"dropping-particle":"","family":"Sricharoenchai","given":"Thiti","non-dropping-particle":"","parse-names":false,"suffix":""},{"dropping-particle":"","family":"Chandra","given":"Sauabh","non-dropping-particle":"","parse-names":false,"suffix":""},{"dropping-particle":"","family":"Kund","given":"Firuzan Sari","non-dropping-particle":"","parse-names":false,"suffix":""},{"dropping-particle":"","family":"Huang","given":"Minxuan","non-dropping-particle":"","parse-names":false,"suffix":""},{"dropping-particle":"","family":"Fischill","given":"Magadelena","non-dropping-particle":"","parse-names":false,"suffix":""},{"dropping-particle":"","family":"Needham","given":"Dale M.","non-dropping-particle":"","parse-names":false,"suffix":""}],"container-title":"American Journal of Respiratory and Critical Care Medicine","id":"ITEM-3","issue":"9","issued":{"date-parts":[["2017"]]},"page":"1189-1197","title":"Safety of Patient Mobilization and Rehabilitation in the ICU: Systematic Review with Meta- Analysis","type":"article-journal","volume":"195"},"uris":["http://www.mendeley.com/documents/?uuid=ca51a274-4686-45e9-97d3-f3db4b12fa94"]}],"mendeley":{"formattedCitation":"[9–11]","plainTextFormattedCitation":"[9–11]","previouslyFormattedCitation":"[9–11]"},"properties":{"noteIndex":0},"schema":"https://github.com/citation-style-language/schema/raw/master/csl-citation.json"}</w:instrText>
      </w:r>
      <w:r w:rsidR="00873E39" w:rsidRPr="00687B88">
        <w:rPr>
          <w:rFonts w:ascii="Arial" w:hAnsi="Arial" w:cs="Arial"/>
        </w:rPr>
        <w:fldChar w:fldCharType="separate"/>
      </w:r>
      <w:r w:rsidR="004B2EA2" w:rsidRPr="00687B88">
        <w:rPr>
          <w:rFonts w:ascii="Arial" w:hAnsi="Arial" w:cs="Arial"/>
          <w:noProof/>
        </w:rPr>
        <w:t>[9–11]</w:t>
      </w:r>
      <w:r w:rsidR="00873E39" w:rsidRPr="00687B88">
        <w:rPr>
          <w:rFonts w:ascii="Arial" w:hAnsi="Arial" w:cs="Arial"/>
        </w:rPr>
        <w:fldChar w:fldCharType="end"/>
      </w:r>
      <w:r w:rsidR="00D37D6D" w:rsidRPr="00687B88">
        <w:rPr>
          <w:rFonts w:ascii="Arial" w:hAnsi="Arial" w:cs="Arial"/>
        </w:rPr>
        <w:t xml:space="preserve">. </w:t>
      </w:r>
      <w:r w:rsidR="00E8424A" w:rsidRPr="00687B88">
        <w:rPr>
          <w:rFonts w:ascii="Arial" w:hAnsi="Arial" w:cs="Arial"/>
        </w:rPr>
        <w:t xml:space="preserve">Es </w:t>
      </w:r>
    </w:p>
    <w:p w14:paraId="603277A6" w14:textId="0B24F9F1" w:rsidR="00114D71" w:rsidRPr="00114D71" w:rsidRDefault="00114D71" w:rsidP="00114D71">
      <w:pPr>
        <w:jc w:val="center"/>
        <w:rPr>
          <w:rFonts w:ascii="Arial" w:hAnsi="Arial" w:cs="Arial"/>
          <w:color w:val="808080" w:themeColor="background1" w:themeShade="80"/>
        </w:rPr>
      </w:pPr>
      <w:r>
        <w:rPr>
          <w:rFonts w:ascii="Arial" w:hAnsi="Arial" w:cs="Arial"/>
          <w:color w:val="808080" w:themeColor="background1" w:themeShade="80"/>
        </w:rPr>
        <w:t>1</w:t>
      </w:r>
    </w:p>
    <w:p w14:paraId="00D545AD" w14:textId="11C262B5" w:rsidR="003E1719" w:rsidRPr="00687B88" w:rsidRDefault="00E8424A" w:rsidP="00687B88">
      <w:pPr>
        <w:spacing w:line="480" w:lineRule="auto"/>
        <w:rPr>
          <w:rFonts w:ascii="Arial" w:hAnsi="Arial" w:cs="Arial"/>
        </w:rPr>
      </w:pPr>
      <w:r w:rsidRPr="00687B88">
        <w:rPr>
          <w:rFonts w:ascii="Arial" w:hAnsi="Arial" w:cs="Arial"/>
        </w:rPr>
        <w:t xml:space="preserve">crucial iniciar la rehabilitación de los pacientes en estado crítico </w:t>
      </w:r>
      <w:r w:rsidR="003070B7" w:rsidRPr="00687B88">
        <w:rPr>
          <w:rFonts w:ascii="Arial" w:hAnsi="Arial" w:cs="Arial"/>
        </w:rPr>
        <w:t xml:space="preserve">lo más pronto posible, </w:t>
      </w:r>
      <w:r w:rsidR="009F1F40" w:rsidRPr="00687B88">
        <w:rPr>
          <w:rFonts w:ascii="Arial" w:hAnsi="Arial" w:cs="Arial"/>
        </w:rPr>
        <w:t xml:space="preserve">sin embargo </w:t>
      </w:r>
      <w:r w:rsidR="003070B7" w:rsidRPr="00687B88">
        <w:rPr>
          <w:rFonts w:ascii="Arial" w:hAnsi="Arial" w:cs="Arial"/>
        </w:rPr>
        <w:t xml:space="preserve">aún existe variabilidad </w:t>
      </w:r>
      <w:r w:rsidR="006A05F1" w:rsidRPr="00687B88">
        <w:rPr>
          <w:rFonts w:ascii="Arial" w:hAnsi="Arial" w:cs="Arial"/>
        </w:rPr>
        <w:t>en el</w:t>
      </w:r>
      <w:r w:rsidR="003070B7" w:rsidRPr="00687B88">
        <w:rPr>
          <w:rFonts w:ascii="Arial" w:hAnsi="Arial" w:cs="Arial"/>
        </w:rPr>
        <w:t xml:space="preserve"> inicio </w:t>
      </w:r>
      <w:r w:rsidR="006A05F1" w:rsidRPr="00687B88">
        <w:rPr>
          <w:rFonts w:ascii="Arial" w:hAnsi="Arial" w:cs="Arial"/>
        </w:rPr>
        <w:t xml:space="preserve">y dosis </w:t>
      </w:r>
      <w:r w:rsidR="003070B7" w:rsidRPr="00687B88">
        <w:rPr>
          <w:rFonts w:ascii="Arial" w:hAnsi="Arial" w:cs="Arial"/>
        </w:rPr>
        <w:t xml:space="preserve">de </w:t>
      </w:r>
      <w:r w:rsidR="006A05F1" w:rsidRPr="00687B88">
        <w:rPr>
          <w:rFonts w:ascii="Arial" w:hAnsi="Arial" w:cs="Arial"/>
        </w:rPr>
        <w:t xml:space="preserve">la </w:t>
      </w:r>
      <w:r w:rsidR="003070B7" w:rsidRPr="00687B88">
        <w:rPr>
          <w:rFonts w:ascii="Arial" w:hAnsi="Arial" w:cs="Arial"/>
        </w:rPr>
        <w:t>movilización</w:t>
      </w:r>
      <w:r w:rsidR="00DE06DE" w:rsidRPr="00687B88">
        <w:rPr>
          <w:rFonts w:ascii="Arial" w:hAnsi="Arial" w:cs="Arial"/>
        </w:rPr>
        <w:fldChar w:fldCharType="begin" w:fldLock="1"/>
      </w:r>
      <w:r w:rsidR="003037EE" w:rsidRPr="00687B88">
        <w:rPr>
          <w:rFonts w:ascii="Arial" w:hAnsi="Arial" w:cs="Arial"/>
        </w:rPr>
        <w:instrText>ADDIN CSL_CITATION {"citationItems":[{"id":"ITEM-1","itemData":{"DOI":"10.1186/s40560-018-0355-z","ISSN":"20520492","abstract":"Background: Mechanically ventilated patients often develop muscle weakness post-intensive care admission. Current evidence suggests that early mobilisation of these patients can be an effective intervention in improving their outcomes. However, what constitutes early mobilisation in mechanically ventilated patients (EM-MV) remains unclear. We aimed to systematically explore the definitions and activity types of EM-MV in the literature. Methods: Whittemore and Knafl's framework guided this review. CINAHL, MEDLINE, EMBASE, PsycINFO, ASSIA, and Cochrane Library were searched to capture studies from 2000 to 2018, combined with hand search of grey literature and reference lists of included studies. The Critical Appraisal Skills Programme tools were used to assess the methodological quality of included studies. Data extraction and quality assessment of studies were performed independently by each reviewer before coming together in sub-groups for discussion and agreement. An inductive and data-driven thematic analysis was undertaken on verbatim extracts of EM-MV definitions and activities in included studies. Results: Seventy-six studies were included from which four major themes were inferred: (1) non-standardised definition, (2) contextual factors, (3) negotiated process and (4) collaboration between patients and staff. The first theme indicates that EM-MV is either not fully defined in studies or when a definition is provided this is not standardised across studies. The remaining themes reflect the diversity of EM-MV activities which depends on patients' characteristics and ICU settings; the negotiated decision-making process between patients and staff; and their interdependent relationship during the implementation. Conclusions: This review highlights the absence of an agreed definition and on what constitutes early mobilisation in mechanically ventilated patients. To advance research and practice an agreed and shared definition is a pre-requisite.","author":[{"dropping-particle":"","family":"Clarissa","given":"Catherine","non-dropping-particle":"","parse-names":false,"suffix":""},{"dropping-particle":"","family":"Salisbury","given":"Lisa","non-dropping-particle":"","parse-names":false,"suffix":""},{"dropping-particle":"","family":"Rodgers","given":"Sheila","non-dropping-particle":"","parse-names":false,"suffix":""},{"dropping-particle":"","family":"Kean","given":"Susanne","non-dropping-particle":"","parse-names":false,"suffix":""}],"container-title":"Journal of Intensive Care","id":"ITEM-1","issue":"1","issued":{"date-parts":[["2019"]]},"page":"1-19","publisher":"Journal of Intensive Care","title":"Early mobilisation in mechanically ventilated patients: A systematic integrative review of definitions and activities","type":"article-journal","volume":"7"},"uris":["http://www.mendeley.com/documents/?uuid=b1390982-c08e-4d4e-bf61-c34030b6ef6f"]},{"id":"ITEM-2","itemData":{"DOI":"10.1371/journal.pone.0223151","ISBN":"1111111111","ISSN":"19326203","PMID":"31589642","abstract":"Early mobilization has been proven to be an effective and safe intervention for preventing complications in mechanically ventilated patients; however, there is currently no unified definition of the optimal mobilization initiation time, hindering widespread clinical implementation. As clinicians are increasingly aware of the benefits of early mobilization, the definition of early mobilization is important. The purpose of this study was to evaluate the effects of different early mobilization initiation times on mechanically ventilated patients and rank these times for practical consideration. The Chinese Biomedical Literature Database, the Chinese Knowledge Infrastructure, Wanfang Data, PubMed, Cochrane Library, Web of Science, and Embase databases, along with grey literature and reference lists, were searched for randomized control trials (RCTs) that evaluated the effects of early mobilization for improving patient outcomes; databases were searched from inception to October 2018. Two authors extracted data independently, using a predesigned Excel form, and assessed the quality of included RCTs according to the Cochrane Handbook (v5.1.0). Data were analyzed using Stata (v13.0) and Review Manager (v5.3.0). A total of 15 RCTs involving 1726 patients and seven mobilization initiation times (which were all compared to usual care) were included in our analysis. Network meta-analysis showed that mechanical ventilation for 48-72 h may be optimal to improve intensive care unit acquired weakness (ICU-AW) and reduce the duration of mechanical ventilation; however, there were no significant differences in length of ICU stay according to mobilization initiation time. The results of this study indicate that initiation of mobilization within 48-72 h of mechanical ventilation may be optimal for improving clinical outcomes for mechanically ventilated patients.","author":[{"dropping-particle":"","family":"Ding","given":"Nannan","non-dropping-particle":"","parse-names":false,"suffix":""},{"dropping-particle":"","family":"Zhang","given":"Zhigang","non-dropping-particle":"","parse-names":false,"suffix":""},{"dropping-particle":"","family":"Zhang","given":"Caiyun","non-dropping-particle":"","parse-names":false,"suffix":""},{"dropping-particle":"","family":"Yao","given":"Li","non-dropping-particle":"","parse-names":false,"suffix":""},{"dropping-particle":"","family":"Yang","given":"Liping","non-dropping-particle":"","parse-names":false,"suffix":""},{"dropping-particle":"","family":"Jiang","given":"Biantong","non-dropping-particle":"","parse-names":false,"suffix":""},{"dropping-particle":"","family":"Wu","given":"Yuchen","non-dropping-particle":"","parse-names":false,"suffix":""},{"dropping-particle":"","family":"Jiang","given":"Lingjie","non-dropping-particle":"","parse-names":false,"suffix":""},{"dropping-particle":"","family":"Tian","given":"Jinhui","non-dropping-particle":"","parse-names":false,"suffix":""}],"container-title":"PLoS ONE","id":"ITEM-2","issue":"10","issued":{"date-parts":[["2019"]]},"page":"1-12","title":"What is the optimum time for initiation of early mobilization in mechanically ventilated patients? A network meta-analysis","type":"article-journal","volume":"14"},"uris":["http://www.mendeley.com/documents/?uuid=35aec498-0dcf-4acc-8196-089edbe5d4be"]},{"id":"ITEM-3","itemData":{"DOI":"10.1186/s13613-016-0184-y","ISSN":"21105820","abstract":"Background: Early mobilization in critically ill patients has been shown to prevent bed-rest-associated morbidity. Reported reasons for not mobilizing patients, thereby excluding or delaying such intervention, are diverse and comprise safety considerations for high-risk critically ill patients with multiple organ support systems. This study sought to demonstrate that early mobilization performed within the first 24 h of ICU admission proves to be feasible and well tolerated in the vast majority of critically ill patients. Results: General practice data were collected for 171 consecutive admissions to our ICU over a 2-month period according to a local, standardized, early mobilization protocol. The total period covered 731 patient-days, 22 (3 %) of which met our local exclusion criteria for mobilization. Of the remaining 709 patient-days, early mobilization was achieved on 86 % of them, bed-to-chair transfer on 74 %, and at least one physical therapy session on 59 %. Median time interval from ICU admission to the first early mobilization activity was 19 h (IQR = 15–23). In patients on mechanical ventilation (51 %), accounting for 46 % of patient-days, 35 % were administered vasopressors and 11 % continuous renal replacement therapy. Within this group, bed-to-chair transfer was achieved on 68 % of patient-days and at least one early mobilization activity on 80 %. Limiting factors to start early mobilization included restricted staffing capacities, diagnostic or surgical procedures, patients’ refusal, as well as severe hemodynamic instability. Hemodynamic parameters were rarely affected during mobilization, causing interruption in only 0.8 % of all activities, primarily due to reversible hypotension or arrhythmia. In general, all activities were well tolerated, while patients were able to self-regulate their active early mobilization. Patients’ subjective perception of physical therapy was reported to be enjoyable. Conclusions: Mobilization within the first 24 h of ICU admission is achievable in the majority of critical ill patients, in spite of mechanical ventilation, vasopressor administration, or renal replacement therapy.","author":[{"dropping-particle":"","family":"Hickmann","given":"Cheryl Elizabeth","non-dropping-particle":"","parse-names":false,"suffix":""},{"dropping-particle":"","family":"Castanares-Zapatero","given":"Diego","non-dropping-particle":"","parse-names":false,"suffix":""},{"dropping-particle":"","family":"Bialais","given":"Emilie","non-dropping-particle":"","parse-names":false,"suffix":""},{"dropping-particle":"","family":"Dugernier","given":"Jonathan","non-dropping-particle":"","parse-names":false,"suffix":""},{"dropping-particle":"","family":"Tordeur","given":"Antoine","non-dropping-particle":"","parse-names":false,"suffix":""},{"dropping-particle":"","family":"Colmant","given":"Lise","non-dropping-particle":"","parse-names":false,"suffix":""},{"dropping-particle":"","family":"Wittebole","given":"Xavier","non-dropping-particle":"","parse-names":false,"suffix":""},{"dropping-particle":"","family":"Tirone","given":"Giuseppe","non-dropping-particle":"","parse-names":false,"suffix":""},{"dropping-particle":"","family":"Roeseler","given":"Jean","non-dropping-particle":"","parse-names":false,"suffix":""},{"dropping-particle":"","family":"Laterre","given":"Pierre François","non-dropping-particle":"","parse-names":false,"suffix":""}],"container-title":"Annals of Intensive Care","id":"ITEM-3","issue":"1","issued":{"date-parts":[["2016"]]},"publisher":"Springer Paris","title":"Teamwork enables high level of early mobilization in critically ill patients","type":"article-journal","volume":"6"},"uris":["http://www.mendeley.com/documents/?uuid=44c24ab3-ee1f-4244-9a67-a8e21a22eea5"]}],"mendeley":{"formattedCitation":"[12–14]","plainTextFormattedCitation":"[12–14]","previouslyFormattedCitation":"[12–14]"},"properties":{"noteIndex":0},"schema":"https://github.com/citation-style-language/schema/raw/master/csl-citation.json"}</w:instrText>
      </w:r>
      <w:r w:rsidR="00DE06DE" w:rsidRPr="00687B88">
        <w:rPr>
          <w:rFonts w:ascii="Arial" w:hAnsi="Arial" w:cs="Arial"/>
        </w:rPr>
        <w:fldChar w:fldCharType="separate"/>
      </w:r>
      <w:r w:rsidR="004B2EA2" w:rsidRPr="00687B88">
        <w:rPr>
          <w:rFonts w:ascii="Arial" w:hAnsi="Arial" w:cs="Arial"/>
          <w:noProof/>
        </w:rPr>
        <w:t>[12–14]</w:t>
      </w:r>
      <w:r w:rsidR="00DE06DE" w:rsidRPr="00687B88">
        <w:rPr>
          <w:rFonts w:ascii="Arial" w:hAnsi="Arial" w:cs="Arial"/>
        </w:rPr>
        <w:fldChar w:fldCharType="end"/>
      </w:r>
      <w:r w:rsidR="00407C40" w:rsidRPr="00687B88">
        <w:rPr>
          <w:rFonts w:ascii="Arial" w:hAnsi="Arial" w:cs="Arial"/>
        </w:rPr>
        <w:t>.</w:t>
      </w:r>
      <w:r w:rsidR="00E03C79" w:rsidRPr="00687B88">
        <w:rPr>
          <w:rFonts w:ascii="Arial" w:hAnsi="Arial" w:cs="Arial"/>
        </w:rPr>
        <w:t xml:space="preserve"> </w:t>
      </w:r>
      <w:r w:rsidR="0068381A" w:rsidRPr="00687B88">
        <w:rPr>
          <w:rFonts w:ascii="Arial" w:hAnsi="Arial" w:cs="Arial"/>
        </w:rPr>
        <w:t xml:space="preserve">A pesar de las distintas estrategias para realizar </w:t>
      </w:r>
      <w:r w:rsidR="006A05F1" w:rsidRPr="00687B88">
        <w:rPr>
          <w:rFonts w:ascii="Arial" w:hAnsi="Arial" w:cs="Arial"/>
        </w:rPr>
        <w:t>movilización</w:t>
      </w:r>
      <w:r w:rsidR="0068381A" w:rsidRPr="00687B88">
        <w:rPr>
          <w:rFonts w:ascii="Arial" w:hAnsi="Arial" w:cs="Arial"/>
        </w:rPr>
        <w:t xml:space="preserve"> en el paciente crítico,</w:t>
      </w:r>
      <w:r w:rsidR="00B228DD" w:rsidRPr="00687B88">
        <w:rPr>
          <w:rFonts w:ascii="Arial" w:hAnsi="Arial" w:cs="Arial"/>
        </w:rPr>
        <w:t xml:space="preserve"> según estudios de prevalencia, un 50-92% de los pacientes con VM </w:t>
      </w:r>
      <w:r w:rsidR="005A4D35" w:rsidRPr="00687B88">
        <w:rPr>
          <w:rFonts w:ascii="Arial" w:hAnsi="Arial" w:cs="Arial"/>
        </w:rPr>
        <w:t xml:space="preserve">invasiva </w:t>
      </w:r>
      <w:r w:rsidR="00B228DD" w:rsidRPr="00687B88">
        <w:rPr>
          <w:rFonts w:ascii="Arial" w:hAnsi="Arial" w:cs="Arial"/>
        </w:rPr>
        <w:t>no reciben rehabilitación e incluso algunos no recibe</w:t>
      </w:r>
      <w:r w:rsidR="008E09BD" w:rsidRPr="00687B88">
        <w:rPr>
          <w:rFonts w:ascii="Arial" w:hAnsi="Arial" w:cs="Arial"/>
        </w:rPr>
        <w:t>n</w:t>
      </w:r>
      <w:r w:rsidR="00B228DD" w:rsidRPr="00687B88">
        <w:rPr>
          <w:rFonts w:ascii="Arial" w:hAnsi="Arial" w:cs="Arial"/>
        </w:rPr>
        <w:t xml:space="preserve"> cambios de posición</w:t>
      </w:r>
      <w:r w:rsidR="00B228DD" w:rsidRPr="00687B88">
        <w:rPr>
          <w:rFonts w:ascii="Arial" w:hAnsi="Arial" w:cs="Arial"/>
        </w:rPr>
        <w:fldChar w:fldCharType="begin" w:fldLock="1"/>
      </w:r>
      <w:r w:rsidR="003037EE" w:rsidRPr="00687B88">
        <w:rPr>
          <w:rFonts w:ascii="Arial" w:hAnsi="Arial" w:cs="Arial"/>
        </w:rPr>
        <w:instrText>ADDIN CSL_CITATION {"citationItems":[{"id":"ITEM-1","itemData":{"DOI":"10.1177/0885066617728486","ISSN":"0885-0666","author":[{"dropping-particle":"","family":"Sibilla","given":"Alberto","non-dropping-particle":"","parse-names":false,"suffix":""},{"dropping-particle":"","family":"Nydahl","given":"Peter","non-dropping-particle":"","parse-names":false,"suffix":""},{"dropping-particle":"","family":"Greco","given":"Nicola","non-dropping-particle":"","parse-names":false,"suffix":""},{"dropping-particle":"","family":"Mungo","given":"Giuseppe","non-dropping-particle":"","parse-names":false,"suffix":""},{"dropping-particle":"","family":"Ott","given":"Natalie","non-dropping-particle":"","parse-names":false,"suffix":""},{"dropping-particle":"","family":"Unger","given":"Ines","non-dropping-particle":"","parse-names":false,"suffix":""},{"dropping-particle":"","family":"Rezek","given":"Spencer","non-dropping-particle":"","parse-names":false,"suffix":""},{"dropping-particle":"","family":"Gemperle","given":"Sarah","non-dropping-particle":"","parse-names":false,"suffix":""},{"dropping-particle":"","family":"Needham","given":"Dale M.","non-dropping-particle":"","parse-names":false,"suffix":""},{"dropping-particle":"","family":"Kudchadkar","given":"Sapna R.","non-dropping-particle":"","parse-names":false,"suffix":""}],"container-title":"Journal of Intensive Care Medicine","id":"ITEM-1","issue":"1","issued":{"date-parts":[["2020","1"]]},"page":"55-62","title":"Mobilization of Mechanically Ventilated Patients in Switzerland","type":"article-journal","volume":"35"},"uris":["http://www.mendeley.com/documents/?uuid=384bfff4-4e93-4674-8b1a-8540caf1b6c1"]},{"id":"ITEM-2","itemData":{"DOI":"10.1097/CCM.0000000000000149","ISBN":"0000000000000","ISSN":"15300293","abstract":"Objectives: There is growing evidence to support early mobilization of adult mechanically ventilated patients in ICUs. However, there is little knowledge regarding early mobilization in routine ICU practice. Hence, the interdisciplinary German ICU Network for Early Mobilization undertook a 1-day point-prevalence survey across Germany. Design: One-day point-prevalence study. Setting: One hundred sixteen ICUs in Germany in 2011. Patients: All adult mechanically ventilated patients. Interventions: None. Measurements and Main Results: For a 24-hour period, data were abstracted on hospital and ICU characteristics, the level of patient mobilization and associated barriers, and complications occurring during mobilization. One hundred sixteen participating ICUs provided data for 783 patients. Overall, 185 patients (24%) were mobilized out of bed (i.e., sitting on the edge of the bed or higher level of mobilization). Among patients with an endotracheal tube, tracheostomy, and noninvasive ventilation, 8%, 39%, and 53% were mobilized out of bed, respectively (p &lt; 0.001 for difference between three groups). The most common perceived barriers to mobilizing patients out of bed were cardiovascular instability (17%) and deep sedation (15%). Mobilization out of bed versus remaining in bed was not associated with a higher frequency of complications, with no falls or extubations occurring in those mobilized out of bed. Conclusions: In this 1-day point-prevalence study conducted across Germany, only 24% of all mechanically ventilated patients and only 8% of patients with an endotracheal tube were mobilized out of bed as part of routine care. Addressing modifiable barriers for mobilization, such as deep sedation, will be important to increase mobilization in German ICUs. Copyright © 2014 by the Society of Critical Care Medicine and Lippincott Williams &amp; Wilkins.","author":[{"dropping-particle":"","family":"Nydahl","given":"Peter","non-dropping-particle":"","parse-names":false,"suffix":""},{"dropping-particle":"","family":"Ruhl","given":"A. Parker","non-dropping-particle":"","parse-names":false,"suffix":""},{"dropping-particle":"","family":"Bartoszek","given":"Gabriele","non-dropping-particle":"","parse-names":false,"suffix":""},{"dropping-particle":"","family":"Dubb","given":"Rolf","non-dropping-particle":"","parse-names":false,"suffix":""},{"dropping-particle":"","family":"Filipovic","given":"Silke","non-dropping-particle":"","parse-names":false,"suffix":""},{"dropping-particle":"","family":"Flohr","given":"Hans Jürgen","non-dropping-particle":"","parse-names":false,"suffix":""},{"dropping-particle":"","family":"Kaltwasser","given":"Arnold","non-dropping-particle":"","parse-names":false,"suffix":""},{"dropping-particle":"","family":"Mende","given":"Hendrik","non-dropping-particle":"","parse-names":false,"suffix":""},{"dropping-particle":"","family":"Rothaug","given":"Oliver","non-dropping-particle":"","parse-names":false,"suffix":""},{"dropping-particle":"","family":"Schuchhardt","given":"Danny","non-dropping-particle":"","parse-names":false,"suffix":""},{"dropping-particle":"","family":"Schwabbauer","given":"Norbert","non-dropping-particle":"","parse-names":false,"suffix":""},{"dropping-particle":"","family":"Needham","given":"Dale M.","non-dropping-particle":"","parse-names":false,"suffix":""}],"container-title":"Critical Care Medicine","id":"ITEM-2","issue":"5","issued":{"date-parts":[["2014"]]},"page":"1178-1186","title":"Early mobilization of mechanically ventilated patients: A 1-day point-prevalence study in Germany","type":"article-journal","volume":"42"},"uris":["http://www.mendeley.com/documents/?uuid=8250a01c-ae0c-4b80-a12a-6b5217aefb21"]}],"mendeley":{"formattedCitation":"[15,16]","plainTextFormattedCitation":"[15,16]","previouslyFormattedCitation":"[15,16]"},"properties":{"noteIndex":0},"schema":"https://github.com/citation-style-language/schema/raw/master/csl-citation.json"}</w:instrText>
      </w:r>
      <w:r w:rsidR="00B228DD" w:rsidRPr="00687B88">
        <w:rPr>
          <w:rFonts w:ascii="Arial" w:hAnsi="Arial" w:cs="Arial"/>
        </w:rPr>
        <w:fldChar w:fldCharType="separate"/>
      </w:r>
      <w:r w:rsidR="004B2EA2" w:rsidRPr="00687B88">
        <w:rPr>
          <w:rFonts w:ascii="Arial" w:hAnsi="Arial" w:cs="Arial"/>
          <w:noProof/>
        </w:rPr>
        <w:t>[15,16]</w:t>
      </w:r>
      <w:r w:rsidR="00B228DD" w:rsidRPr="00687B88">
        <w:rPr>
          <w:rFonts w:ascii="Arial" w:hAnsi="Arial" w:cs="Arial"/>
        </w:rPr>
        <w:fldChar w:fldCharType="end"/>
      </w:r>
      <w:r w:rsidR="00B228DD" w:rsidRPr="00687B88">
        <w:rPr>
          <w:rFonts w:ascii="Arial" w:hAnsi="Arial" w:cs="Arial"/>
        </w:rPr>
        <w:t>. Además, un 84-100% de los pacientes con VM invasiva no reciben actividades fuera de la cama</w:t>
      </w:r>
      <w:r w:rsidR="00B228DD" w:rsidRPr="00687B88">
        <w:rPr>
          <w:rFonts w:ascii="Arial" w:hAnsi="Arial" w:cs="Arial"/>
        </w:rPr>
        <w:fldChar w:fldCharType="begin" w:fldLock="1"/>
      </w:r>
      <w:r w:rsidR="003037EE" w:rsidRPr="00687B88">
        <w:rPr>
          <w:rFonts w:ascii="Arial" w:hAnsi="Arial" w:cs="Arial"/>
        </w:rPr>
        <w:instrText>ADDIN CSL_CITATION {"citationItems":[{"id":"ITEM-1","itemData":{"DOI":"10.1177/0885066617728486","ISSN":"0885-0666","author":[{"dropping-particle":"","family":"Sibilla","given":"Alberto","non-dropping-particle":"","parse-names":false,"suffix":""},{"dropping-particle":"","family":"Nydahl","given":"Peter","non-dropping-particle":"","parse-names":false,"suffix":""},{"dropping-particle":"","family":"Greco","given":"Nicola","non-dropping-particle":"","parse-names":false,"suffix":""},{"dropping-particle":"","family":"Mungo","given":"Giuseppe","non-dropping-particle":"","parse-names":false,"suffix":""},{"dropping-particle":"","family":"Ott","given":"Natalie","non-dropping-particle":"","parse-names":false,"suffix":""},{"dropping-particle":"","family":"Unger","given":"Ines","non-dropping-particle":"","parse-names":false,"suffix":""},{"dropping-particle":"","family":"Rezek","given":"Spencer","non-dropping-particle":"","parse-names":false,"suffix":""},{"dropping-particle":"","family":"Gemperle","given":"Sarah","non-dropping-particle":"","parse-names":false,"suffix":""},{"dropping-particle":"","family":"Needham","given":"Dale M.","non-dropping-particle":"","parse-names":false,"suffix":""},{"dropping-particle":"","family":"Kudchadkar","given":"Sapna R.","non-dropping-particle":"","parse-names":false,"suffix":""}],"container-title":"Journal of Intensive Care Medicine","id":"ITEM-1","issue":"1","issued":{"date-parts":[["2020","1"]]},"page":"55-62","title":"Mobilization of Mechanically Ventilated Patients in Switzerland","type":"article-journal","volume":"35"},"uris":["http://www.mendeley.com/documents/?uuid=384bfff4-4e93-4674-8b1a-8540caf1b6c1"]},{"id":"ITEM-2","itemData":{"DOI":"10.1097/CCM.0000000000000149","ISBN":"0000000000000","ISSN":"15300293","abstract":"Objectives: There is growing evidence to support early mobilization of adult mechanically ventilated patients in ICUs. However, there is little knowledge regarding early mobilization in routine ICU practice. Hence, the interdisciplinary German ICU Network for Early Mobilization undertook a 1-day point-prevalence survey across Germany. Design: One-day point-prevalence study. Setting: One hundred sixteen ICUs in Germany in 2011. Patients: All adult mechanically ventilated patients. Interventions: None. Measurements and Main Results: For a 24-hour period, data were abstracted on hospital and ICU characteristics, the level of patient mobilization and associated barriers, and complications occurring during mobilization. One hundred sixteen participating ICUs provided data for 783 patients. Overall, 185 patients (24%) were mobilized out of bed (i.e., sitting on the edge of the bed or higher level of mobilization). Among patients with an endotracheal tube, tracheostomy, and noninvasive ventilation, 8%, 39%, and 53% were mobilized out of bed, respectively (p &lt; 0.001 for difference between three groups). The most common perceived barriers to mobilizing patients out of bed were cardiovascular instability (17%) and deep sedation (15%). Mobilization out of bed versus remaining in bed was not associated with a higher frequency of complications, with no falls or extubations occurring in those mobilized out of bed. Conclusions: In this 1-day point-prevalence study conducted across Germany, only 24% of all mechanically ventilated patients and only 8% of patients with an endotracheal tube were mobilized out of bed as part of routine care. Addressing modifiable barriers for mobilization, such as deep sedation, will be important to increase mobilization in German ICUs. Copyright © 2014 by the Society of Critical Care Medicine and Lippincott Williams &amp; Wilkins.","author":[{"dropping-particle":"","family":"Nydahl","given":"Peter","non-dropping-particle":"","parse-names":false,"suffix":""},{"dropping-particle":"","family":"Ruhl","given":"A. Parker","non-dropping-particle":"","parse-names":false,"suffix":""},{"dropping-particle":"","family":"Bartoszek","given":"Gabriele","non-dropping-particle":"","parse-names":false,"suffix":""},{"dropping-particle":"","family":"Dubb","given":"Rolf","non-dropping-particle":"","parse-names":false,"suffix":""},{"dropping-particle":"","family":"Filipovic","given":"Silke","non-dropping-particle":"","parse-names":false,"suffix":""},{"dropping-particle":"","family":"Flohr","given":"Hans Jürgen","non-dropping-particle":"","parse-names":false,"suffix":""},{"dropping-particle":"","family":"Kaltwasser","given":"Arnold","non-dropping-particle":"","parse-names":false,"suffix":""},{"dropping-particle":"","family":"Mende","given":"Hendrik","non-dropping-particle":"","parse-names":false,"suffix":""},{"dropping-particle":"","family":"Rothaug","given":"Oliver","non-dropping-particle":"","parse-names":false,"suffix":""},{"dropping-particle":"","family":"Schuchhardt","given":"Danny","non-dropping-particle":"","parse-names":false,"suffix":""},{"dropping-particle":"","family":"Schwabbauer","given":"Norbert","non-dropping-particle":"","parse-names":false,"suffix":""},{"dropping-particle":"","family":"Needham","given":"Dale M.","non-dropping-particle":"","parse-names":false,"suffix":""}],"container-title":"Critical Care Medicine","id":"ITEM-2","issue":"5","issued":{"date-parts":[["2014"]]},"page":"1178-1186","title":"Early mobilization of mechanically ventilated patients: A 1-day point-prevalence study in Germany","type":"article-journal","volume":"42"},"uris":["http://www.mendeley.com/documents/?uuid=8250a01c-ae0c-4b80-a12a-6b5217aefb21"]},{"id":"ITEM-3","itemData":{"ISSN":"1441-2772","PMID":"24289506","abstract":"OBJECTIVES To develop a comprehensive set of items describing physiotherapy mobilisation practices for critically ill patients, and to document current practices in intensive care units in Australia and New Zealand, focusing on patients having &gt; 48 hours of mechanical ventilation. DESIGN Prospective, observational, multicentre, single-day, point prevalence study. PARTICIPANTS AND SETTING All patients in 38 Australian and New Zealand ICUs at 10 am on one of three designated days in 2009 and 2010. MAIN OUTCOME MEASURES Demographic data, admission diagnosis and mobilisation practices that had occurred in the previous 24 hours. RESULTS 514 patients were enrolled, with 498 complete datasets. Mean age was 59.2 years (SD, 16.7 years) and 45% were mechanically ventilated. Mobilisation activities were classified into five categories that were not mutually exclusive: 140 patients (28%) completed an in-bed exercise regimen, 93 (19%) sat over the side of the bed, 182 (37%) sat out of bed, 124 (25%) stood and 89 (18%) walked. Predefined adverse events occurred on 24 occasions (5%). No patient requiring mechanical ventilation sat out of bed or walked. On the study day, 391 patients had been in ICU for &gt; 48 hours. There were 384 complete datasets available for analysis and, of these, 332 patients (86%) were not walked. Of those not walked, 76 (23%) were in the ICU for ≥ 7 days. CONCLUSION Patient mobilisation was shown to be low in a single-day point prevalence study. Future observational studies are required to confirm the results.","author":[{"dropping-particle":"","family":"Berney","given":"Susan C","non-dropping-particle":"","parse-names":false,"suffix":""},{"dropping-particle":"","family":"Harrold","given":"Megan","non-dropping-particle":"","parse-names":false,"suffix":""},{"dropping-particle":"","family":"Webb","given":"Steven A","non-dropping-particle":"","parse-names":false,"suffix":""},{"dropping-particle":"","family":"Seppelt","given":"Ian","non-dropping-particle":"","parse-names":false,"suffix":""},{"dropping-particle":"","family":"Patman","given":"Shane","non-dropping-particle":"","parse-names":false,"suffix":""},{"dropping-particle":"","family":"Thomas","given":"Peter J","non-dropping-particle":"","parse-names":false,"suffix":""},{"dropping-particle":"","family":"Denehy","given":"Linda","non-dropping-particle":"","parse-names":false,"suffix":""}],"container-title":"Critical care and resuscitation : journal of the Australasian Academy of Critical Care Medicine","id":"ITEM-3","issue":"4","issued":{"date-parts":[["2013","12"]]},"page":"260-5","title":"Intensive care unit mobility practices in Australia and New Zealand: a point prevalence study.","type":"article-journal","volume":"15"},"uris":["http://www.mendeley.com/documents/?uuid=7a624d47-977e-488d-9425-fadf66ec20ef"]},{"id":"ITEM-4","itemData":{"DOI":"10.1097/CCM.0000000000002058","ISBN":"0090-3493","ISSN":"0090-3493","PMID":"27661864","abstract":"Objective: Early mobility in mechanically ventilated patients is safe, feasible, and may improve functional outcomes. We sought to determine the prevalence and character of mobility for ICU patients with acute respiratory failure in U.S. ICUs.Design: Two-day cross-sectional point prevalence study.Setting: Forty-two ICUs across 17 Acute Respiratory Distress Syndrome Network hospitals.Patients: Adult patients (≥ 18 yr old) with acute respiratory failure requiring mechanical ventilation.Interventions: We defined therapist-provided mobility as the proportion of patient-days with any physical or occupational therapy-provided mobility event. Hierarchical regression models were used to identify predictors of out-of-bed mobility.Measurements and Main Results: Hospitals contributed 770 patient-days of data. Patients received mechanical ventilation on 73% of the patient-days mostly (n = 432; 56%) ventilated via an endotracheal tube. The prevalence of physical therapy/occupational therapy-provided mobility was 32% (247/770), with a significantly higher proportion of nonmechanically ventilated patients receiving physical therapy/occupational therapy (48% vs 26%; p ≤ 0.001). Patients on mechanical ventilation achieved out-of-bed mobility on 16% (n = 90) of the total patient-days. Physical therapy/occupational therapy involvement in mobility events was strongly associated with progression to out-of-bed mobility (odds ratio, 29.1; CI, 15.1-56.3; p ≤ 0.001). Presence of an endotracheal tube and delirium were negatively associated with out-of-bed mobility.Conclusions: In a cohort of hospitals caring for acute respiratory failure patients, physical therapy/occupational therapy-provided mobility was infrequent. Physical therapy/occupational therapy involvement in mobility was strongly predictive of achieving greater mobility levels in patients with respiratory failure. Mechanical ventilation via an endotracheal tube and delirium are important predictors of mobility progression.","author":[{"dropping-particle":"","family":"Jolley","given":"Sarah Elizabeth","non-dropping-particle":"","parse-names":false,"suffix":""},{"dropping-particle":"","family":"Moss","given":"Marc","non-dropping-particle":"","parse-names":false,"suffix":""},{"dropping-particle":"","family":"Needham","given":"Dale M","non-dropping-particle":"","parse-names":false,"suffix":""},{"dropping-particle":"","family":"Caldwell","given":"Ellen","non-dropping-particle":"","parse-names":false,"suffix":""},{"dropping-particle":"","family":"Morris","given":"Peter E","non-dropping-particle":"","parse-names":false,"suffix":""},{"dropping-particle":"","family":"Miller","given":"Russell R","non-dropping-particle":"","parse-names":false,"suffix":""},{"dropping-particle":"","family":"Ringwood","given":"Nancy","non-dropping-particle":"","parse-names":false,"suffix":""},{"dropping-particle":"","family":"Anders","given":"Megan","non-dropping-particle":"","parse-names":false,"suffix":""},{"dropping-particle":"","family":"Koo","given":"Karen K","non-dropping-particle":"","parse-names":false,"suffix":""},{"dropping-particle":"","family":"Gundel","given":"Stephanie E","non-dropping-particle":"","parse-names":false,"suffix":""},{"dropping-particle":"","family":"Parry","given":"Selina M","non-dropping-particle":"","parse-names":false,"suffix":""},{"dropping-particle":"","family":"Hough","given":"Catherine L","non-dropping-particle":"","parse-names":false,"suffix":""}],"container-title":"Critical Care Medicine","id":"ITEM-4","issue":"2","issued":{"date-parts":[["2017","2"]]},"page":"205-215","title":"Point Prevalence Study of Mobilization Practices for Acute Respiratory Failure Patients in the United States","type":"article-journal","volume":"45"},"uris":["http://www.mendeley.com/documents/?uuid=1c671bbb-bf2e-4049-a912-5b87ab72c7d9"]},{"id":"ITEM-5","itemData":{"DOI":"10.1371/journal.pone.0230971","ISSN":"1932-6203","author":[{"dropping-particle":"","family":"Timenetsky","given":"Karina T.","non-dropping-particle":"","parse-names":false,"suffix":""},{"dropping-particle":"","family":"Neto","given":"Ary Serpa","non-dropping-particle":"","parse-names":false,"suffix":""},{"dropping-particle":"","family":"Assunção","given":"Murillo S. C.","non-dropping-particle":"","parse-names":false,"suffix":""},{"dropping-particle":"","family":"Taniguchi","given":"Leandro","non-dropping-particle":"","parse-names":false,"suffix":""},{"dropping-particle":"","family":"Eid","given":"Raquel A. C.","non-dropping-particle":"","parse-names":false,"suffix":""},{"dropping-particle":"","family":"Corrêa","given":"Thiago D.","non-dropping-particle":"","parse-names":false,"suffix":""}],"container-title":"PLOS ONE","editor":[{"dropping-particle":"","family":"Crivellari","given":"Martina","non-dropping-particle":"","parse-names":false,"suffix":""}],"id":"ITEM-5","issue":"4","issued":{"date-parts":[["2020","4"]]},"page":"e0230971","title":"Mobilization practices in the ICU: A nationwide 1-day point- prevalence study in Brazil","type":"article-journal","volume":"15"},"uris":["http://www.mendeley.com/documents/?uuid=ca94e39b-5608-4826-b6ef-ca5e049654f3"]}],"mendeley":{"formattedCitation":"[15–19]","plainTextFormattedCitation":"[15–19]","previouslyFormattedCitation":"[15–19]"},"properties":{"noteIndex":0},"schema":"https://github.com/citation-style-language/schema/raw/master/csl-citation.json"}</w:instrText>
      </w:r>
      <w:r w:rsidR="00B228DD" w:rsidRPr="00687B88">
        <w:rPr>
          <w:rFonts w:ascii="Arial" w:hAnsi="Arial" w:cs="Arial"/>
        </w:rPr>
        <w:fldChar w:fldCharType="separate"/>
      </w:r>
      <w:r w:rsidR="004B2EA2" w:rsidRPr="00687B88">
        <w:rPr>
          <w:rFonts w:ascii="Arial" w:hAnsi="Arial" w:cs="Arial"/>
          <w:noProof/>
        </w:rPr>
        <w:t>[15–19]</w:t>
      </w:r>
      <w:r w:rsidR="00B228DD" w:rsidRPr="00687B88">
        <w:rPr>
          <w:rFonts w:ascii="Arial" w:hAnsi="Arial" w:cs="Arial"/>
        </w:rPr>
        <w:fldChar w:fldCharType="end"/>
      </w:r>
      <w:r w:rsidR="00B228DD" w:rsidRPr="00687B88">
        <w:rPr>
          <w:rFonts w:ascii="Arial" w:hAnsi="Arial" w:cs="Arial"/>
        </w:rPr>
        <w:t xml:space="preserve">. </w:t>
      </w:r>
      <w:r w:rsidR="003E1719" w:rsidRPr="00687B88">
        <w:rPr>
          <w:rFonts w:ascii="Arial" w:hAnsi="Arial" w:cs="Arial"/>
        </w:rPr>
        <w:t>Fuera de la rehabilitación recibida, Berney</w:t>
      </w:r>
      <w:r w:rsidR="00381D59" w:rsidRPr="00687B88">
        <w:rPr>
          <w:rFonts w:ascii="Arial" w:hAnsi="Arial" w:cs="Arial"/>
        </w:rPr>
        <w:t xml:space="preserve"> </w:t>
      </w:r>
      <w:r w:rsidR="00381D59" w:rsidRPr="00687B88">
        <w:rPr>
          <w:rFonts w:ascii="Arial" w:hAnsi="Arial" w:cs="Arial"/>
          <w:i/>
        </w:rPr>
        <w:t>et al.</w:t>
      </w:r>
      <w:r w:rsidR="003E1719" w:rsidRPr="00687B88">
        <w:rPr>
          <w:rFonts w:ascii="Arial" w:hAnsi="Arial" w:cs="Arial"/>
        </w:rPr>
        <w:t xml:space="preserve"> mediante la observación directa dem</w:t>
      </w:r>
      <w:r w:rsidR="00E03C79" w:rsidRPr="00687B88">
        <w:rPr>
          <w:rFonts w:ascii="Arial" w:hAnsi="Arial" w:cs="Arial"/>
        </w:rPr>
        <w:t>ostró</w:t>
      </w:r>
      <w:r w:rsidR="003E1719" w:rsidRPr="00687B88">
        <w:rPr>
          <w:rFonts w:ascii="Arial" w:hAnsi="Arial" w:cs="Arial"/>
        </w:rPr>
        <w:t xml:space="preserve"> que los pacientes pasan un </w:t>
      </w:r>
      <w:r w:rsidR="00906B66" w:rsidRPr="00687B88">
        <w:rPr>
          <w:rFonts w:ascii="Arial" w:hAnsi="Arial" w:cs="Arial"/>
        </w:rPr>
        <w:t>96% del tiempo inactivos</w:t>
      </w:r>
      <w:r w:rsidR="00BD1E0E" w:rsidRPr="00687B88">
        <w:rPr>
          <w:rFonts w:ascii="Arial" w:hAnsi="Arial" w:cs="Arial"/>
        </w:rPr>
        <w:fldChar w:fldCharType="begin" w:fldLock="1"/>
      </w:r>
      <w:r w:rsidR="003037EE" w:rsidRPr="00687B88">
        <w:rPr>
          <w:rFonts w:ascii="Arial" w:hAnsi="Arial" w:cs="Arial"/>
        </w:rPr>
        <w:instrText>ADDIN CSL_CITATION {"citationItems":[{"id":"ITEM-1","itemData":{"DOI":"10.1016/j.jcrc.2015.03.006","ISSN":"15578615","PMID":"25813549","abstract":"Purpose: Critical illness can result in impaired physical function. Increased physical activity, additional to rehabilitation, has demonstrated improved functional independence at hospital discharge. The purpose of this study was to measure patterns of physical activity in a group of critically ill patients. Methods: This was a single-center, open, observational behavioral mapping study performed in a quaternary intensive care unit (ICU) in Melbourne, Australia. Observations were collected every 10 minutes for 8 hours between 8:00 am and 5:00 pm with the highest level of physical activity, patient location, and persons present at the bedside recorded. Results: Two thousand fifty observations were collected across 8 days. Patients spent more than 7 hours in bed (median [interquartile range] of 100% [69%-100%]) participating in little or no activity for approximately 7 hours of the day (median [interquartile range] 96% [76%-96%]). Outside rehabilitation, no activities associated with ambulation were undertaken. Patients who were ventilated at the time of observation compared with those who were not were less likely to be out of bed (98% reduction in odds). Patients spent up to 30% of their time alone. Conclusion: Outside rehabilitation, patients in ICU are inactive and spend approximately one-third of the 8-hour day alone. Strategies to increase physical activity levels in ICU are required.","author":[{"dropping-particle":"","family":"Berney","given":"Susan C.","non-dropping-particle":"","parse-names":false,"suffix":""},{"dropping-particle":"","family":"Rose","given":"Joleen W.","non-dropping-particle":"","parse-names":false,"suffix":""},{"dropping-particle":"","family":"Bernhardt","given":"Julie","non-dropping-particle":"","parse-names":false,"suffix":""},{"dropping-particle":"","family":"Denehy","given":"Linda","non-dropping-particle":"","parse-names":false,"suffix":""}],"container-title":"Journal of Critical Care","id":"ITEM-1","issue":"4","issued":{"date-parts":[["2015"]]},"page":"658-663","publisher":"Elsevier B.V.","title":"Prospective observation of physical activity in critically ill patients who were intubated for more than 48 hours","type":"article-journal","volume":"30"},"uris":["http://www.mendeley.com/documents/?uuid=63e3058b-a11e-40cb-af58-7fc6422632d6"]}],"mendeley":{"formattedCitation":"[20]","plainTextFormattedCitation":"[20]","previouslyFormattedCitation":"[20]"},"properties":{"noteIndex":0},"schema":"https://github.com/citation-style-language/schema/raw/master/csl-citation.json"}</w:instrText>
      </w:r>
      <w:r w:rsidR="00BD1E0E" w:rsidRPr="00687B88">
        <w:rPr>
          <w:rFonts w:ascii="Arial" w:hAnsi="Arial" w:cs="Arial"/>
        </w:rPr>
        <w:fldChar w:fldCharType="separate"/>
      </w:r>
      <w:r w:rsidR="004B2EA2" w:rsidRPr="00687B88">
        <w:rPr>
          <w:rFonts w:ascii="Arial" w:hAnsi="Arial" w:cs="Arial"/>
          <w:noProof/>
        </w:rPr>
        <w:t>[20]</w:t>
      </w:r>
      <w:r w:rsidR="00BD1E0E" w:rsidRPr="00687B88">
        <w:rPr>
          <w:rFonts w:ascii="Arial" w:hAnsi="Arial" w:cs="Arial"/>
        </w:rPr>
        <w:fldChar w:fldCharType="end"/>
      </w:r>
      <w:r w:rsidR="00906B66" w:rsidRPr="00687B88">
        <w:rPr>
          <w:rFonts w:ascii="Arial" w:hAnsi="Arial" w:cs="Arial"/>
        </w:rPr>
        <w:t xml:space="preserve"> </w:t>
      </w:r>
      <w:r w:rsidR="003E1719" w:rsidRPr="00687B88">
        <w:rPr>
          <w:rFonts w:ascii="Arial" w:hAnsi="Arial" w:cs="Arial"/>
        </w:rPr>
        <w:t>y mediante actigrafía Gupta</w:t>
      </w:r>
      <w:r w:rsidR="00381D59" w:rsidRPr="00687B88">
        <w:rPr>
          <w:rFonts w:ascii="Arial" w:hAnsi="Arial" w:cs="Arial"/>
        </w:rPr>
        <w:t xml:space="preserve"> </w:t>
      </w:r>
      <w:r w:rsidR="00381D59" w:rsidRPr="00687B88">
        <w:rPr>
          <w:rFonts w:ascii="Arial" w:hAnsi="Arial" w:cs="Arial"/>
          <w:i/>
        </w:rPr>
        <w:t>et al.</w:t>
      </w:r>
      <w:r w:rsidR="00381D59" w:rsidRPr="00687B88">
        <w:rPr>
          <w:rFonts w:ascii="Arial" w:hAnsi="Arial" w:cs="Arial"/>
        </w:rPr>
        <w:t xml:space="preserve"> </w:t>
      </w:r>
      <w:r w:rsidR="003E1719" w:rsidRPr="00687B88">
        <w:rPr>
          <w:rFonts w:ascii="Arial" w:hAnsi="Arial" w:cs="Arial"/>
        </w:rPr>
        <w:t>demostró que los pacientes en UCI están inactivos dos tercios del tiempo de</w:t>
      </w:r>
      <w:r w:rsidR="00687B88" w:rsidRPr="00687B88">
        <w:rPr>
          <w:rFonts w:ascii="Arial" w:hAnsi="Arial" w:cs="Arial"/>
        </w:rPr>
        <w:t xml:space="preserve"> </w:t>
      </w:r>
      <w:r w:rsidR="003E1719" w:rsidRPr="00687B88">
        <w:rPr>
          <w:rFonts w:ascii="Arial" w:hAnsi="Arial" w:cs="Arial"/>
        </w:rPr>
        <w:t>medición</w:t>
      </w:r>
      <w:r w:rsidR="00BD1E0E" w:rsidRPr="00687B88">
        <w:rPr>
          <w:rFonts w:ascii="Arial" w:hAnsi="Arial" w:cs="Arial"/>
        </w:rPr>
        <w:fldChar w:fldCharType="begin" w:fldLock="1"/>
      </w:r>
      <w:r w:rsidR="003037EE" w:rsidRPr="00687B88">
        <w:rPr>
          <w:rFonts w:ascii="Arial" w:hAnsi="Arial" w:cs="Arial"/>
        </w:rPr>
        <w:instrText>ADDIN CSL_CITATION {"citationItems":[{"id":"ITEM-1","itemData":{"DOI":"10.1016/j.hrtlng.2020.02.002","ISSN":"01479563","author":[{"dropping-particle":"","family":"Gupta","given":"Prerna","non-dropping-particle":"","parse-names":false,"suffix":""},{"dropping-particle":"","family":"Martin","given":"Jennifer L.","non-dropping-particle":"","parse-names":false,"suffix":""},{"dropping-particle":"","family":"Needham","given":"Dale M.","non-dropping-particle":"","parse-names":false,"suffix":""},{"dropping-particle":"","family":"Vangala","given":"Sitaram","non-dropping-particle":"","parse-names":false,"suffix":""},{"dropping-particle":"","family":"Colantuoni","given":"Elizabeth","non-dropping-particle":"","parse-names":false,"suffix":""},{"dropping-particle":"","family":"Kamdar","given":"Biren B.","non-dropping-particle":"","parse-names":false,"suffix":""}],"container-title":"Heart &amp; Lung","id":"ITEM-1","issue":"4","issued":{"date-parts":[["2020","7"]]},"page":"398-406","title":"Use of actigraphy to characterize inactivity and activity in patients in a medical ICU","type":"article-journal","volume":"49"},"uris":["http://www.mendeley.com/documents/?uuid=7bb8c953-3aa9-4232-a02a-cca505a729fb"]}],"mendeley":{"formattedCitation":"[21]","plainTextFormattedCitation":"[21]","previouslyFormattedCitation":"[21]"},"properties":{"noteIndex":0},"schema":"https://github.com/citation-style-language/schema/raw/master/csl-citation.json"}</w:instrText>
      </w:r>
      <w:r w:rsidR="00BD1E0E" w:rsidRPr="00687B88">
        <w:rPr>
          <w:rFonts w:ascii="Arial" w:hAnsi="Arial" w:cs="Arial"/>
        </w:rPr>
        <w:fldChar w:fldCharType="separate"/>
      </w:r>
      <w:r w:rsidR="004B2EA2" w:rsidRPr="00687B88">
        <w:rPr>
          <w:rFonts w:ascii="Arial" w:hAnsi="Arial" w:cs="Arial"/>
          <w:noProof/>
        </w:rPr>
        <w:t>[21]</w:t>
      </w:r>
      <w:r w:rsidR="00BD1E0E" w:rsidRPr="00687B88">
        <w:rPr>
          <w:rFonts w:ascii="Arial" w:hAnsi="Arial" w:cs="Arial"/>
        </w:rPr>
        <w:fldChar w:fldCharType="end"/>
      </w:r>
      <w:r w:rsidR="003E1719" w:rsidRPr="00687B88">
        <w:rPr>
          <w:rFonts w:ascii="Arial" w:hAnsi="Arial" w:cs="Arial"/>
        </w:rPr>
        <w:t xml:space="preserve"> y durante toda la estadía en UCI pueden estar inactivos hasta un 98% del tiempo</w:t>
      </w:r>
      <w:r w:rsidR="00BD1E0E" w:rsidRPr="00687B88">
        <w:rPr>
          <w:rFonts w:ascii="Arial" w:hAnsi="Arial" w:cs="Arial"/>
        </w:rPr>
        <w:fldChar w:fldCharType="begin" w:fldLock="1"/>
      </w:r>
      <w:r w:rsidR="003037EE" w:rsidRPr="00687B88">
        <w:rPr>
          <w:rFonts w:ascii="Arial" w:hAnsi="Arial" w:cs="Arial"/>
        </w:rPr>
        <w:instrText>ADDIN CSL_CITATION {"citationItems":[{"id":"ITEM-1","itemData":{"DOI":"10.1097/JAT.0000000000000193","ISBN":"0000000000000","author":[{"dropping-particle":"","family":"González-seguel","given":"Felipe","non-dropping-particle":"","parse-names":false,"suffix":""},{"dropping-particle":"","family":"Camus-molina","given":"Agustín","non-dropping-particle":"","parse-names":false,"suffix":""},{"dropping-particle":"","family":"Leiva-corvalán","given":"Macarena","non-dropping-particle":"","parse-names":false,"suffix":""},{"dropping-particle":"","family":"Mayer","given":"Kirby P","non-dropping-particle":"","parse-names":false,"suffix":""},{"dropping-particle":"","family":"Leppe","given":"Jaime","non-dropping-particle":"","parse-names":false,"suffix":""}],"container-title":"Journal of Acute Care Physical Therapy","id":"ITEM-1","issue":"0","issued":{"date-parts":[["2022"]]},"page":"1-8","title":"Uninterrupted Actigraphy Recording to Feasibility Prospective Observational Study","type":"article-journal","volume":"00"},"uris":["http://www.mendeley.com/documents/?uuid=42188fa3-4202-47e6-b1d1-9cc4f6618560"]}],"mendeley":{"formattedCitation":"[22]","plainTextFormattedCitation":"[22]","previouslyFormattedCitation":"[22]"},"properties":{"noteIndex":0},"schema":"https://github.com/citation-style-language/schema/raw/master/csl-citation.json"}</w:instrText>
      </w:r>
      <w:r w:rsidR="00BD1E0E" w:rsidRPr="00687B88">
        <w:rPr>
          <w:rFonts w:ascii="Arial" w:hAnsi="Arial" w:cs="Arial"/>
        </w:rPr>
        <w:fldChar w:fldCharType="separate"/>
      </w:r>
      <w:r w:rsidR="004B2EA2" w:rsidRPr="00687B88">
        <w:rPr>
          <w:rFonts w:ascii="Arial" w:hAnsi="Arial" w:cs="Arial"/>
          <w:noProof/>
        </w:rPr>
        <w:t>[22]</w:t>
      </w:r>
      <w:r w:rsidR="00BD1E0E" w:rsidRPr="00687B88">
        <w:rPr>
          <w:rFonts w:ascii="Arial" w:hAnsi="Arial" w:cs="Arial"/>
        </w:rPr>
        <w:fldChar w:fldCharType="end"/>
      </w:r>
      <w:r w:rsidR="003E1719" w:rsidRPr="00687B88">
        <w:rPr>
          <w:rFonts w:ascii="Arial" w:hAnsi="Arial" w:cs="Arial"/>
        </w:rPr>
        <w:t>.</w:t>
      </w:r>
      <w:r w:rsidR="00381D59" w:rsidRPr="00687B88">
        <w:rPr>
          <w:rFonts w:ascii="Arial" w:hAnsi="Arial" w:cs="Arial"/>
        </w:rPr>
        <w:t xml:space="preserve"> </w:t>
      </w:r>
    </w:p>
    <w:p w14:paraId="141A97A4" w14:textId="6D27DF08" w:rsidR="005E234E" w:rsidRPr="00687B88" w:rsidRDefault="005E234E" w:rsidP="00687B88">
      <w:pPr>
        <w:spacing w:line="480" w:lineRule="auto"/>
        <w:rPr>
          <w:rFonts w:ascii="Arial" w:hAnsi="Arial" w:cs="Arial"/>
        </w:rPr>
      </w:pPr>
    </w:p>
    <w:p w14:paraId="100AD0EE" w14:textId="09FDFA4E" w:rsidR="00114D71" w:rsidRDefault="005E234E" w:rsidP="00687B88">
      <w:pPr>
        <w:spacing w:line="480" w:lineRule="auto"/>
        <w:rPr>
          <w:rFonts w:ascii="Arial" w:hAnsi="Arial" w:cs="Arial"/>
        </w:rPr>
      </w:pPr>
      <w:r w:rsidRPr="00687B88">
        <w:rPr>
          <w:rFonts w:ascii="Arial" w:hAnsi="Arial" w:cs="Arial"/>
        </w:rPr>
        <w:t>Siguiendo las recomendaciones de la organización mundial de la salud (OMS)</w:t>
      </w:r>
      <w:r w:rsidR="004D56A3" w:rsidRPr="00687B88">
        <w:rPr>
          <w:rFonts w:ascii="Arial" w:hAnsi="Arial" w:cs="Arial"/>
        </w:rPr>
        <w:t xml:space="preserve"> </w:t>
      </w:r>
      <w:r w:rsidR="00381D59" w:rsidRPr="00687B88">
        <w:rPr>
          <w:rFonts w:ascii="Arial" w:hAnsi="Arial" w:cs="Arial"/>
        </w:rPr>
        <w:t xml:space="preserve">realizar quiebres de conducta sedentaria con algo </w:t>
      </w:r>
      <w:r w:rsidR="004D56A3" w:rsidRPr="00687B88">
        <w:rPr>
          <w:rFonts w:ascii="Arial" w:hAnsi="Arial" w:cs="Arial"/>
        </w:rPr>
        <w:t>de actividad física de cualquier intensidad es mejor que permanecer inactivo</w:t>
      </w:r>
      <w:r w:rsidR="00CF17A7" w:rsidRPr="00687B88">
        <w:rPr>
          <w:rFonts w:ascii="Arial" w:hAnsi="Arial" w:cs="Arial"/>
        </w:rPr>
        <w:t xml:space="preserve"> en </w:t>
      </w:r>
      <w:r w:rsidR="00FC4AE3" w:rsidRPr="00687B88">
        <w:rPr>
          <w:rFonts w:ascii="Arial" w:hAnsi="Arial" w:cs="Arial"/>
        </w:rPr>
        <w:t xml:space="preserve">la </w:t>
      </w:r>
      <w:r w:rsidR="00CF17A7" w:rsidRPr="00687B88">
        <w:rPr>
          <w:rFonts w:ascii="Arial" w:hAnsi="Arial" w:cs="Arial"/>
        </w:rPr>
        <w:t>población general y en algunas poblaciones específicas (</w:t>
      </w:r>
      <w:r w:rsidR="0011571F" w:rsidRPr="00687B88">
        <w:rPr>
          <w:rFonts w:ascii="Arial" w:hAnsi="Arial" w:cs="Arial"/>
        </w:rPr>
        <w:t>adultos sobrevivientes de cáncer, con hipertensión arterial, diabetes tipo II, entre otros</w:t>
      </w:r>
      <w:r w:rsidR="00CF17A7" w:rsidRPr="00687B88">
        <w:rPr>
          <w:rFonts w:ascii="Arial" w:hAnsi="Arial" w:cs="Arial"/>
        </w:rPr>
        <w:t>)</w:t>
      </w:r>
      <w:r w:rsidR="004D56A3" w:rsidRPr="00687B88">
        <w:rPr>
          <w:rFonts w:ascii="Arial" w:hAnsi="Arial" w:cs="Arial"/>
        </w:rPr>
        <w:fldChar w:fldCharType="begin" w:fldLock="1"/>
      </w:r>
      <w:r w:rsidR="003037EE" w:rsidRPr="00687B88">
        <w:rPr>
          <w:rFonts w:ascii="Arial" w:hAnsi="Arial" w:cs="Arial"/>
        </w:rPr>
        <w:instrText>ADDIN CSL_CITATION {"citationItems":[{"id":"ITEM-1","itemData":{"ISBN":"9789241550536","abstract":"Uno de cada cinco niños sufre obesidad, una enfermedad crónica que empeora notablemente la calidad de vida y aumenta el riesgo de padecer, entre otras, enfermedades cardiovasculares, hipertensión y diabetes. Sin embargo, aún hay poca consciencia en la sociedad de la gravedad de esta epidemia, cuyo tratamiento más eficaz es la prevención. Para ello, la primera infancia constituye, según los expertos, una etapa crucial para la instauración de hábitos saludables y evitar desarrollar una obesidad que en la mayoría de los casos persiste hasta la adolescencia. Tanto que la Organización Mundial de la Salud (OMS) ha publicado este miércoles por primera vez una guía sobre actividad física, sedentarismo y sueño para niños de cero a cuatro años. A partir del año, recomienda realizar al menos tres horas de actividad física al día; nada de tiempo de pantallas hasta los dos años, y a partir de esa edad, lo menos posible, con una hora diaria como máximo.","author":[{"dropping-particle":"","family":"Geneva: World Health Organization","given":"","non-dropping-particle":"","parse-names":false,"suffix":""}],"container-title":"World Health Organization","id":"ITEM-1","issued":{"date-parts":[["2020"]]},"number-of-pages":"4","title":"WHO Guidelines on Physical Activity and Sedentary Behaviour","type":"book"},"uris":["http://www.mendeley.com/documents/?uuid=fdba5b5b-c183-4f28-88b2-a3f4669b3589"]}],"mendeley":{"formattedCitation":"[23]","plainTextFormattedCitation":"[23]","previouslyFormattedCitation":"[23]"},"properties":{"noteIndex":0},"schema":"https://github.com/citation-style-language/schema/raw/master/csl-citation.json"}</w:instrText>
      </w:r>
      <w:r w:rsidR="004D56A3" w:rsidRPr="00687B88">
        <w:rPr>
          <w:rFonts w:ascii="Arial" w:hAnsi="Arial" w:cs="Arial"/>
        </w:rPr>
        <w:fldChar w:fldCharType="separate"/>
      </w:r>
      <w:r w:rsidR="004B2EA2" w:rsidRPr="00687B88">
        <w:rPr>
          <w:rFonts w:ascii="Arial" w:hAnsi="Arial" w:cs="Arial"/>
          <w:noProof/>
        </w:rPr>
        <w:t>[23]</w:t>
      </w:r>
      <w:r w:rsidR="004D56A3" w:rsidRPr="00687B88">
        <w:rPr>
          <w:rFonts w:ascii="Arial" w:hAnsi="Arial" w:cs="Arial"/>
        </w:rPr>
        <w:fldChar w:fldCharType="end"/>
      </w:r>
      <w:r w:rsidR="004D56A3" w:rsidRPr="00687B88">
        <w:rPr>
          <w:rFonts w:ascii="Arial" w:hAnsi="Arial" w:cs="Arial"/>
        </w:rPr>
        <w:t xml:space="preserve">. </w:t>
      </w:r>
      <w:r w:rsidR="00FC4AE3" w:rsidRPr="00687B88">
        <w:rPr>
          <w:rFonts w:ascii="Arial" w:hAnsi="Arial" w:cs="Arial"/>
        </w:rPr>
        <w:t>Es por esto</w:t>
      </w:r>
      <w:r w:rsidR="004D56A3" w:rsidRPr="00687B88">
        <w:rPr>
          <w:rFonts w:ascii="Arial" w:hAnsi="Arial" w:cs="Arial"/>
        </w:rPr>
        <w:t>,</w:t>
      </w:r>
      <w:r w:rsidR="007805A9" w:rsidRPr="00687B88">
        <w:rPr>
          <w:rFonts w:ascii="Arial" w:hAnsi="Arial" w:cs="Arial"/>
        </w:rPr>
        <w:t xml:space="preserve"> </w:t>
      </w:r>
      <w:r w:rsidR="00FC4AE3" w:rsidRPr="00687B88">
        <w:rPr>
          <w:rFonts w:ascii="Arial" w:hAnsi="Arial" w:cs="Arial"/>
        </w:rPr>
        <w:t>que es importante indagar sobre el comportamiento de la inactividad en UCI. Sin embargo</w:t>
      </w:r>
      <w:r w:rsidR="006C1BE1" w:rsidRPr="00687B88">
        <w:rPr>
          <w:rFonts w:ascii="Arial" w:hAnsi="Arial" w:cs="Arial"/>
        </w:rPr>
        <w:t>,</w:t>
      </w:r>
      <w:r w:rsidR="00FC4AE3" w:rsidRPr="00687B88">
        <w:rPr>
          <w:rFonts w:ascii="Arial" w:hAnsi="Arial" w:cs="Arial"/>
        </w:rPr>
        <w:t xml:space="preserve"> </w:t>
      </w:r>
      <w:r w:rsidR="004D56A3" w:rsidRPr="00687B88">
        <w:rPr>
          <w:rFonts w:ascii="Arial" w:hAnsi="Arial" w:cs="Arial"/>
        </w:rPr>
        <w:t xml:space="preserve">las características específicas de la inactividad </w:t>
      </w:r>
      <w:r w:rsidR="006D6E34" w:rsidRPr="00687B88">
        <w:rPr>
          <w:rFonts w:ascii="Arial" w:hAnsi="Arial" w:cs="Arial"/>
        </w:rPr>
        <w:t xml:space="preserve">de los pacientes </w:t>
      </w:r>
      <w:r w:rsidR="004D56A3" w:rsidRPr="00687B88">
        <w:rPr>
          <w:rFonts w:ascii="Arial" w:hAnsi="Arial" w:cs="Arial"/>
        </w:rPr>
        <w:t xml:space="preserve">en </w:t>
      </w:r>
    </w:p>
    <w:p w14:paraId="6F782C85" w14:textId="7050CE45" w:rsidR="00114D71" w:rsidRDefault="00114D71" w:rsidP="00114D71">
      <w:pPr>
        <w:rPr>
          <w:rFonts w:ascii="Arial" w:hAnsi="Arial" w:cs="Arial"/>
        </w:rPr>
      </w:pPr>
    </w:p>
    <w:p w14:paraId="670612E4" w14:textId="6F0FAF55" w:rsidR="00114D71" w:rsidRPr="00114D71" w:rsidRDefault="00114D71" w:rsidP="00114D71">
      <w:pPr>
        <w:jc w:val="center"/>
        <w:rPr>
          <w:rFonts w:ascii="Arial" w:hAnsi="Arial" w:cs="Arial"/>
          <w:color w:val="808080" w:themeColor="background1" w:themeShade="80"/>
        </w:rPr>
      </w:pPr>
      <w:r>
        <w:rPr>
          <w:rFonts w:ascii="Arial" w:hAnsi="Arial" w:cs="Arial"/>
          <w:color w:val="808080" w:themeColor="background1" w:themeShade="80"/>
        </w:rPr>
        <w:t>2</w:t>
      </w:r>
    </w:p>
    <w:p w14:paraId="136E9068" w14:textId="77777777" w:rsidR="00114D71" w:rsidRDefault="004D56A3" w:rsidP="00687B88">
      <w:pPr>
        <w:spacing w:line="480" w:lineRule="auto"/>
        <w:rPr>
          <w:rFonts w:ascii="Arial" w:hAnsi="Arial" w:cs="Arial"/>
        </w:rPr>
      </w:pPr>
      <w:r w:rsidRPr="00687B88">
        <w:rPr>
          <w:rFonts w:ascii="Arial" w:hAnsi="Arial" w:cs="Arial"/>
        </w:rPr>
        <w:t xml:space="preserve">UCI son desconocidas. Por lo tanto, el objetivo de este estudio </w:t>
      </w:r>
      <w:r w:rsidR="00DF3377" w:rsidRPr="00687B88">
        <w:rPr>
          <w:rFonts w:ascii="Arial" w:hAnsi="Arial" w:cs="Arial"/>
        </w:rPr>
        <w:t xml:space="preserve">fue </w:t>
      </w:r>
      <w:r w:rsidRPr="00687B88">
        <w:rPr>
          <w:rFonts w:ascii="Arial" w:hAnsi="Arial" w:cs="Arial"/>
        </w:rPr>
        <w:t>describir el comportamiento de inactividad de pacientes con estadía prolongada en la UCI utilizando el concepto de quiebres de inactividad mediante actigrafía.</w:t>
      </w:r>
    </w:p>
    <w:p w14:paraId="7C184AB4" w14:textId="77777777" w:rsidR="00114D71" w:rsidRDefault="00114D71" w:rsidP="00687B88">
      <w:pPr>
        <w:spacing w:line="480" w:lineRule="auto"/>
        <w:rPr>
          <w:rFonts w:ascii="Times New Roman" w:hAnsi="Times New Roman" w:cs="Times New Roman"/>
        </w:rPr>
      </w:pPr>
    </w:p>
    <w:p w14:paraId="78312BF8" w14:textId="77777777" w:rsidR="00114D71" w:rsidRDefault="00114D71" w:rsidP="00687B88">
      <w:pPr>
        <w:spacing w:line="480" w:lineRule="auto"/>
        <w:rPr>
          <w:rFonts w:ascii="Times New Roman" w:hAnsi="Times New Roman" w:cs="Times New Roman"/>
        </w:rPr>
      </w:pPr>
    </w:p>
    <w:p w14:paraId="2EAADD26" w14:textId="77777777" w:rsidR="00114D71" w:rsidRDefault="00114D71" w:rsidP="00687B88">
      <w:pPr>
        <w:spacing w:line="480" w:lineRule="auto"/>
        <w:rPr>
          <w:rFonts w:ascii="Times New Roman" w:hAnsi="Times New Roman" w:cs="Times New Roman"/>
        </w:rPr>
      </w:pPr>
    </w:p>
    <w:p w14:paraId="5B92C99B" w14:textId="77777777" w:rsidR="00114D71" w:rsidRDefault="00114D71" w:rsidP="00687B88">
      <w:pPr>
        <w:spacing w:line="480" w:lineRule="auto"/>
        <w:rPr>
          <w:rFonts w:ascii="Times New Roman" w:hAnsi="Times New Roman" w:cs="Times New Roman"/>
        </w:rPr>
      </w:pPr>
    </w:p>
    <w:p w14:paraId="112331F1" w14:textId="77777777" w:rsidR="00114D71" w:rsidRDefault="00114D71" w:rsidP="00687B88">
      <w:pPr>
        <w:spacing w:line="480" w:lineRule="auto"/>
        <w:rPr>
          <w:rFonts w:ascii="Times New Roman" w:hAnsi="Times New Roman" w:cs="Times New Roman"/>
        </w:rPr>
      </w:pPr>
    </w:p>
    <w:p w14:paraId="397BC5C4" w14:textId="77777777" w:rsidR="00114D71" w:rsidRDefault="00114D71" w:rsidP="00687B88">
      <w:pPr>
        <w:spacing w:line="480" w:lineRule="auto"/>
        <w:rPr>
          <w:rFonts w:ascii="Times New Roman" w:hAnsi="Times New Roman" w:cs="Times New Roman"/>
        </w:rPr>
      </w:pPr>
    </w:p>
    <w:p w14:paraId="3D12074E" w14:textId="77777777" w:rsidR="00114D71" w:rsidRDefault="00114D71" w:rsidP="00687B88">
      <w:pPr>
        <w:spacing w:line="480" w:lineRule="auto"/>
        <w:rPr>
          <w:rFonts w:ascii="Times New Roman" w:hAnsi="Times New Roman" w:cs="Times New Roman"/>
        </w:rPr>
      </w:pPr>
    </w:p>
    <w:p w14:paraId="1145429C" w14:textId="77777777" w:rsidR="00114D71" w:rsidRDefault="00114D71" w:rsidP="00687B88">
      <w:pPr>
        <w:spacing w:line="480" w:lineRule="auto"/>
        <w:rPr>
          <w:rFonts w:ascii="Times New Roman" w:hAnsi="Times New Roman" w:cs="Times New Roman"/>
        </w:rPr>
      </w:pPr>
    </w:p>
    <w:p w14:paraId="44B5F1A5" w14:textId="77777777" w:rsidR="00114D71" w:rsidRDefault="00114D71" w:rsidP="00687B88">
      <w:pPr>
        <w:spacing w:line="480" w:lineRule="auto"/>
        <w:rPr>
          <w:rFonts w:ascii="Times New Roman" w:hAnsi="Times New Roman" w:cs="Times New Roman"/>
        </w:rPr>
      </w:pPr>
    </w:p>
    <w:p w14:paraId="1FDAB0CC" w14:textId="77777777" w:rsidR="00114D71" w:rsidRDefault="00114D71" w:rsidP="00687B88">
      <w:pPr>
        <w:spacing w:line="480" w:lineRule="auto"/>
        <w:rPr>
          <w:rFonts w:ascii="Times New Roman" w:hAnsi="Times New Roman" w:cs="Times New Roman"/>
        </w:rPr>
      </w:pPr>
    </w:p>
    <w:p w14:paraId="2ECE755F" w14:textId="77777777" w:rsidR="00114D71" w:rsidRDefault="00114D71" w:rsidP="00687B88">
      <w:pPr>
        <w:spacing w:line="480" w:lineRule="auto"/>
        <w:rPr>
          <w:rFonts w:ascii="Times New Roman" w:hAnsi="Times New Roman" w:cs="Times New Roman"/>
        </w:rPr>
      </w:pPr>
    </w:p>
    <w:p w14:paraId="6C381CD6" w14:textId="77777777" w:rsidR="00114D71" w:rsidRDefault="00114D71" w:rsidP="00687B88">
      <w:pPr>
        <w:spacing w:line="480" w:lineRule="auto"/>
        <w:rPr>
          <w:rFonts w:ascii="Times New Roman" w:hAnsi="Times New Roman" w:cs="Times New Roman"/>
        </w:rPr>
      </w:pPr>
    </w:p>
    <w:p w14:paraId="7254CFBB" w14:textId="77777777" w:rsidR="00114D71" w:rsidRDefault="00114D71" w:rsidP="00687B88">
      <w:pPr>
        <w:spacing w:line="480" w:lineRule="auto"/>
        <w:rPr>
          <w:rFonts w:ascii="Times New Roman" w:hAnsi="Times New Roman" w:cs="Times New Roman"/>
        </w:rPr>
      </w:pPr>
    </w:p>
    <w:p w14:paraId="5E89909A" w14:textId="77777777" w:rsidR="00114D71" w:rsidRDefault="00114D71" w:rsidP="00687B88">
      <w:pPr>
        <w:spacing w:line="480" w:lineRule="auto"/>
        <w:rPr>
          <w:rFonts w:ascii="Times New Roman" w:hAnsi="Times New Roman" w:cs="Times New Roman"/>
        </w:rPr>
      </w:pPr>
    </w:p>
    <w:p w14:paraId="066D318C" w14:textId="77777777" w:rsidR="00114D71" w:rsidRDefault="00114D71" w:rsidP="00687B88">
      <w:pPr>
        <w:spacing w:line="480" w:lineRule="auto"/>
        <w:rPr>
          <w:rFonts w:ascii="Times New Roman" w:hAnsi="Times New Roman" w:cs="Times New Roman"/>
        </w:rPr>
      </w:pPr>
    </w:p>
    <w:p w14:paraId="2F57354D" w14:textId="77777777" w:rsidR="00114D71" w:rsidRDefault="00114D71" w:rsidP="00687B88">
      <w:pPr>
        <w:spacing w:line="480" w:lineRule="auto"/>
        <w:rPr>
          <w:rFonts w:ascii="Times New Roman" w:hAnsi="Times New Roman" w:cs="Times New Roman"/>
        </w:rPr>
      </w:pPr>
    </w:p>
    <w:p w14:paraId="29763B32" w14:textId="77777777" w:rsidR="00114D71" w:rsidRDefault="00114D71" w:rsidP="00687B88">
      <w:pPr>
        <w:spacing w:line="480" w:lineRule="auto"/>
        <w:rPr>
          <w:rFonts w:ascii="Times New Roman" w:hAnsi="Times New Roman" w:cs="Times New Roman"/>
        </w:rPr>
      </w:pPr>
    </w:p>
    <w:p w14:paraId="4EA2D40D" w14:textId="77777777" w:rsidR="00114D71" w:rsidRDefault="00114D71" w:rsidP="00687B88">
      <w:pPr>
        <w:spacing w:line="480" w:lineRule="auto"/>
        <w:rPr>
          <w:rFonts w:ascii="Times New Roman" w:hAnsi="Times New Roman" w:cs="Times New Roman"/>
        </w:rPr>
      </w:pPr>
    </w:p>
    <w:p w14:paraId="382205C9" w14:textId="57ADC519" w:rsidR="00C44859" w:rsidRPr="00687B88" w:rsidRDefault="00114D71" w:rsidP="00114D71">
      <w:pPr>
        <w:spacing w:line="480" w:lineRule="auto"/>
        <w:jc w:val="center"/>
        <w:rPr>
          <w:rFonts w:ascii="Arial" w:hAnsi="Arial" w:cs="Arial"/>
        </w:rPr>
      </w:pPr>
      <w:r>
        <w:rPr>
          <w:rFonts w:ascii="Times New Roman" w:hAnsi="Times New Roman" w:cs="Times New Roman"/>
          <w:color w:val="808080" w:themeColor="background1" w:themeShade="80"/>
        </w:rPr>
        <w:t>3</w:t>
      </w:r>
      <w:r w:rsidR="00C44859">
        <w:rPr>
          <w:rFonts w:ascii="Times New Roman" w:hAnsi="Times New Roman" w:cs="Times New Roman"/>
        </w:rPr>
        <w:br w:type="page"/>
      </w:r>
    </w:p>
    <w:p w14:paraId="54F54D38" w14:textId="5201753B" w:rsidR="00C44859" w:rsidRPr="00687B88" w:rsidRDefault="00C44859" w:rsidP="00687B88">
      <w:pPr>
        <w:spacing w:line="480" w:lineRule="auto"/>
        <w:rPr>
          <w:rFonts w:ascii="Arial" w:hAnsi="Arial" w:cs="Arial"/>
          <w:b/>
        </w:rPr>
      </w:pPr>
      <w:r w:rsidRPr="00687B88">
        <w:rPr>
          <w:rFonts w:ascii="Arial" w:hAnsi="Arial" w:cs="Arial"/>
          <w:b/>
        </w:rPr>
        <w:t>Métodos</w:t>
      </w:r>
    </w:p>
    <w:p w14:paraId="1CFB3293" w14:textId="5AAD0E09" w:rsidR="00C361FB" w:rsidRPr="00687B88" w:rsidRDefault="00C361FB" w:rsidP="00687B88">
      <w:pPr>
        <w:spacing w:line="480" w:lineRule="auto"/>
        <w:rPr>
          <w:rFonts w:ascii="Arial" w:hAnsi="Arial" w:cs="Arial"/>
          <w:b/>
        </w:rPr>
      </w:pPr>
      <w:r w:rsidRPr="00687B88">
        <w:rPr>
          <w:rFonts w:ascii="Arial" w:hAnsi="Arial" w:cs="Arial"/>
          <w:b/>
        </w:rPr>
        <w:t>Diseño de estudio</w:t>
      </w:r>
    </w:p>
    <w:p w14:paraId="1370768A" w14:textId="744BFC63" w:rsidR="00C44859" w:rsidRPr="00687B88" w:rsidRDefault="00C44859" w:rsidP="00687B88">
      <w:pPr>
        <w:spacing w:line="480" w:lineRule="auto"/>
        <w:rPr>
          <w:rFonts w:ascii="Arial" w:hAnsi="Arial" w:cs="Arial"/>
          <w:lang w:val="es-ES"/>
        </w:rPr>
      </w:pPr>
      <w:r w:rsidRPr="00687B88">
        <w:rPr>
          <w:rFonts w:ascii="Arial" w:hAnsi="Arial" w:cs="Arial"/>
          <w:lang w:val="es-ES"/>
        </w:rPr>
        <w:t xml:space="preserve">Análisis secundario de un estudio observacional </w:t>
      </w:r>
      <w:r w:rsidR="002354B9" w:rsidRPr="00687B88">
        <w:rPr>
          <w:rFonts w:ascii="Arial" w:hAnsi="Arial" w:cs="Arial"/>
          <w:lang w:val="es-ES"/>
        </w:rPr>
        <w:t>realizado en</w:t>
      </w:r>
      <w:r w:rsidRPr="00687B88">
        <w:rPr>
          <w:rFonts w:ascii="Arial" w:hAnsi="Arial" w:cs="Arial"/>
          <w:lang w:val="es-ES"/>
        </w:rPr>
        <w:t xml:space="preserve"> una UCI académica médico-quirúrgica de 12 camas </w:t>
      </w:r>
      <w:r w:rsidR="00F92F91" w:rsidRPr="00687B88">
        <w:rPr>
          <w:rFonts w:ascii="Arial" w:hAnsi="Arial" w:cs="Arial"/>
          <w:lang w:val="es-ES"/>
        </w:rPr>
        <w:t>de</w:t>
      </w:r>
      <w:r w:rsidRPr="00687B88">
        <w:rPr>
          <w:rFonts w:ascii="Arial" w:hAnsi="Arial" w:cs="Arial"/>
          <w:lang w:val="es-ES"/>
        </w:rPr>
        <w:t xml:space="preserve"> 30 pacientes que </w:t>
      </w:r>
      <w:r w:rsidR="00F92F91" w:rsidRPr="00687B88">
        <w:rPr>
          <w:rFonts w:ascii="Arial" w:hAnsi="Arial" w:cs="Arial"/>
          <w:lang w:val="es-ES"/>
        </w:rPr>
        <w:t>fueron monitorizados con actigrafía desde el ingreso hasta el egreso de la UCI</w:t>
      </w:r>
      <w:r w:rsidR="002354B9" w:rsidRPr="00687B88">
        <w:rPr>
          <w:rFonts w:ascii="Arial" w:hAnsi="Arial" w:cs="Arial"/>
          <w:lang w:val="es-ES"/>
        </w:rPr>
        <w:t xml:space="preserve"> entre</w:t>
      </w:r>
      <w:r w:rsidRPr="00687B88">
        <w:rPr>
          <w:rFonts w:ascii="Arial" w:hAnsi="Arial" w:cs="Arial"/>
          <w:lang w:val="es-ES"/>
        </w:rPr>
        <w:t xml:space="preserve"> </w:t>
      </w:r>
      <w:r w:rsidR="00D84C4E" w:rsidRPr="00687B88">
        <w:rPr>
          <w:rFonts w:ascii="Arial" w:hAnsi="Arial" w:cs="Arial"/>
          <w:lang w:val="es-ES"/>
        </w:rPr>
        <w:t>octubre</w:t>
      </w:r>
      <w:r w:rsidRPr="00687B88">
        <w:rPr>
          <w:rFonts w:ascii="Arial" w:hAnsi="Arial" w:cs="Arial"/>
          <w:lang w:val="es-ES"/>
        </w:rPr>
        <w:t xml:space="preserve"> de 2018 </w:t>
      </w:r>
      <w:r w:rsidR="002354B9" w:rsidRPr="00687B88">
        <w:rPr>
          <w:rFonts w:ascii="Arial" w:hAnsi="Arial" w:cs="Arial"/>
          <w:lang w:val="es-ES"/>
        </w:rPr>
        <w:t>y</w:t>
      </w:r>
      <w:r w:rsidRPr="00687B88">
        <w:rPr>
          <w:rFonts w:ascii="Arial" w:hAnsi="Arial" w:cs="Arial"/>
          <w:lang w:val="es-ES"/>
        </w:rPr>
        <w:t xml:space="preserve"> </w:t>
      </w:r>
      <w:r w:rsidR="00D84C4E" w:rsidRPr="00687B88">
        <w:rPr>
          <w:rFonts w:ascii="Arial" w:hAnsi="Arial" w:cs="Arial"/>
          <w:lang w:val="es-ES"/>
        </w:rPr>
        <w:t>enero</w:t>
      </w:r>
      <w:r w:rsidRPr="00687B88">
        <w:rPr>
          <w:rFonts w:ascii="Arial" w:hAnsi="Arial" w:cs="Arial"/>
          <w:lang w:val="es-ES"/>
        </w:rPr>
        <w:t xml:space="preserve"> de 2019</w:t>
      </w:r>
      <w:r w:rsidRPr="00687B88">
        <w:rPr>
          <w:rFonts w:ascii="Arial" w:hAnsi="Arial" w:cs="Arial"/>
        </w:rPr>
        <w:t xml:space="preserve">. </w:t>
      </w:r>
      <w:r w:rsidRPr="00687B88">
        <w:rPr>
          <w:rFonts w:ascii="Arial" w:hAnsi="Arial" w:cs="Arial"/>
          <w:lang w:val="es-ES"/>
        </w:rPr>
        <w:t>E</w:t>
      </w:r>
      <w:r w:rsidR="002354B9" w:rsidRPr="00687B88">
        <w:rPr>
          <w:rFonts w:ascii="Arial" w:hAnsi="Arial" w:cs="Arial"/>
          <w:lang w:val="es-ES"/>
        </w:rPr>
        <w:t>ste e</w:t>
      </w:r>
      <w:r w:rsidRPr="00687B88">
        <w:rPr>
          <w:rFonts w:ascii="Arial" w:hAnsi="Arial" w:cs="Arial"/>
          <w:lang w:val="es-ES"/>
        </w:rPr>
        <w:t xml:space="preserve">studio </w:t>
      </w:r>
      <w:r w:rsidR="002354B9" w:rsidRPr="00687B88">
        <w:rPr>
          <w:rFonts w:ascii="Arial" w:hAnsi="Arial" w:cs="Arial"/>
          <w:lang w:val="es-ES"/>
        </w:rPr>
        <w:t xml:space="preserve">fue </w:t>
      </w:r>
      <w:r w:rsidRPr="00687B88">
        <w:rPr>
          <w:rFonts w:ascii="Arial" w:hAnsi="Arial" w:cs="Arial"/>
          <w:lang w:val="es-ES"/>
        </w:rPr>
        <w:t>aprobado por el Comité Étic</w:t>
      </w:r>
      <w:r w:rsidR="00CF17A7" w:rsidRPr="00687B88">
        <w:rPr>
          <w:rFonts w:ascii="Arial" w:hAnsi="Arial" w:cs="Arial"/>
          <w:lang w:val="es-ES"/>
        </w:rPr>
        <w:t>o</w:t>
      </w:r>
      <w:r w:rsidRPr="00687B88">
        <w:rPr>
          <w:rFonts w:ascii="Arial" w:hAnsi="Arial" w:cs="Arial"/>
          <w:lang w:val="es-ES"/>
        </w:rPr>
        <w:t xml:space="preserve"> de la Facultad de Medicina de Clínica Alemana Universidad del Desarrollo, Santiago de Chile (#2017–104).</w:t>
      </w:r>
      <w:r w:rsidR="00F87B39" w:rsidRPr="00687B88">
        <w:rPr>
          <w:rFonts w:ascii="Arial" w:hAnsi="Arial" w:cs="Arial"/>
          <w:lang w:val="es-ES"/>
        </w:rPr>
        <w:t xml:space="preserve"> Este estudio está basado bajo las directrices de STROBE</w:t>
      </w:r>
      <w:r w:rsidR="003037EE" w:rsidRPr="00687B88">
        <w:rPr>
          <w:rFonts w:ascii="Arial" w:hAnsi="Arial" w:cs="Arial"/>
          <w:lang w:val="es-ES"/>
        </w:rPr>
        <w:t xml:space="preserve"> (Strengthening the Reporting of Observational Studies in Epidemiology)</w:t>
      </w:r>
      <w:r w:rsidR="00F87B39" w:rsidRPr="00687B88">
        <w:rPr>
          <w:rFonts w:ascii="Arial" w:hAnsi="Arial" w:cs="Arial"/>
          <w:lang w:val="es-ES"/>
        </w:rPr>
        <w:t xml:space="preserve">. </w:t>
      </w:r>
    </w:p>
    <w:p w14:paraId="01EB0231" w14:textId="77777777" w:rsidR="003F21ED" w:rsidRPr="00687B88" w:rsidRDefault="003F21ED" w:rsidP="00687B88">
      <w:pPr>
        <w:spacing w:line="480" w:lineRule="auto"/>
        <w:rPr>
          <w:rFonts w:ascii="Arial" w:hAnsi="Arial" w:cs="Arial"/>
          <w:lang w:val="es-ES"/>
        </w:rPr>
      </w:pPr>
    </w:p>
    <w:p w14:paraId="4C2C7E82" w14:textId="4528CF92" w:rsidR="0054006A" w:rsidRPr="00687B88" w:rsidRDefault="00C361FB" w:rsidP="00687B88">
      <w:pPr>
        <w:spacing w:line="480" w:lineRule="auto"/>
        <w:rPr>
          <w:rFonts w:ascii="Arial" w:hAnsi="Arial" w:cs="Arial"/>
          <w:b/>
          <w:lang w:val="es-ES"/>
        </w:rPr>
      </w:pPr>
      <w:r w:rsidRPr="00687B88">
        <w:rPr>
          <w:rFonts w:ascii="Arial" w:hAnsi="Arial" w:cs="Arial"/>
          <w:b/>
          <w:lang w:val="es-ES"/>
        </w:rPr>
        <w:t>Participantes</w:t>
      </w:r>
    </w:p>
    <w:p w14:paraId="03A254AB" w14:textId="0804CCCF" w:rsidR="00114D71" w:rsidRDefault="00643225" w:rsidP="00687B88">
      <w:pPr>
        <w:spacing w:line="480" w:lineRule="auto"/>
        <w:jc w:val="both"/>
        <w:rPr>
          <w:rFonts w:ascii="Arial" w:hAnsi="Arial" w:cs="Arial"/>
        </w:rPr>
      </w:pPr>
      <w:r w:rsidRPr="00687B88">
        <w:rPr>
          <w:rFonts w:ascii="Arial" w:hAnsi="Arial" w:cs="Arial"/>
        </w:rPr>
        <w:t>El estudio primario</w:t>
      </w:r>
      <w:r w:rsidR="00B956A9" w:rsidRPr="00687B88">
        <w:rPr>
          <w:rFonts w:ascii="Arial" w:hAnsi="Arial" w:cs="Arial"/>
        </w:rPr>
        <w:fldChar w:fldCharType="begin" w:fldLock="1"/>
      </w:r>
      <w:r w:rsidR="003037EE" w:rsidRPr="00687B88">
        <w:rPr>
          <w:rFonts w:ascii="Arial" w:hAnsi="Arial" w:cs="Arial"/>
        </w:rPr>
        <w:instrText>ADDIN CSL_CITATION {"citationItems":[{"id":"ITEM-1","itemData":{"DOI":"10.1016/j.apmr.2020.04.019","ISSN":"1532821X","PMID":"32446906","abstract":"Objective: To evaluate the construct validity (hypotheses testing) of the Chilean-Spanish version of the Functional Status Score for the Intensive Care Unit (FSS-ICU) using continuous actigraphy from intensive care unit (ICU) admission to ICU discharge. Design: The Chilean-Spanish version of the FSS-ICU was used in a prospective observational study to mainly evaluate its correlation with actigraphy variables. The FSS-ICU was assessed on awakening and at ICU discharge, while actigraphy variables were recorded from ICU admission to ICU discharge. Setting: A 12-bed academic medical-surgical ICU. Participants: Mechanically ventilated patients (N=30), of 92 patients screened. Interventions: Not applicable. Main Outcome Measures: Construct validity of the FSS-ICU Chilean-Spanish version was assessed by testing 12 hypotheses, including the correlation with activity counts, activity time (&gt;99 counts/min), inactivity time (0-99 counts/min), muscle strength, ICU length of stay, and duration of mechanical ventilation. Results: The median FSS-ICU was 19 points (interquartile range [IQR], 10-26 points) on awakening and 28.5 points (IQR, 22-32 points) at ICU discharge. There was no floor/ceiling effect of the FSS-ICU at awakening (0%/0%) and only a ceiling effect at ICU discharge that was acceptable (0%/10%). Less activity time was associated with better mobility on the FSS-ICU at both awakening (ρ=−0.62, P&lt;.001) and ICU discharge (ρ=−0.79, P&lt;.001). Activity counts and activity time were not correlated as expected with the FSS-ICU. Conclusions: The Chilean-Spanish FSS-ICU had a strong correlation with inactivity time during the ICU stay. These findings enhance the available clinimetric properties of the FSS-ICU.","author":[{"dropping-particle":"","family":"Camus-Molina","given":"Agustín","non-dropping-particle":"","parse-names":false,"suffix":""},{"dropping-particle":"","family":"González-Seguel","given":"Felipe","non-dropping-particle":"","parse-names":false,"suffix":""},{"dropping-particle":"","family":"Castro-Ávila","given":"Ana Cristina","non-dropping-particle":"","parse-names":false,"suffix":""},{"dropping-particle":"","family":"Leppe","given":"Jaime","non-dropping-particle":"","parse-names":false,"suffix":""}],"container-title":"Archives of Physical Medicine and Rehabilitation","id":"ITEM-1","issued":{"date-parts":[["2020"]]},"title":"Construct Validity of the Chilean-Spanish Version of the Functional Status Score for the Intensive Care Unit: A Prospective Observational Study Using Actigraphy in Mechanically Ventilated Patients","type":"article-journal"},"uris":["http://www.mendeley.com/documents/?uuid=3e7286e0-eebd-4ae1-86d4-b4cd59dd7cdd"]}],"mendeley":{"formattedCitation":"[24]","plainTextFormattedCitation":"[24]","previouslyFormattedCitation":"[24]"},"properties":{"noteIndex":0},"schema":"https://github.com/citation-style-language/schema/raw/master/csl-citation.json"}</w:instrText>
      </w:r>
      <w:r w:rsidR="00B956A9" w:rsidRPr="00687B88">
        <w:rPr>
          <w:rFonts w:ascii="Arial" w:hAnsi="Arial" w:cs="Arial"/>
        </w:rPr>
        <w:fldChar w:fldCharType="separate"/>
      </w:r>
      <w:r w:rsidR="004B2EA2" w:rsidRPr="00687B88">
        <w:rPr>
          <w:rFonts w:ascii="Arial" w:hAnsi="Arial" w:cs="Arial"/>
          <w:noProof/>
        </w:rPr>
        <w:t>[24]</w:t>
      </w:r>
      <w:r w:rsidR="00B956A9" w:rsidRPr="00687B88">
        <w:rPr>
          <w:rFonts w:ascii="Arial" w:hAnsi="Arial" w:cs="Arial"/>
        </w:rPr>
        <w:fldChar w:fldCharType="end"/>
      </w:r>
      <w:r w:rsidRPr="00687B88">
        <w:rPr>
          <w:rFonts w:ascii="Arial" w:hAnsi="Arial" w:cs="Arial"/>
        </w:rPr>
        <w:t xml:space="preserve"> </w:t>
      </w:r>
      <w:r w:rsidR="00C44859" w:rsidRPr="00687B88">
        <w:rPr>
          <w:rFonts w:ascii="Arial" w:hAnsi="Arial" w:cs="Arial"/>
        </w:rPr>
        <w:t>incluy</w:t>
      </w:r>
      <w:r w:rsidRPr="00687B88">
        <w:rPr>
          <w:rFonts w:ascii="Arial" w:hAnsi="Arial" w:cs="Arial"/>
        </w:rPr>
        <w:t>ó</w:t>
      </w:r>
      <w:r w:rsidR="00C44859" w:rsidRPr="00687B88">
        <w:rPr>
          <w:rFonts w:ascii="Arial" w:hAnsi="Arial" w:cs="Arial"/>
        </w:rPr>
        <w:t xml:space="preserve"> pacientes adultos (&gt;18 años) que recibieron </w:t>
      </w:r>
      <w:r w:rsidR="00646365" w:rsidRPr="00687B88">
        <w:rPr>
          <w:rFonts w:ascii="Arial" w:hAnsi="Arial" w:cs="Arial"/>
        </w:rPr>
        <w:t>VM</w:t>
      </w:r>
      <w:r w:rsidR="00C44859" w:rsidRPr="00687B88">
        <w:rPr>
          <w:rFonts w:ascii="Arial" w:hAnsi="Arial" w:cs="Arial"/>
        </w:rPr>
        <w:t xml:space="preserve"> en </w:t>
      </w:r>
      <w:r w:rsidR="00F92F91" w:rsidRPr="00687B88">
        <w:rPr>
          <w:rFonts w:ascii="Arial" w:hAnsi="Arial" w:cs="Arial"/>
        </w:rPr>
        <w:t xml:space="preserve">la </w:t>
      </w:r>
      <w:r w:rsidR="00C44859" w:rsidRPr="00687B88">
        <w:rPr>
          <w:rFonts w:ascii="Arial" w:hAnsi="Arial" w:cs="Arial"/>
        </w:rPr>
        <w:t>UCI</w:t>
      </w:r>
      <w:r w:rsidRPr="00687B88">
        <w:rPr>
          <w:rFonts w:ascii="Arial" w:hAnsi="Arial" w:cs="Arial"/>
        </w:rPr>
        <w:t xml:space="preserve"> y excluyó a pacientes con indicación de no realizar reanimación cardiopulmonar, parálisis completa en una o más extremidades, uso de ventilación mecánica en otro centro antes del ingreso a UCI, amputación de una extremidad, despertar del paciente antes de las primeras 24 horas desde el ingreso a UCI (para garantizar al menos 24 horas de registro de actigrafía entre el ingreso UCI y despertar), incapaz de seguir ordenes durante su estancia en </w:t>
      </w:r>
      <w:r w:rsidR="00F81C03" w:rsidRPr="00687B88">
        <w:rPr>
          <w:rFonts w:ascii="Arial" w:hAnsi="Arial" w:cs="Arial"/>
        </w:rPr>
        <w:t xml:space="preserve">la </w:t>
      </w:r>
      <w:r w:rsidRPr="00687B88">
        <w:rPr>
          <w:rFonts w:ascii="Arial" w:hAnsi="Arial" w:cs="Arial"/>
        </w:rPr>
        <w:t>UCI y dependencia funcional previa.</w:t>
      </w:r>
      <w:r w:rsidR="00B113A1" w:rsidRPr="00687B88">
        <w:rPr>
          <w:rFonts w:ascii="Arial" w:hAnsi="Arial" w:cs="Arial"/>
        </w:rPr>
        <w:t xml:space="preserve"> </w:t>
      </w:r>
      <w:r w:rsidR="00B94391" w:rsidRPr="00687B88">
        <w:rPr>
          <w:rFonts w:ascii="Arial" w:hAnsi="Arial" w:cs="Arial"/>
        </w:rPr>
        <w:t>Si cumplían con los criterios de inclusión se contactó al representante legar de cada paciente al ingreso de la UCI para invitar</w:t>
      </w:r>
    </w:p>
    <w:p w14:paraId="3B31CDA2" w14:textId="1CDF17EC" w:rsidR="00114D71" w:rsidRPr="00114D71" w:rsidRDefault="00114D71" w:rsidP="00114D71">
      <w:pPr>
        <w:jc w:val="center"/>
        <w:rPr>
          <w:rFonts w:ascii="Arial" w:hAnsi="Arial" w:cs="Arial"/>
          <w:color w:val="808080" w:themeColor="background1" w:themeShade="80"/>
        </w:rPr>
      </w:pPr>
      <w:r>
        <w:rPr>
          <w:rFonts w:ascii="Arial" w:hAnsi="Arial" w:cs="Arial"/>
          <w:color w:val="808080" w:themeColor="background1" w:themeShade="80"/>
        </w:rPr>
        <w:t>4</w:t>
      </w:r>
    </w:p>
    <w:p w14:paraId="11A18F75" w14:textId="0596DF65" w:rsidR="005D01AB" w:rsidRPr="00687B88" w:rsidRDefault="00B94391" w:rsidP="00687B88">
      <w:pPr>
        <w:spacing w:line="480" w:lineRule="auto"/>
        <w:jc w:val="both"/>
        <w:rPr>
          <w:rFonts w:ascii="Arial" w:hAnsi="Arial" w:cs="Arial"/>
        </w:rPr>
      </w:pPr>
      <w:r w:rsidRPr="00687B88">
        <w:rPr>
          <w:rFonts w:ascii="Arial" w:hAnsi="Arial" w:cs="Arial"/>
        </w:rPr>
        <w:t>a participar al estudio y firmar el consentimiento informado. Una vez que el paciente logra un nivel de cooperación adecuado (Standardized 5 Questions=5/5)</w:t>
      </w:r>
      <w:r w:rsidR="003037EE" w:rsidRPr="00687B88">
        <w:rPr>
          <w:rFonts w:ascii="Arial" w:hAnsi="Arial" w:cs="Arial"/>
        </w:rPr>
        <w:fldChar w:fldCharType="begin" w:fldLock="1"/>
      </w:r>
      <w:r w:rsidR="003037EE" w:rsidRPr="00687B88">
        <w:rPr>
          <w:rFonts w:ascii="Arial" w:hAnsi="Arial" w:cs="Arial"/>
        </w:rPr>
        <w:instrText>ADDIN CSL_CITATION {"citationItems":[{"id":"ITEM-1","itemData":{"DOI":"12472328","ISSN":"0098-7484","PMID":"12472328","abstract":"CONTEXT Although electrophysiologic and histologic neuromuscular abnormalities are common in intensive care unit (ICU) patients, the clinical incidence of ICU-acquired neuromuscular disorders in patients recovering from severe illness remains unknown. OBJECTIVES To assess the clinical incidence, risk factors, and outcomes of ICU-acquired paresis (ICUAP) during recovery from critical illness in the ICU and to determine the electrophysiologic and histologic patterns in patients with ICUAP. DESIGN Prospective cohort study conducted from March 1999 to June 2000. SETTING Three medical and 2 surgical ICUs in 4 hospitals in France. PARTICIPANTS All consecutive ICU patients without preexisting neuromuscular disease who underwent mechanical ventilation for 7 or more days were screened daily for awakening. The first day a patient was considered awake was day 1. Patients with severe muscle weakness on day 7 were considered to have ICUAP. MAIN OUTCOME MEASURES Incidence and duration of ICUAP, risk factors for ICUAP, and comparative duration of mechanical ventilation between ICUAP and control patients. RESULTS Among the 95 patients who achieved satisfactory awakening, the incidence of ICUAP was 25.3% (95% confidence interval [CI], 16.9%-35.2%). All ICUAP patients had a sensorimotor axonopathy, and all patients who underwent a muscle biopsy had specific muscle involvement not related to nerve involvement. The median duration of ICUAP after day 1 was 21 days. Mean (SD) duration of mechanical ventilation after day 1 was significantly longer in patients with ICUAP compared with those without (18.2 [36.3] vs 7.6 [19.2] days; P =.03). Independent predictors of ICUAP were female sex (odds ratio [OR], 4.66; 95% CI, 1.19-18.30), the number of days with dysfunction of 2 or more organs (OR, 1.28; 95% CI, 1.11-1.49), duration of mechanical ventilation (OR, 1.10; 95% CI, 1.00-1.22), and administration of corticosteroids (OR, 14.90; 95% CI, 3.20-69.80) before day 1. CONCLUSIONS Identified using simple bedside clinical criteria, ICUAP was frequent during recovery from critical illness and was associated with a prolonged duration of mechanical ventilation. Our findings suggest an important role of corticosteroids in the development of ICUAP.","author":[{"dropping-particle":"","family":"Jonghe","given":"Bernard","non-dropping-particle":"De","parse-names":false,"suffix":""},{"dropping-particle":"","family":"Sharshar","given":"Tarek","non-dropping-particle":"","parse-names":false,"suffix":""},{"dropping-particle":"","family":"Lefaucheur","given":"Jean-Pascal","non-dropping-particle":"","parse-names":false,"suffix":""},{"dropping-particle":"","family":"Authier","given":"François-Jérome","non-dropping-particle":"","parse-names":false,"suffix":""},{"dropping-particle":"","family":"Durand-Zaleski","given":"Isabelle","non-dropping-particle":"","parse-names":false,"suffix":""},{"dropping-particle":"","family":"Boussarsar","given":"Mohamed","non-dropping-particle":"","parse-names":false,"suffix":""},{"dropping-particle":"","family":"Cerf","given":"Charles","non-dropping-particle":"","parse-names":false,"suffix":""},{"dropping-particle":"","family":"Renaud","given":"Estelle","non-dropping-particle":"","parse-names":false,"suffix":""},{"dropping-particle":"","family":"Mesrati","given":"Francine","non-dropping-particle":"","parse-names":false,"suffix":""},{"dropping-particle":"","family":"Carlet","given":"Jean","non-dropping-particle":"","parse-names":false,"suffix":""},{"dropping-particle":"","family":"Raphaël","given":"Jean-Claude","non-dropping-particle":"","parse-names":false,"suffix":""},{"dropping-particle":"","family":"Outin","given":"Hervé","non-dropping-particle":"","parse-names":false,"suffix":""},{"dropping-particle":"","family":"Bastuji-Garin","given":"Sylvie","non-dropping-particle":"","parse-names":false,"suffix":""},{"dropping-particle":"","family":"Groupe de Réflexion et d'Etude des Neuromyopathies en Réanimation","given":"","non-dropping-particle":"","parse-names":false,"suffix":""}],"container-title":"JAMA","id":"ITEM-1","issue":"22","issued":{"date-parts":[["2002","12"]]},"page":"2859-67","title":"Paresis acquired in the intensive care unit: a prospective multicenter study.","type":"article-journal","volume":"288"},"uris":["http://www.mendeley.com/documents/?uuid=e54db50b-2ce5-4335-92f6-4a46cce5113b"]}],"mendeley":{"formattedCitation":"[25]","plainTextFormattedCitation":"[25]","previouslyFormattedCitation":"[25]"},"properties":{"noteIndex":0},"schema":"https://github.com/citation-style-language/schema/raw/master/csl-citation.json"}</w:instrText>
      </w:r>
      <w:r w:rsidR="003037EE" w:rsidRPr="00687B88">
        <w:rPr>
          <w:rFonts w:ascii="Arial" w:hAnsi="Arial" w:cs="Arial"/>
        </w:rPr>
        <w:fldChar w:fldCharType="separate"/>
      </w:r>
      <w:r w:rsidR="003037EE" w:rsidRPr="00687B88">
        <w:rPr>
          <w:rFonts w:ascii="Arial" w:hAnsi="Arial" w:cs="Arial"/>
          <w:noProof/>
        </w:rPr>
        <w:t>[25]</w:t>
      </w:r>
      <w:r w:rsidR="003037EE" w:rsidRPr="00687B88">
        <w:rPr>
          <w:rFonts w:ascii="Arial" w:hAnsi="Arial" w:cs="Arial"/>
        </w:rPr>
        <w:fldChar w:fldCharType="end"/>
      </w:r>
      <w:r w:rsidRPr="00687B88">
        <w:rPr>
          <w:rFonts w:ascii="Arial" w:hAnsi="Arial" w:cs="Arial"/>
        </w:rPr>
        <w:t xml:space="preserve"> y sin la presencia de delirium se pidió confirmar o rechazar la participación del estudio. </w:t>
      </w:r>
      <w:r w:rsidR="00B113A1" w:rsidRPr="00687B88">
        <w:rPr>
          <w:rFonts w:ascii="Arial" w:hAnsi="Arial" w:cs="Arial"/>
        </w:rPr>
        <w:t>De la muestra total (n</w:t>
      </w:r>
      <w:r w:rsidR="003C5F78" w:rsidRPr="00687B88">
        <w:rPr>
          <w:rFonts w:ascii="Arial" w:hAnsi="Arial" w:cs="Arial"/>
        </w:rPr>
        <w:t xml:space="preserve"> </w:t>
      </w:r>
      <w:r w:rsidR="00B113A1" w:rsidRPr="00687B88">
        <w:rPr>
          <w:rFonts w:ascii="Arial" w:hAnsi="Arial" w:cs="Arial"/>
        </w:rPr>
        <w:t>=</w:t>
      </w:r>
      <w:r w:rsidR="003C5F78" w:rsidRPr="00687B88">
        <w:rPr>
          <w:rFonts w:ascii="Arial" w:hAnsi="Arial" w:cs="Arial"/>
        </w:rPr>
        <w:t xml:space="preserve"> </w:t>
      </w:r>
      <w:r w:rsidR="00B113A1" w:rsidRPr="00687B88">
        <w:rPr>
          <w:rFonts w:ascii="Arial" w:hAnsi="Arial" w:cs="Arial"/>
        </w:rPr>
        <w:t xml:space="preserve">30), </w:t>
      </w:r>
      <w:r w:rsidR="008E09D5" w:rsidRPr="00687B88">
        <w:rPr>
          <w:rFonts w:ascii="Arial" w:hAnsi="Arial" w:cs="Arial"/>
        </w:rPr>
        <w:t>para</w:t>
      </w:r>
      <w:r w:rsidR="00643225" w:rsidRPr="00687B88">
        <w:rPr>
          <w:rFonts w:ascii="Arial" w:hAnsi="Arial" w:cs="Arial"/>
        </w:rPr>
        <w:t xml:space="preserve"> este estud</w:t>
      </w:r>
      <w:r w:rsidR="00646365" w:rsidRPr="00687B88">
        <w:rPr>
          <w:rFonts w:ascii="Arial" w:hAnsi="Arial" w:cs="Arial"/>
        </w:rPr>
        <w:t>i</w:t>
      </w:r>
      <w:r w:rsidR="00643225" w:rsidRPr="00687B88">
        <w:rPr>
          <w:rFonts w:ascii="Arial" w:hAnsi="Arial" w:cs="Arial"/>
        </w:rPr>
        <w:t>o</w:t>
      </w:r>
      <w:r w:rsidR="00F92F91" w:rsidRPr="00687B88">
        <w:rPr>
          <w:rFonts w:ascii="Arial" w:hAnsi="Arial" w:cs="Arial"/>
        </w:rPr>
        <w:t xml:space="preserve"> secundario</w:t>
      </w:r>
      <w:r w:rsidR="00643225" w:rsidRPr="00687B88">
        <w:rPr>
          <w:rFonts w:ascii="Arial" w:hAnsi="Arial" w:cs="Arial"/>
        </w:rPr>
        <w:t xml:space="preserve"> </w:t>
      </w:r>
      <w:r w:rsidR="002F1C84" w:rsidRPr="00687B88">
        <w:rPr>
          <w:rFonts w:ascii="Arial" w:hAnsi="Arial" w:cs="Arial"/>
        </w:rPr>
        <w:t xml:space="preserve">y para probar el concepto de quiebres de inactividad en UCI, </w:t>
      </w:r>
      <w:r w:rsidR="00C44859" w:rsidRPr="00687B88">
        <w:rPr>
          <w:rFonts w:ascii="Arial" w:hAnsi="Arial" w:cs="Arial"/>
        </w:rPr>
        <w:t xml:space="preserve">se seleccionaron </w:t>
      </w:r>
      <w:r w:rsidR="00F92F91" w:rsidRPr="00687B88">
        <w:rPr>
          <w:rFonts w:ascii="Arial" w:hAnsi="Arial" w:cs="Arial"/>
        </w:rPr>
        <w:t xml:space="preserve">los </w:t>
      </w:r>
      <w:r w:rsidR="00C44859" w:rsidRPr="00687B88">
        <w:rPr>
          <w:rFonts w:ascii="Arial" w:hAnsi="Arial" w:cs="Arial"/>
        </w:rPr>
        <w:t xml:space="preserve">dos pacientes (A y B) con mayor </w:t>
      </w:r>
      <w:r w:rsidR="00B113A1" w:rsidRPr="00687B88">
        <w:rPr>
          <w:rFonts w:ascii="Arial" w:hAnsi="Arial" w:cs="Arial"/>
        </w:rPr>
        <w:t xml:space="preserve">duración de la </w:t>
      </w:r>
      <w:r w:rsidR="00C44859" w:rsidRPr="00687B88">
        <w:rPr>
          <w:rFonts w:ascii="Arial" w:hAnsi="Arial" w:cs="Arial"/>
        </w:rPr>
        <w:t xml:space="preserve">estadía en </w:t>
      </w:r>
      <w:r w:rsidR="00F92F91" w:rsidRPr="00687B88">
        <w:rPr>
          <w:rFonts w:ascii="Arial" w:hAnsi="Arial" w:cs="Arial"/>
        </w:rPr>
        <w:t xml:space="preserve">la </w:t>
      </w:r>
      <w:r w:rsidR="00C44859" w:rsidRPr="00687B88">
        <w:rPr>
          <w:rFonts w:ascii="Arial" w:hAnsi="Arial" w:cs="Arial"/>
        </w:rPr>
        <w:t>UCI</w:t>
      </w:r>
      <w:r w:rsidR="00643225" w:rsidRPr="00687B88">
        <w:rPr>
          <w:rFonts w:ascii="Arial" w:hAnsi="Arial" w:cs="Arial"/>
        </w:rPr>
        <w:t xml:space="preserve"> </w:t>
      </w:r>
      <w:r w:rsidR="00B113A1" w:rsidRPr="00687B88">
        <w:rPr>
          <w:rFonts w:ascii="Arial" w:hAnsi="Arial" w:cs="Arial"/>
        </w:rPr>
        <w:t>(</w:t>
      </w:r>
      <w:r w:rsidR="00643225" w:rsidRPr="00687B88">
        <w:rPr>
          <w:rFonts w:ascii="Arial" w:hAnsi="Arial" w:cs="Arial"/>
        </w:rPr>
        <w:t>30 y 35 días</w:t>
      </w:r>
      <w:r w:rsidR="00B113A1" w:rsidRPr="00687B88">
        <w:rPr>
          <w:rFonts w:ascii="Arial" w:hAnsi="Arial" w:cs="Arial"/>
        </w:rPr>
        <w:t>,</w:t>
      </w:r>
      <w:r w:rsidR="00643225" w:rsidRPr="00687B88">
        <w:rPr>
          <w:rFonts w:ascii="Arial" w:hAnsi="Arial" w:cs="Arial"/>
        </w:rPr>
        <w:t xml:space="preserve"> respectivamente</w:t>
      </w:r>
      <w:r w:rsidR="00B113A1" w:rsidRPr="00687B88">
        <w:rPr>
          <w:rFonts w:ascii="Arial" w:hAnsi="Arial" w:cs="Arial"/>
        </w:rPr>
        <w:t>).</w:t>
      </w:r>
      <w:r w:rsidR="005F1E46" w:rsidRPr="00687B88">
        <w:rPr>
          <w:rFonts w:ascii="Arial" w:hAnsi="Arial" w:cs="Arial"/>
        </w:rPr>
        <w:t xml:space="preserve"> Los datos clínicos y demográficos se obtuvieron desde una base de datos personalizada en Research Electronic Data Capture (REDCap).</w:t>
      </w:r>
    </w:p>
    <w:p w14:paraId="59FBE6D5" w14:textId="70926438" w:rsidR="00420278" w:rsidRPr="00687B88" w:rsidRDefault="008E09D5" w:rsidP="00687B88">
      <w:pPr>
        <w:spacing w:line="480" w:lineRule="auto"/>
        <w:rPr>
          <w:rFonts w:ascii="Arial" w:hAnsi="Arial" w:cs="Arial"/>
          <w:b/>
        </w:rPr>
      </w:pPr>
      <w:r w:rsidRPr="00687B88">
        <w:rPr>
          <w:rFonts w:ascii="Arial" w:hAnsi="Arial" w:cs="Arial"/>
          <w:b/>
        </w:rPr>
        <w:t>Definiciones operacionales</w:t>
      </w:r>
    </w:p>
    <w:p w14:paraId="296F901C" w14:textId="37F84CCD" w:rsidR="00114D71" w:rsidRDefault="00CF17A7" w:rsidP="00687B88">
      <w:pPr>
        <w:spacing w:line="480" w:lineRule="auto"/>
        <w:rPr>
          <w:rFonts w:ascii="Arial" w:hAnsi="Arial" w:cs="Arial"/>
          <w:lang w:val="es-ES"/>
        </w:rPr>
      </w:pPr>
      <w:r w:rsidRPr="00687B88">
        <w:rPr>
          <w:rFonts w:ascii="Arial" w:hAnsi="Arial" w:cs="Arial"/>
        </w:rPr>
        <w:t xml:space="preserve">Los puntos de tiempo de medición fueron el ingreso a la UCI (instalación del actígrafo), el despertar (momento en que se consideró </w:t>
      </w:r>
      <w:r w:rsidR="0011571F" w:rsidRPr="00687B88">
        <w:rPr>
          <w:rFonts w:ascii="Arial" w:hAnsi="Arial" w:cs="Arial"/>
        </w:rPr>
        <w:t>al</w:t>
      </w:r>
      <w:r w:rsidRPr="00687B88">
        <w:rPr>
          <w:rFonts w:ascii="Arial" w:hAnsi="Arial" w:cs="Arial"/>
        </w:rPr>
        <w:t xml:space="preserve"> paciente </w:t>
      </w:r>
      <w:r w:rsidR="0011571F" w:rsidRPr="00687B88">
        <w:rPr>
          <w:rFonts w:ascii="Arial" w:hAnsi="Arial" w:cs="Arial"/>
        </w:rPr>
        <w:t xml:space="preserve">como </w:t>
      </w:r>
      <w:r w:rsidRPr="00687B88">
        <w:rPr>
          <w:rFonts w:ascii="Arial" w:hAnsi="Arial" w:cs="Arial"/>
        </w:rPr>
        <w:t>cooperador) y egreso de la UCI (retiro del actígrafo). Se definió ingreso a la UCI</w:t>
      </w:r>
      <w:r w:rsidR="0011571F" w:rsidRPr="00687B88">
        <w:rPr>
          <w:rFonts w:ascii="Arial" w:hAnsi="Arial" w:cs="Arial"/>
        </w:rPr>
        <w:t xml:space="preserve"> como las primeras doce horas desde la admisión de la UCI </w:t>
      </w:r>
      <w:r w:rsidR="005A3838" w:rsidRPr="00687B88">
        <w:rPr>
          <w:rFonts w:ascii="Arial" w:hAnsi="Arial" w:cs="Arial"/>
        </w:rPr>
        <w:t xml:space="preserve">en donde se inició la monitorización por actigrafía. </w:t>
      </w:r>
      <w:r w:rsidR="0054006A" w:rsidRPr="00687B88">
        <w:rPr>
          <w:rFonts w:ascii="Arial" w:hAnsi="Arial" w:cs="Arial"/>
        </w:rPr>
        <w:t xml:space="preserve">Se </w:t>
      </w:r>
      <w:r w:rsidR="008E09D5" w:rsidRPr="00687B88">
        <w:rPr>
          <w:rFonts w:ascii="Arial" w:hAnsi="Arial" w:cs="Arial"/>
        </w:rPr>
        <w:t>definió</w:t>
      </w:r>
      <w:r w:rsidR="0054006A" w:rsidRPr="00687B88">
        <w:rPr>
          <w:rFonts w:ascii="Arial" w:hAnsi="Arial" w:cs="Arial"/>
        </w:rPr>
        <w:t xml:space="preserve"> el despertar</w:t>
      </w:r>
      <w:r w:rsidR="00420278" w:rsidRPr="00687B88">
        <w:rPr>
          <w:rFonts w:ascii="Arial" w:hAnsi="Arial" w:cs="Arial"/>
        </w:rPr>
        <w:t xml:space="preserve"> </w:t>
      </w:r>
      <w:r w:rsidR="0054006A" w:rsidRPr="00687B88">
        <w:rPr>
          <w:rFonts w:ascii="Arial" w:hAnsi="Arial" w:cs="Arial"/>
        </w:rPr>
        <w:t xml:space="preserve">como la primera vez </w:t>
      </w:r>
      <w:r w:rsidR="008E09D5" w:rsidRPr="00687B88">
        <w:rPr>
          <w:rFonts w:ascii="Arial" w:hAnsi="Arial" w:cs="Arial"/>
        </w:rPr>
        <w:t xml:space="preserve">en </w:t>
      </w:r>
      <w:r w:rsidR="0054006A" w:rsidRPr="00687B88">
        <w:rPr>
          <w:rFonts w:ascii="Arial" w:hAnsi="Arial" w:cs="Arial"/>
        </w:rPr>
        <w:t>que el paciente log</w:t>
      </w:r>
      <w:r w:rsidR="008E09D5" w:rsidRPr="00687B88">
        <w:rPr>
          <w:rFonts w:ascii="Arial" w:hAnsi="Arial" w:cs="Arial"/>
        </w:rPr>
        <w:t>ró</w:t>
      </w:r>
      <w:r w:rsidR="0054006A" w:rsidRPr="00687B88">
        <w:rPr>
          <w:rFonts w:ascii="Arial" w:hAnsi="Arial" w:cs="Arial"/>
        </w:rPr>
        <w:t xml:space="preserve"> un nivel de cooperación adecuado (</w:t>
      </w:r>
      <w:r w:rsidR="00A76191" w:rsidRPr="00687B88">
        <w:rPr>
          <w:rFonts w:ascii="Arial" w:hAnsi="Arial" w:cs="Arial"/>
        </w:rPr>
        <w:t>Standardized 5 Questions</w:t>
      </w:r>
      <w:r w:rsidR="0054006A" w:rsidRPr="00687B88">
        <w:rPr>
          <w:rFonts w:ascii="Arial" w:hAnsi="Arial" w:cs="Arial"/>
        </w:rPr>
        <w:t>=5/5)</w:t>
      </w:r>
      <w:r w:rsidR="003037EE" w:rsidRPr="00687B88">
        <w:rPr>
          <w:rFonts w:ascii="Arial" w:hAnsi="Arial" w:cs="Arial"/>
        </w:rPr>
        <w:fldChar w:fldCharType="begin" w:fldLock="1"/>
      </w:r>
      <w:r w:rsidR="007C4380" w:rsidRPr="00687B88">
        <w:rPr>
          <w:rFonts w:ascii="Arial" w:hAnsi="Arial" w:cs="Arial"/>
        </w:rPr>
        <w:instrText>ADDIN CSL_CITATION {"citationItems":[{"id":"ITEM-1","itemData":{"DOI":"12472328","ISSN":"0098-7484","PMID":"12472328","abstract":"CONTEXT Although electrophysiologic and histologic neuromuscular abnormalities are common in intensive care unit (ICU) patients, the clinical incidence of ICU-acquired neuromuscular disorders in patients recovering from severe illness remains unknown. OBJECTIVES To assess the clinical incidence, risk factors, and outcomes of ICU-acquired paresis (ICUAP) during recovery from critical illness in the ICU and to determine the electrophysiologic and histologic patterns in patients with ICUAP. DESIGN Prospective cohort study conducted from March 1999 to June 2000. SETTING Three medical and 2 surgical ICUs in 4 hospitals in France. PARTICIPANTS All consecutive ICU patients without preexisting neuromuscular disease who underwent mechanical ventilation for 7 or more days were screened daily for awakening. The first day a patient was considered awake was day 1. Patients with severe muscle weakness on day 7 were considered to have ICUAP. MAIN OUTCOME MEASURES Incidence and duration of ICUAP, risk factors for ICUAP, and comparative duration of mechanical ventilation between ICUAP and control patients. RESULTS Among the 95 patients who achieved satisfactory awakening, the incidence of ICUAP was 25.3% (95% confidence interval [CI], 16.9%-35.2%). All ICUAP patients had a sensorimotor axonopathy, and all patients who underwent a muscle biopsy had specific muscle involvement not related to nerve involvement. The median duration of ICUAP after day 1 was 21 days. Mean (SD) duration of mechanical ventilation after day 1 was significantly longer in patients with ICUAP compared with those without (18.2 [36.3] vs 7.6 [19.2] days; P =.03). Independent predictors of ICUAP were female sex (odds ratio [OR], 4.66; 95% CI, 1.19-18.30), the number of days with dysfunction of 2 or more organs (OR, 1.28; 95% CI, 1.11-1.49), duration of mechanical ventilation (OR, 1.10; 95% CI, 1.00-1.22), and administration of corticosteroids (OR, 14.90; 95% CI, 3.20-69.80) before day 1. CONCLUSIONS Identified using simple bedside clinical criteria, ICUAP was frequent during recovery from critical illness and was associated with a prolonged duration of mechanical ventilation. Our findings suggest an important role of corticosteroids in the development of ICUAP.","author":[{"dropping-particle":"","family":"Jonghe","given":"Bernard","non-dropping-particle":"De","parse-names":false,"suffix":""},{"dropping-particle":"","family":"Sharshar","given":"Tarek","non-dropping-particle":"","parse-names":false,"suffix":""},{"dropping-particle":"","family":"Lefaucheur","given":"Jean-Pascal","non-dropping-particle":"","parse-names":false,"suffix":""},{"dropping-particle":"","family":"Authier","given":"François-Jérome","non-dropping-particle":"","parse-names":false,"suffix":""},{"dropping-particle":"","family":"Durand-Zaleski","given":"Isabelle","non-dropping-particle":"","parse-names":false,"suffix":""},{"dropping-particle":"","family":"Boussarsar","given":"Mohamed","non-dropping-particle":"","parse-names":false,"suffix":""},{"dropping-particle":"","family":"Cerf","given":"Charles","non-dropping-particle":"","parse-names":false,"suffix":""},{"dropping-particle":"","family":"Renaud","given":"Estelle","non-dropping-particle":"","parse-names":false,"suffix":""},{"dropping-particle":"","family":"Mesrati","given":"Francine","non-dropping-particle":"","parse-names":false,"suffix":""},{"dropping-particle":"","family":"Carlet","given":"Jean","non-dropping-particle":"","parse-names":false,"suffix":""},{"dropping-particle":"","family":"Raphaël","given":"Jean-Claude","non-dropping-particle":"","parse-names":false,"suffix":""},{"dropping-particle":"","family":"Outin","given":"Hervé","non-dropping-particle":"","parse-names":false,"suffix":""},{"dropping-particle":"","family":"Bastuji-Garin","given":"Sylvie","non-dropping-particle":"","parse-names":false,"suffix":""},{"dropping-particle":"","family":"Groupe de Réflexion et d'Etude des Neuromyopathies en Réanimation","given":"","non-dropping-particle":"","parse-names":false,"suffix":""}],"container-title":"JAMA","id":"ITEM-1","issue":"22","issued":{"date-parts":[["2002","12"]]},"page":"2859-67","title":"Paresis acquired in the intensive care unit: a prospective multicenter study.","type":"article-journal","volume":"288"},"uris":["http://www.mendeley.com/documents/?uuid=e54db50b-2ce5-4335-92f6-4a46cce5113b"]}],"mendeley":{"formattedCitation":"[25]","plainTextFormattedCitation":"[25]","previouslyFormattedCitation":"[25]"},"properties":{"noteIndex":0},"schema":"https://github.com/citation-style-language/schema/raw/master/csl-citation.json"}</w:instrText>
      </w:r>
      <w:r w:rsidR="003037EE" w:rsidRPr="00687B88">
        <w:rPr>
          <w:rFonts w:ascii="Arial" w:hAnsi="Arial" w:cs="Arial"/>
        </w:rPr>
        <w:fldChar w:fldCharType="separate"/>
      </w:r>
      <w:r w:rsidR="003037EE" w:rsidRPr="00687B88">
        <w:rPr>
          <w:rFonts w:ascii="Arial" w:hAnsi="Arial" w:cs="Arial"/>
          <w:noProof/>
        </w:rPr>
        <w:t>[25]</w:t>
      </w:r>
      <w:r w:rsidR="003037EE" w:rsidRPr="00687B88">
        <w:rPr>
          <w:rFonts w:ascii="Arial" w:hAnsi="Arial" w:cs="Arial"/>
        </w:rPr>
        <w:fldChar w:fldCharType="end"/>
      </w:r>
      <w:r w:rsidRPr="00687B88">
        <w:rPr>
          <w:rFonts w:ascii="Arial" w:hAnsi="Arial" w:cs="Arial"/>
        </w:rPr>
        <w:t>.</w:t>
      </w:r>
      <w:r w:rsidR="005A3838" w:rsidRPr="00687B88" w:rsidDel="005A3838">
        <w:rPr>
          <w:rFonts w:ascii="Arial" w:hAnsi="Arial" w:cs="Arial"/>
        </w:rPr>
        <w:t xml:space="preserve"> </w:t>
      </w:r>
      <w:r w:rsidR="005A3838" w:rsidRPr="00687B88">
        <w:rPr>
          <w:rFonts w:ascii="Arial" w:hAnsi="Arial" w:cs="Arial"/>
        </w:rPr>
        <w:t>E</w:t>
      </w:r>
      <w:r w:rsidR="0054006A" w:rsidRPr="00687B88">
        <w:rPr>
          <w:rFonts w:ascii="Arial" w:hAnsi="Arial" w:cs="Arial"/>
        </w:rPr>
        <w:t>l egreso a UCI como el momento en que el paciente cumpl</w:t>
      </w:r>
      <w:r w:rsidR="008E09D5" w:rsidRPr="00687B88">
        <w:rPr>
          <w:rFonts w:ascii="Arial" w:hAnsi="Arial" w:cs="Arial"/>
        </w:rPr>
        <w:t>ió los</w:t>
      </w:r>
      <w:r w:rsidR="0054006A" w:rsidRPr="00687B88">
        <w:rPr>
          <w:rFonts w:ascii="Arial" w:hAnsi="Arial" w:cs="Arial"/>
        </w:rPr>
        <w:t xml:space="preserve"> criterios médicos para </w:t>
      </w:r>
      <w:r w:rsidR="008E09D5" w:rsidRPr="00687B88">
        <w:rPr>
          <w:rFonts w:ascii="Arial" w:hAnsi="Arial" w:cs="Arial"/>
        </w:rPr>
        <w:t>egresar</w:t>
      </w:r>
      <w:r w:rsidR="0054006A" w:rsidRPr="00687B88">
        <w:rPr>
          <w:rFonts w:ascii="Arial" w:hAnsi="Arial" w:cs="Arial"/>
        </w:rPr>
        <w:t xml:space="preserve"> de la unidad. </w:t>
      </w:r>
      <w:r w:rsidR="00C44859" w:rsidRPr="00687B88">
        <w:rPr>
          <w:rFonts w:ascii="Arial" w:hAnsi="Arial" w:cs="Arial"/>
          <w:lang w:val="es-ES"/>
        </w:rPr>
        <w:t xml:space="preserve">Al despertar y egreso </w:t>
      </w:r>
      <w:r w:rsidR="008E09D5" w:rsidRPr="00687B88">
        <w:rPr>
          <w:rFonts w:ascii="Arial" w:hAnsi="Arial" w:cs="Arial"/>
          <w:lang w:val="es-ES"/>
        </w:rPr>
        <w:t xml:space="preserve">de la </w:t>
      </w:r>
      <w:r w:rsidR="00C44859" w:rsidRPr="00687B88">
        <w:rPr>
          <w:rFonts w:ascii="Arial" w:hAnsi="Arial" w:cs="Arial"/>
          <w:lang w:val="es-ES"/>
        </w:rPr>
        <w:t xml:space="preserve">UCI, </w:t>
      </w:r>
      <w:r w:rsidR="005D01AB" w:rsidRPr="00687B88">
        <w:rPr>
          <w:rFonts w:ascii="Arial" w:hAnsi="Arial" w:cs="Arial"/>
          <w:lang w:val="es-ES"/>
        </w:rPr>
        <w:t>kinesiólogos evaluaron</w:t>
      </w:r>
      <w:r w:rsidR="00C44859" w:rsidRPr="00687B88">
        <w:rPr>
          <w:rFonts w:ascii="Arial" w:hAnsi="Arial" w:cs="Arial"/>
          <w:lang w:val="es-ES"/>
        </w:rPr>
        <w:t xml:space="preserve"> </w:t>
      </w:r>
      <w:r w:rsidR="008E09D5" w:rsidRPr="00687B88">
        <w:rPr>
          <w:rFonts w:ascii="Arial" w:hAnsi="Arial" w:cs="Arial"/>
          <w:lang w:val="es-ES"/>
        </w:rPr>
        <w:t xml:space="preserve">la </w:t>
      </w:r>
      <w:r w:rsidR="00C44859" w:rsidRPr="00687B88">
        <w:rPr>
          <w:rFonts w:ascii="Arial" w:hAnsi="Arial" w:cs="Arial"/>
          <w:lang w:val="es-ES"/>
        </w:rPr>
        <w:t xml:space="preserve">movilidad </w:t>
      </w:r>
      <w:r w:rsidR="008E09D5" w:rsidRPr="00687B88">
        <w:rPr>
          <w:rFonts w:ascii="Arial" w:hAnsi="Arial" w:cs="Arial"/>
          <w:lang w:val="es-ES"/>
        </w:rPr>
        <w:t xml:space="preserve">con la </w:t>
      </w:r>
      <w:r w:rsidR="00A76191" w:rsidRPr="00687B88">
        <w:rPr>
          <w:rFonts w:ascii="Arial" w:hAnsi="Arial" w:cs="Arial"/>
          <w:lang w:val="es-ES"/>
        </w:rPr>
        <w:t>Functional Status Score for the Intensive Care Unit (</w:t>
      </w:r>
      <w:r w:rsidR="00C44859" w:rsidRPr="00687B88">
        <w:rPr>
          <w:rFonts w:ascii="Arial" w:hAnsi="Arial" w:cs="Arial"/>
          <w:lang w:val="es-ES"/>
        </w:rPr>
        <w:t>FSS-ICU</w:t>
      </w:r>
      <w:r w:rsidR="00A76191" w:rsidRPr="00687B88">
        <w:rPr>
          <w:rFonts w:ascii="Arial" w:hAnsi="Arial" w:cs="Arial"/>
          <w:lang w:val="es-ES"/>
        </w:rPr>
        <w:t>)</w:t>
      </w:r>
      <w:r w:rsidR="007C4380" w:rsidRPr="00687B88">
        <w:rPr>
          <w:rFonts w:ascii="Arial" w:hAnsi="Arial" w:cs="Arial"/>
          <w:lang w:val="es-ES"/>
        </w:rPr>
        <w:fldChar w:fldCharType="begin" w:fldLock="1"/>
      </w:r>
      <w:r w:rsidR="007C4380" w:rsidRPr="00687B88">
        <w:rPr>
          <w:rFonts w:ascii="Arial" w:hAnsi="Arial" w:cs="Arial"/>
          <w:lang w:val="es-ES"/>
        </w:rPr>
        <w:instrText>ADDIN CSL_CITATION {"citationItems":[{"id":"ITEM-1","itemData":{"DOI":"10.1186/s13054-017-1827-6","ISSN":"1466609X","abstract":"The evaluation of physical functioning is valuable in the intensive care unit (ICU) to help inform patient recovery after critical illness, to identify patients who may require rehabilitation interventions, and to monitor responsiveness to such interventions. This viewpoint article discusses: (1) the concept of physical functioning with reference to the World Health Organization International Classification of Functioning, Disability and Health; (2) the importance of measuring physical functioning in the ICU; and (3) methods for evaluating physical functioning in the ICU. Recommendations for clinical practice and research are made, along with discussion of future directions.","author":[{"dropping-particle":"","family":"Parry","given":"Selina M.","non-dropping-particle":"","parse-names":false,"suffix":""},{"dropping-particle":"","family":"Huang","given":"Minxuan","non-dropping-particle":"","parse-names":false,"suffix":""},{"dropping-particle":"","family":"Needham","given":"Dale M.","non-dropping-particle":"","parse-names":false,"suffix":""}],"container-title":"Critical Care","id":"ITEM-1","issued":{"date-parts":[["2017"]]},"title":"Evaluating physical functioning in critical care: Considerations for clinical practice and research","type":"article"},"uris":["http://www.mendeley.com/documents/?uuid=9ec255cb-433f-452e-bb5c-4831b47302ba"]}],"mendeley":{"formattedCitation":"[26]","plainTextFormattedCitation":"[26]","previouslyFormattedCitation":"[26]"},"properties":{"noteIndex":0},"schema":"https://github.com/citation-style-language/schema/raw/master/csl-citation.json"}</w:instrText>
      </w:r>
      <w:r w:rsidR="007C4380" w:rsidRPr="00687B88">
        <w:rPr>
          <w:rFonts w:ascii="Arial" w:hAnsi="Arial" w:cs="Arial"/>
          <w:lang w:val="es-ES"/>
        </w:rPr>
        <w:fldChar w:fldCharType="separate"/>
      </w:r>
      <w:r w:rsidR="007C4380" w:rsidRPr="00687B88">
        <w:rPr>
          <w:rFonts w:ascii="Arial" w:hAnsi="Arial" w:cs="Arial"/>
          <w:noProof/>
          <w:lang w:val="es-ES"/>
        </w:rPr>
        <w:t>[26]</w:t>
      </w:r>
      <w:r w:rsidR="007C4380" w:rsidRPr="00687B88">
        <w:rPr>
          <w:rFonts w:ascii="Arial" w:hAnsi="Arial" w:cs="Arial"/>
          <w:lang w:val="es-ES"/>
        </w:rPr>
        <w:fldChar w:fldCharType="end"/>
      </w:r>
      <w:r w:rsidR="00C44859" w:rsidRPr="00687B88">
        <w:rPr>
          <w:rFonts w:ascii="Arial" w:hAnsi="Arial" w:cs="Arial"/>
          <w:lang w:val="es-ES"/>
        </w:rPr>
        <w:t xml:space="preserve"> y la fuerza muscular con </w:t>
      </w:r>
      <w:r w:rsidR="008E09D5" w:rsidRPr="00687B88">
        <w:rPr>
          <w:rFonts w:ascii="Arial" w:hAnsi="Arial" w:cs="Arial"/>
          <w:lang w:val="es-ES"/>
        </w:rPr>
        <w:t xml:space="preserve">la </w:t>
      </w:r>
      <w:r w:rsidR="00C44859" w:rsidRPr="00687B88">
        <w:rPr>
          <w:rFonts w:ascii="Arial" w:hAnsi="Arial" w:cs="Arial"/>
          <w:lang w:val="es-ES"/>
        </w:rPr>
        <w:t xml:space="preserve">Medical </w:t>
      </w:r>
    </w:p>
    <w:p w14:paraId="4BA72B04" w14:textId="672A0A6C" w:rsidR="00114D71" w:rsidRDefault="00114D71" w:rsidP="00114D71">
      <w:pPr>
        <w:rPr>
          <w:rFonts w:ascii="Arial" w:hAnsi="Arial" w:cs="Arial"/>
          <w:lang w:val="es-ES"/>
        </w:rPr>
      </w:pPr>
    </w:p>
    <w:p w14:paraId="52DEC67F" w14:textId="4771DA3E" w:rsidR="00114D71" w:rsidRPr="00F168DE" w:rsidRDefault="00114D71" w:rsidP="00114D71">
      <w:pPr>
        <w:jc w:val="center"/>
        <w:rPr>
          <w:rFonts w:ascii="Arial" w:hAnsi="Arial" w:cs="Arial"/>
          <w:color w:val="808080" w:themeColor="background1" w:themeShade="80"/>
          <w:lang w:val="en-US"/>
        </w:rPr>
      </w:pPr>
      <w:r w:rsidRPr="00F168DE">
        <w:rPr>
          <w:rFonts w:ascii="Arial" w:hAnsi="Arial" w:cs="Arial"/>
          <w:color w:val="808080" w:themeColor="background1" w:themeShade="80"/>
          <w:lang w:val="en-US"/>
        </w:rPr>
        <w:t>5</w:t>
      </w:r>
    </w:p>
    <w:p w14:paraId="69B5C44D" w14:textId="35A581C1" w:rsidR="003F21ED" w:rsidRPr="00687B88" w:rsidRDefault="00C44859" w:rsidP="00687B88">
      <w:pPr>
        <w:spacing w:line="480" w:lineRule="auto"/>
        <w:rPr>
          <w:rFonts w:ascii="Arial" w:hAnsi="Arial" w:cs="Arial"/>
        </w:rPr>
      </w:pPr>
      <w:r w:rsidRPr="00114D71">
        <w:rPr>
          <w:rFonts w:ascii="Arial" w:hAnsi="Arial" w:cs="Arial"/>
          <w:lang w:val="en-US"/>
        </w:rPr>
        <w:t>Research Council Sum Score (MRC-SS)</w:t>
      </w:r>
      <w:r w:rsidR="007C4380" w:rsidRPr="00687B88">
        <w:rPr>
          <w:rFonts w:ascii="Arial" w:hAnsi="Arial" w:cs="Arial"/>
          <w:lang w:val="es-ES"/>
        </w:rPr>
        <w:fldChar w:fldCharType="begin" w:fldLock="1"/>
      </w:r>
      <w:r w:rsidR="007C4380" w:rsidRPr="00114D71">
        <w:rPr>
          <w:rFonts w:ascii="Arial" w:hAnsi="Arial" w:cs="Arial"/>
          <w:lang w:val="en-US"/>
        </w:rPr>
        <w:instrText xml:space="preserve">ADDIN CSL_CITATION {"citationItems":[{"id":"ITEM-1","itemData":{"DOI":"10.1097/CCM.0000000000000030","ISBN":"0000000000000","ISSN":"00903493","PMID":"24201180","abstract":"Objectives: To determine the reliability of volitional and nonvolitional limb muscle strength assessment in critically ill patients and to provide guidelines for the implementation of limb muscle strength assessment this population. DATA SOURCES:: The following computerized bibliographic databases were searched with MeSH terms and keywords or combinations: MEDLINE through PubMed and Embase through Embase.com. STUDY SELECTION:: Articles were screened by two independent reviewers. Included studies were all performed in humans and were original articles. The research population exists of adult, critically ill patients or ICU survivors of either sex, and those admitted to a medical, surgical, respiratory, or mixed ICU. A study was included if reliability of muscle strength measurements was determined in this population. DATA EXTRACTION:: Data on baseline characteristics (country, study population, eligibility, age, setting and method, and equipment of limb muscle strength assessment) and reliability scores were obtained by two independent reviewers. DATA SYNTHESIS:: Data of six observational studies were analyzed. Interrater reliability of the Medical Research Council scale for individual muscle groups varied from \"fair\" or \"substantial\" (weighted </w:instrText>
      </w:r>
      <w:r w:rsidR="007C4380" w:rsidRPr="00687B88">
        <w:rPr>
          <w:rFonts w:ascii="Arial" w:hAnsi="Arial" w:cs="Arial"/>
          <w:lang w:val="es-ES"/>
        </w:rPr>
        <w:instrText>κ</w:instrText>
      </w:r>
      <w:r w:rsidR="007C4380" w:rsidRPr="00114D71">
        <w:rPr>
          <w:rFonts w:ascii="Arial" w:hAnsi="Arial" w:cs="Arial"/>
          <w:lang w:val="en-US"/>
        </w:rPr>
        <w:instrText xml:space="preserve">, 0.23-0.64) to \"very good\" agreement (weighted </w:instrText>
      </w:r>
      <w:r w:rsidR="007C4380" w:rsidRPr="00687B88">
        <w:rPr>
          <w:rFonts w:ascii="Arial" w:hAnsi="Arial" w:cs="Arial"/>
          <w:lang w:val="es-ES"/>
        </w:rPr>
        <w:instrText>κ</w:instrText>
      </w:r>
      <w:r w:rsidR="007C4380" w:rsidRPr="00114D71">
        <w:rPr>
          <w:rFonts w:ascii="Arial" w:hAnsi="Arial" w:cs="Arial"/>
          <w:lang w:val="en-US"/>
        </w:rPr>
        <w:instrText>, 0.80-0.96). Interrater reliability of the Medical Research Council-sum score was found to be very good in all four studies (intraclass correlation coefficients, 0.86-0.99 or Pearson product moment correlation coefficient = 0.96). Interrater reliability of handheld dynamometry was comparable between two studies (intraclass correlation coefficients, 0.62-0.96). Interrater reliability of handgrip dynamometry was very good in two studies (intraclass correlation coefficients, 0.89-0.97). Intrarater reliability of handheld dynamometry and handgrip dynamometry was assessed in one study, and results were very good (intraclass correlation coefficients &gt; 0.81). No studies were obtained on reliability of nonvolitional muscle strength assessment. CONCLUSIONS:: Voluntary muscle strength measurement has proven reliable in critically ill patients provided that strict guidelines on adequacy and standardized test procedures and positions are followed.Copyright © 2013 by the Society of Critical Care Medicine and Lippincott.","author":[{"dropping-particle":"","family":"Vanpee","given":"Goele","non-dropping-particle":"","parse-names":false,"suffix":""},{"dropping-particle":"","family":"Hermans","given":"Greet","non-dropping-particle":"","parse-names":false,"suffix":""},{"dropping-particle":"","family":"Segers","given":"Johan","non-dropping-particle":"","parse-names":false,"suffix":""},{"dropping-particle":"","family":"Gosselink","given":"Rik","non-dropping-particle</w:instrText>
      </w:r>
      <w:r w:rsidR="007C4380" w:rsidRPr="00F168DE">
        <w:rPr>
          <w:rFonts w:ascii="Arial" w:hAnsi="Arial" w:cs="Arial"/>
          <w:lang w:val="en-US"/>
        </w:rPr>
        <w:instrText>"</w:instrText>
      </w:r>
      <w:r w:rsidR="007C4380" w:rsidRPr="00687B88">
        <w:rPr>
          <w:rFonts w:ascii="Arial" w:hAnsi="Arial" w:cs="Arial"/>
          <w:lang w:val="es-ES"/>
        </w:rPr>
        <w:instrText>:"","parse-names":false,"suffix":""}],"container-title":"Critical Care Medicine","id":"ITEM-1","issue":"3","issued":{"date-parts":[["2014"]]},"page":"701-711","title":"Assessment of limb muscle strength in critically ill Patients: A systematic Review","type":"article-journal","volume":"42"},"uris":["http://www.mendeley.com/documents/?uuid=fd443168-8b8e-4858-9584-c8cb7de0fa7a"]},{"id":"ITEM-2","itemData":{"DOI":"10.1186/s13054-017-1827-6","ISSN":"1466609X","abstract":"The evaluation of physical functioning is valuable in the intensive care unit (ICU) to help inform patient recovery after critical illness, to identify patients who may require rehabilitation interventions, and to monitor responsiveness to such interventions. This viewpoint article discusses: (1) the concept of physical functioning with reference to the World Health Organization International Classification of Functioning, Disability and Health; (2) the importance of measuring physical functioning in the ICU; and (3) methods for evaluating physical functioning in the ICU. Recommendations for clinical practice and research are made, along with discussion of future directions.","author":[{"dropping-particle":"","family":"Parry","given":"Selina M.","non-dropping-particle":"","parse-names":false,"suffix":""},{"dropping-particle":"","family":"Huang","given":"Minxuan","non-dropping-particle":"","parse-names":false,"suffix":""},{"dropping-particle":"","family":"Needham","given":"Dale M.","non-dropping-particle":"","parse-names":false,"suffix":""}],"container-title":"Critical Care","id":"ITEM-2","issued":{"date-parts":[["2017"]]},"title":"Evaluating physical functioning in critical care: Considerations for clinical practice and research","type":"article"},"uris":["http://www.mendeley.com/documents/?uuid=9ec255cb-433f-452e-bb5c-4831b47302ba"]}],"mendeley":{"formattedCitation":"[26,27]","plainTextFormattedCitation":"[26,27]","previouslyFormattedCitation":"[26,27]"},"properties":{"noteIndex":0},"schema":"https://github.com/citation-style-language/schema/raw/master/csl-citation.json"}</w:instrText>
      </w:r>
      <w:r w:rsidR="007C4380" w:rsidRPr="00687B88">
        <w:rPr>
          <w:rFonts w:ascii="Arial" w:hAnsi="Arial" w:cs="Arial"/>
          <w:lang w:val="es-ES"/>
        </w:rPr>
        <w:fldChar w:fldCharType="separate"/>
      </w:r>
      <w:r w:rsidR="007C4380" w:rsidRPr="00687B88">
        <w:rPr>
          <w:rFonts w:ascii="Arial" w:hAnsi="Arial" w:cs="Arial"/>
          <w:noProof/>
          <w:lang w:val="es-ES"/>
        </w:rPr>
        <w:t>[26,27]</w:t>
      </w:r>
      <w:r w:rsidR="007C4380" w:rsidRPr="00687B88">
        <w:rPr>
          <w:rFonts w:ascii="Arial" w:hAnsi="Arial" w:cs="Arial"/>
          <w:lang w:val="es-ES"/>
        </w:rPr>
        <w:fldChar w:fldCharType="end"/>
      </w:r>
      <w:r w:rsidRPr="00687B88">
        <w:rPr>
          <w:rFonts w:ascii="Arial" w:hAnsi="Arial" w:cs="Arial"/>
          <w:lang w:val="es-ES"/>
        </w:rPr>
        <w:t>. La debilidad muscular severa se definió como MRC-SS &lt;36 puntos y la debilidad significativa como &lt;48 puntos.</w:t>
      </w:r>
    </w:p>
    <w:p w14:paraId="3405D898" w14:textId="38DD3A81" w:rsidR="005D01AB" w:rsidRPr="00687B88" w:rsidRDefault="005D01AB" w:rsidP="00687B88">
      <w:pPr>
        <w:spacing w:line="480" w:lineRule="auto"/>
        <w:rPr>
          <w:rFonts w:ascii="Arial" w:hAnsi="Arial" w:cs="Arial"/>
        </w:rPr>
      </w:pPr>
    </w:p>
    <w:p w14:paraId="1A1A2D4C" w14:textId="087A5016" w:rsidR="008E09D5" w:rsidRPr="00687B88" w:rsidRDefault="008E09D5" w:rsidP="00687B88">
      <w:pPr>
        <w:spacing w:line="480" w:lineRule="auto"/>
        <w:rPr>
          <w:rFonts w:ascii="Arial" w:hAnsi="Arial" w:cs="Arial"/>
          <w:b/>
          <w:bCs/>
        </w:rPr>
      </w:pPr>
      <w:r w:rsidRPr="00687B88">
        <w:rPr>
          <w:rFonts w:ascii="Arial" w:hAnsi="Arial" w:cs="Arial"/>
          <w:b/>
          <w:bCs/>
        </w:rPr>
        <w:t>Prácticas clínicas locales</w:t>
      </w:r>
    </w:p>
    <w:p w14:paraId="1B88AF95" w14:textId="48D6AA80" w:rsidR="00420278" w:rsidRPr="00687B88" w:rsidRDefault="008E09D5" w:rsidP="00687B88">
      <w:pPr>
        <w:spacing w:line="480" w:lineRule="auto"/>
        <w:rPr>
          <w:rFonts w:ascii="Arial" w:hAnsi="Arial" w:cs="Arial"/>
        </w:rPr>
      </w:pPr>
      <w:r w:rsidRPr="00687B88">
        <w:rPr>
          <w:rFonts w:ascii="Arial" w:hAnsi="Arial" w:cs="Arial"/>
        </w:rPr>
        <w:t>T</w:t>
      </w:r>
      <w:r w:rsidR="005D01AB" w:rsidRPr="00687B88">
        <w:rPr>
          <w:rFonts w:ascii="Arial" w:hAnsi="Arial" w:cs="Arial"/>
        </w:rPr>
        <w:t>odos los pacientes recibieron cuidados estándar que incluía</w:t>
      </w:r>
      <w:r w:rsidR="00D53AB7" w:rsidRPr="00687B88">
        <w:rPr>
          <w:rFonts w:ascii="Arial" w:hAnsi="Arial" w:cs="Arial"/>
        </w:rPr>
        <w:t>n</w:t>
      </w:r>
      <w:r w:rsidR="005D01AB" w:rsidRPr="00687B88">
        <w:rPr>
          <w:rFonts w:ascii="Arial" w:hAnsi="Arial" w:cs="Arial"/>
        </w:rPr>
        <w:t xml:space="preserve"> cambios de posición cada dos horas y baño en cama dos veces al día. Se realizó terapia respiratoria y física según las necesidades del paciente mediante una evaluación diaria. Las estrategias de movilización incluían movilización pasiva/activa, cicloergometría en cama, tilt-table, electroestimulación, movilidad progresiva y actividades </w:t>
      </w:r>
      <w:r w:rsidRPr="00687B88">
        <w:rPr>
          <w:rFonts w:ascii="Arial" w:hAnsi="Arial" w:cs="Arial"/>
        </w:rPr>
        <w:t xml:space="preserve">de movilidad progresiva </w:t>
      </w:r>
      <w:r w:rsidR="005D01AB" w:rsidRPr="00687B88">
        <w:rPr>
          <w:rFonts w:ascii="Arial" w:hAnsi="Arial" w:cs="Arial"/>
        </w:rPr>
        <w:t>fuera de la cama.</w:t>
      </w:r>
    </w:p>
    <w:p w14:paraId="5B4A7D39" w14:textId="77777777" w:rsidR="003F21ED" w:rsidRPr="00687B88" w:rsidRDefault="003F21ED" w:rsidP="00687B88">
      <w:pPr>
        <w:spacing w:line="480" w:lineRule="auto"/>
        <w:rPr>
          <w:rFonts w:ascii="Arial" w:hAnsi="Arial" w:cs="Arial"/>
        </w:rPr>
      </w:pPr>
    </w:p>
    <w:p w14:paraId="1473E5E8" w14:textId="1D13D228" w:rsidR="005D01AB" w:rsidRPr="00687B88" w:rsidRDefault="00646365" w:rsidP="00687B88">
      <w:pPr>
        <w:spacing w:line="480" w:lineRule="auto"/>
        <w:rPr>
          <w:rFonts w:ascii="Arial" w:hAnsi="Arial" w:cs="Arial"/>
          <w:b/>
        </w:rPr>
      </w:pPr>
      <w:r w:rsidRPr="00687B88">
        <w:rPr>
          <w:rFonts w:ascii="Arial" w:hAnsi="Arial" w:cs="Arial"/>
          <w:b/>
        </w:rPr>
        <w:t>Actigrafía</w:t>
      </w:r>
    </w:p>
    <w:p w14:paraId="1446AAD1" w14:textId="5DE52E01" w:rsidR="004F38EA" w:rsidRPr="002157CC" w:rsidRDefault="005D01AB" w:rsidP="002157CC">
      <w:pPr>
        <w:spacing w:line="480" w:lineRule="auto"/>
        <w:rPr>
          <w:rFonts w:ascii="Arial" w:hAnsi="Arial" w:cs="Arial"/>
        </w:rPr>
      </w:pPr>
      <w:r w:rsidRPr="00687B88">
        <w:rPr>
          <w:rFonts w:ascii="Arial" w:hAnsi="Arial" w:cs="Arial"/>
          <w:lang w:val="es-ES"/>
        </w:rPr>
        <w:t xml:space="preserve">Desde el ingreso al egreso de </w:t>
      </w:r>
      <w:r w:rsidR="00E51C29" w:rsidRPr="00687B88">
        <w:rPr>
          <w:rFonts w:ascii="Arial" w:hAnsi="Arial" w:cs="Arial"/>
          <w:lang w:val="es-ES"/>
        </w:rPr>
        <w:t xml:space="preserve">la </w:t>
      </w:r>
      <w:r w:rsidRPr="00687B88">
        <w:rPr>
          <w:rFonts w:ascii="Arial" w:hAnsi="Arial" w:cs="Arial"/>
          <w:lang w:val="es-ES"/>
        </w:rPr>
        <w:t>UCI, e</w:t>
      </w:r>
      <w:r w:rsidR="00C44859" w:rsidRPr="00687B88">
        <w:rPr>
          <w:rFonts w:ascii="Arial" w:hAnsi="Arial" w:cs="Arial"/>
          <w:lang w:val="es-ES"/>
        </w:rPr>
        <w:t xml:space="preserve">l comportamiento de la inactividad fue </w:t>
      </w:r>
      <w:r w:rsidRPr="00687B88">
        <w:rPr>
          <w:rFonts w:ascii="Arial" w:hAnsi="Arial" w:cs="Arial"/>
          <w:lang w:val="es-ES"/>
        </w:rPr>
        <w:t xml:space="preserve">monitorizado ininterrumpidamente </w:t>
      </w:r>
      <w:r w:rsidR="00C44859" w:rsidRPr="00687B88">
        <w:rPr>
          <w:rFonts w:ascii="Arial" w:hAnsi="Arial" w:cs="Arial"/>
          <w:lang w:val="es-ES"/>
        </w:rPr>
        <w:t>utilizando un actígrafo (Actigraph®GT9X–</w:t>
      </w:r>
      <w:proofErr w:type="gramStart"/>
      <w:r w:rsidR="00C44859" w:rsidRPr="00687B88">
        <w:rPr>
          <w:rFonts w:ascii="Arial" w:hAnsi="Arial" w:cs="Arial"/>
          <w:lang w:val="es-ES"/>
        </w:rPr>
        <w:t>Link</w:t>
      </w:r>
      <w:proofErr w:type="gramEnd"/>
      <w:r w:rsidR="00751CFA" w:rsidRPr="00687B88">
        <w:rPr>
          <w:rFonts w:ascii="Arial" w:hAnsi="Arial" w:cs="Arial"/>
          <w:lang w:val="es-ES"/>
        </w:rPr>
        <w:t>, Actigraph, Pensacola, Florida</w:t>
      </w:r>
      <w:r w:rsidR="00C44859" w:rsidRPr="00687B88">
        <w:rPr>
          <w:rFonts w:ascii="Arial" w:hAnsi="Arial" w:cs="Arial"/>
          <w:lang w:val="es-ES"/>
        </w:rPr>
        <w:t>) instalado en el tobillo derecho de cada paciente</w:t>
      </w:r>
      <w:r w:rsidRPr="00687B88">
        <w:rPr>
          <w:rFonts w:ascii="Arial" w:hAnsi="Arial" w:cs="Arial"/>
          <w:lang w:val="es-ES"/>
        </w:rPr>
        <w:t>, considerado como el lugar con menor interferencia por los procedimientos comúnmente realizados en los pacientes críticos</w:t>
      </w:r>
      <w:r w:rsidR="00F05B93" w:rsidRPr="00687B88">
        <w:rPr>
          <w:rFonts w:ascii="Arial" w:hAnsi="Arial" w:cs="Arial"/>
          <w:lang w:val="es-ES"/>
        </w:rPr>
        <w:t xml:space="preserve">. </w:t>
      </w:r>
      <w:r w:rsidR="00ED0E7B" w:rsidRPr="00687B88">
        <w:rPr>
          <w:rFonts w:ascii="Arial" w:hAnsi="Arial" w:cs="Arial"/>
          <w:lang w:val="es-ES"/>
        </w:rPr>
        <w:t xml:space="preserve">El actígrafo solo se retiró para procedimientos fuera de la habitación y </w:t>
      </w:r>
      <w:r w:rsidR="003F21ED" w:rsidRPr="00687B88">
        <w:rPr>
          <w:rFonts w:ascii="Arial" w:hAnsi="Arial" w:cs="Arial"/>
          <w:lang w:val="es-ES"/>
        </w:rPr>
        <w:t>fue</w:t>
      </w:r>
      <w:r w:rsidR="00ED0E7B" w:rsidRPr="00687B88">
        <w:rPr>
          <w:rFonts w:ascii="Arial" w:hAnsi="Arial" w:cs="Arial"/>
          <w:lang w:val="es-ES"/>
        </w:rPr>
        <w:t xml:space="preserve"> </w:t>
      </w:r>
      <w:r w:rsidR="003F21ED" w:rsidRPr="00687B88">
        <w:rPr>
          <w:rFonts w:ascii="Arial" w:hAnsi="Arial" w:cs="Arial"/>
          <w:lang w:val="es-ES"/>
        </w:rPr>
        <w:t>reemplazado</w:t>
      </w:r>
      <w:r w:rsidR="00ED0E7B" w:rsidRPr="00687B88">
        <w:rPr>
          <w:rFonts w:ascii="Arial" w:hAnsi="Arial" w:cs="Arial"/>
          <w:lang w:val="es-ES"/>
        </w:rPr>
        <w:t xml:space="preserve"> </w:t>
      </w:r>
      <w:r w:rsidR="008E09D5" w:rsidRPr="00687B88">
        <w:rPr>
          <w:rFonts w:ascii="Arial" w:hAnsi="Arial" w:cs="Arial"/>
          <w:lang w:val="es-ES"/>
        </w:rPr>
        <w:t xml:space="preserve">oportunamente </w:t>
      </w:r>
      <w:r w:rsidR="00ED0E7B" w:rsidRPr="00687B88">
        <w:rPr>
          <w:rFonts w:ascii="Arial" w:hAnsi="Arial" w:cs="Arial"/>
          <w:lang w:val="es-ES"/>
        </w:rPr>
        <w:t xml:space="preserve">cuando la batería era </w:t>
      </w:r>
      <w:r w:rsidR="00751CFA" w:rsidRPr="00687B88">
        <w:rPr>
          <w:rFonts w:ascii="Arial" w:hAnsi="Arial" w:cs="Arial"/>
          <w:lang w:val="es-ES"/>
        </w:rPr>
        <w:t>menor al 10%</w:t>
      </w:r>
      <w:r w:rsidR="00F05B93" w:rsidRPr="00687B88">
        <w:rPr>
          <w:rFonts w:ascii="Arial" w:hAnsi="Arial" w:cs="Arial"/>
          <w:lang w:val="es-ES"/>
        </w:rPr>
        <w:t>.</w:t>
      </w:r>
      <w:r w:rsidR="004F38EA" w:rsidRPr="00687B88">
        <w:rPr>
          <w:rFonts w:ascii="Arial" w:hAnsi="Arial" w:cs="Arial"/>
        </w:rPr>
        <w:t xml:space="preserve"> </w:t>
      </w:r>
    </w:p>
    <w:p w14:paraId="05F11530" w14:textId="0CC6876A" w:rsidR="00114D71" w:rsidRDefault="004F38EA" w:rsidP="00687B88">
      <w:pPr>
        <w:spacing w:line="480" w:lineRule="auto"/>
        <w:rPr>
          <w:rFonts w:ascii="Arial" w:hAnsi="Arial" w:cs="Arial"/>
        </w:rPr>
      </w:pPr>
      <w:r w:rsidRPr="00687B88">
        <w:rPr>
          <w:rFonts w:ascii="Arial" w:hAnsi="Arial" w:cs="Arial"/>
        </w:rPr>
        <w:t xml:space="preserve">Para describir el comportamiento de la inactividad se utilizó una de las variables </w:t>
      </w:r>
    </w:p>
    <w:p w14:paraId="3745B118" w14:textId="07A7B96B" w:rsidR="00114D71" w:rsidRPr="00114D71" w:rsidRDefault="00114D71" w:rsidP="00114D71">
      <w:pPr>
        <w:jc w:val="center"/>
        <w:rPr>
          <w:rFonts w:ascii="Arial" w:hAnsi="Arial" w:cs="Arial"/>
          <w:color w:val="808080" w:themeColor="background1" w:themeShade="80"/>
        </w:rPr>
      </w:pPr>
      <w:r w:rsidRPr="00114D71">
        <w:rPr>
          <w:rFonts w:ascii="Arial" w:hAnsi="Arial" w:cs="Arial"/>
          <w:color w:val="808080" w:themeColor="background1" w:themeShade="80"/>
        </w:rPr>
        <w:t>6</w:t>
      </w:r>
    </w:p>
    <w:p w14:paraId="6E4D6A1C" w14:textId="75CE49C6" w:rsidR="00C44859" w:rsidRPr="00687B88" w:rsidRDefault="004F38EA" w:rsidP="00687B88">
      <w:pPr>
        <w:spacing w:line="480" w:lineRule="auto"/>
        <w:rPr>
          <w:rFonts w:ascii="Arial" w:hAnsi="Arial" w:cs="Arial"/>
          <w:lang w:val="es-ES"/>
        </w:rPr>
      </w:pPr>
      <w:r w:rsidRPr="00687B88">
        <w:rPr>
          <w:rFonts w:ascii="Arial" w:hAnsi="Arial" w:cs="Arial"/>
        </w:rPr>
        <w:t>llamada “quiebres de inactividad” obtenida por los registros de actigrafía que consiste en interrupciones de inactividad de &gt;100 cuentas por minuto, basados en los puntos de corte para adultos de Freedson</w:t>
      </w:r>
      <w:r w:rsidRPr="00687B88">
        <w:rPr>
          <w:rFonts w:ascii="Arial" w:hAnsi="Arial" w:cs="Arial"/>
        </w:rPr>
        <w:fldChar w:fldCharType="begin" w:fldLock="1"/>
      </w:r>
      <w:r w:rsidR="007C4380" w:rsidRPr="00687B88">
        <w:rPr>
          <w:rFonts w:ascii="Arial" w:hAnsi="Arial" w:cs="Arial"/>
        </w:rPr>
        <w:instrText>ADDIN CSL_CITATION {"citationItems":[{"id":"ITEM-1","itemData":{"DOI":"10.1097/00005768-199805000-00021","ISSN":"01959131","PMID":"9588623","abstract":"Purpose: We established accelerometer count ranges for the Computer Science and Applications, Inc. (CSA) activity monitor corresponding to commonly employed MET categories. Methods: Data were obtained from 50 adults (25 males, 25 females) during treadmill exercise at three different speeds (4.8, 6.4, and 9.7 km · h-1). Results: Activity counts and steady-state oxygen consumption were highly correlated (r = 0.88), and count ranges corresponding to light, moderate, hard, and very hard intensity levels were ≤ 1951, 1952-5724, 5725-9498, ≤ 9499 cnts · min-1 respectively. A model to predict energy expenditure from activity counts and body mass was developed using data from a random sample of 35 subjects (r2 = 0.82, SEE = 1.40 kcal · min-1). Cross validation with data from the remaining 15 subjects revealed no significant differences between actual and predicted energy expenditure at any treadmill speed (SEE = 0.50-1.40 kcal · min-1). Conclusions: These data provide a template on which patterns of activity can be classified into intensity levels using the CSA accelerometer.","author":[{"dropping-particle":"","family":"Freedson","given":"Patty S.","non-dropping-particle":"","parse-names":false,"suffix":""},{"dropping-particle":"","family":"Melanson","given":"Edward","non-dropping-particle":"","parse-names":false,"suffix":""},{"dropping-particle":"","family":"Sirard","given":"John","non-dropping-particle":"","parse-names":false,"suffix":""}],"container-title":"Medicine and Science in Sports and Exercise","id":"ITEM-1","issued":{"date-parts":[["1998"]]},"title":"Calibration of the Computer Science and Applications, Inc. accelerometer","type":"article-journal"},"uris":["http://www.mendeley.com/documents/?uuid=aeabf25a-7fa2-4a48-8f78-21433bd3a2d9"]}],"mendeley":{"formattedCitation":"[28]","plainTextFormattedCitation":"[28]","previouslyFormattedCitation":"[28]"},"properties":{"noteIndex":0},"schema":"https://github.com/citation-style-language/schema/raw/master/csl-citation.json"}</w:instrText>
      </w:r>
      <w:r w:rsidRPr="00687B88">
        <w:rPr>
          <w:rFonts w:ascii="Arial" w:hAnsi="Arial" w:cs="Arial"/>
        </w:rPr>
        <w:fldChar w:fldCharType="separate"/>
      </w:r>
      <w:r w:rsidR="007C4380" w:rsidRPr="00687B88">
        <w:rPr>
          <w:rFonts w:ascii="Arial" w:hAnsi="Arial" w:cs="Arial"/>
          <w:noProof/>
        </w:rPr>
        <w:t>[28]</w:t>
      </w:r>
      <w:r w:rsidRPr="00687B88">
        <w:rPr>
          <w:rFonts w:ascii="Arial" w:hAnsi="Arial" w:cs="Arial"/>
        </w:rPr>
        <w:fldChar w:fldCharType="end"/>
      </w:r>
      <w:r w:rsidRPr="00687B88">
        <w:rPr>
          <w:rFonts w:ascii="Arial" w:hAnsi="Arial" w:cs="Arial"/>
        </w:rPr>
        <w:t xml:space="preserve">. </w:t>
      </w:r>
      <w:r w:rsidRPr="00687B88">
        <w:rPr>
          <w:rFonts w:ascii="Arial" w:hAnsi="Arial" w:cs="Arial"/>
          <w:lang w:val="es-ES"/>
        </w:rPr>
        <w:t xml:space="preserve">Las “cuentas” son unidades que expresan cambios en la aceleración obtenidas por el acelerómetro medidas en un tiempo específico llamado “época”. Los quiebres de inactividad están </w:t>
      </w:r>
      <w:r w:rsidR="006C3B39" w:rsidRPr="00687B88">
        <w:rPr>
          <w:rFonts w:ascii="Arial" w:hAnsi="Arial" w:cs="Arial"/>
          <w:lang w:val="es-ES"/>
        </w:rPr>
        <w:t xml:space="preserve">registrados </w:t>
      </w:r>
      <w:r w:rsidRPr="00687B88">
        <w:rPr>
          <w:rFonts w:ascii="Arial" w:hAnsi="Arial" w:cs="Arial"/>
          <w:lang w:val="es-ES"/>
        </w:rPr>
        <w:t>en bloques de una hora, logrando obtener el número de quiebres de inactividad en cada hora. Para este estudio, se presenta el número de quiebres de inactividad por día y en los primeros diez días de registro</w:t>
      </w:r>
      <w:r w:rsidR="00407D38" w:rsidRPr="00687B88">
        <w:rPr>
          <w:rFonts w:ascii="Arial" w:hAnsi="Arial" w:cs="Arial"/>
          <w:lang w:val="es-ES"/>
        </w:rPr>
        <w:t xml:space="preserve"> (</w:t>
      </w:r>
      <w:r w:rsidRPr="00687B88">
        <w:rPr>
          <w:rFonts w:ascii="Arial" w:hAnsi="Arial" w:cs="Arial"/>
          <w:lang w:val="es-ES"/>
        </w:rPr>
        <w:t>Figura 1</w:t>
      </w:r>
      <w:r w:rsidR="00407D38" w:rsidRPr="00687B88">
        <w:rPr>
          <w:rFonts w:ascii="Arial" w:hAnsi="Arial" w:cs="Arial"/>
          <w:lang w:val="es-ES"/>
        </w:rPr>
        <w:t>)</w:t>
      </w:r>
      <w:r w:rsidRPr="00687B88">
        <w:rPr>
          <w:rFonts w:ascii="Arial" w:hAnsi="Arial" w:cs="Arial"/>
          <w:lang w:val="es-ES"/>
        </w:rPr>
        <w:t xml:space="preserve">. La duración de los quiebres de inactividad se obtiene como el tiempo acumulado de los quiebres de inactividad </w:t>
      </w:r>
      <w:r w:rsidR="006C3B39" w:rsidRPr="00687B88">
        <w:rPr>
          <w:rFonts w:ascii="Arial" w:hAnsi="Arial" w:cs="Arial"/>
          <w:lang w:val="es-ES"/>
        </w:rPr>
        <w:t xml:space="preserve">ocurridos durante una hora </w:t>
      </w:r>
      <w:r w:rsidRPr="00687B88">
        <w:rPr>
          <w:rFonts w:ascii="Arial" w:hAnsi="Arial" w:cs="Arial"/>
          <w:lang w:val="es-ES"/>
        </w:rPr>
        <w:t xml:space="preserve">y los ocurridos durante </w:t>
      </w:r>
      <w:r w:rsidR="006C3B39" w:rsidRPr="00687B88">
        <w:rPr>
          <w:rFonts w:ascii="Arial" w:hAnsi="Arial" w:cs="Arial"/>
          <w:lang w:val="es-ES"/>
        </w:rPr>
        <w:t>diez días</w:t>
      </w:r>
      <w:r w:rsidRPr="00687B88">
        <w:rPr>
          <w:rFonts w:ascii="Arial" w:hAnsi="Arial" w:cs="Arial"/>
          <w:lang w:val="es-ES"/>
        </w:rPr>
        <w:t>, que fueron divididos en seis intervalos de tiempo acumulados por hora</w:t>
      </w:r>
      <w:r w:rsidR="006C3B39" w:rsidRPr="00687B88">
        <w:rPr>
          <w:rFonts w:ascii="Arial" w:hAnsi="Arial" w:cs="Arial"/>
          <w:lang w:val="es-ES"/>
        </w:rPr>
        <w:t>. Los quiebres de inactividad física fueron categorizados en seis intervalos de tiempo</w:t>
      </w:r>
      <w:r w:rsidR="007C4380" w:rsidRPr="00687B88">
        <w:rPr>
          <w:rFonts w:ascii="Arial" w:hAnsi="Arial" w:cs="Arial"/>
          <w:lang w:val="es-ES"/>
        </w:rPr>
        <w:t xml:space="preserve"> previamente utilizados en otra poblaci</w:t>
      </w:r>
      <w:r w:rsidR="00FD04DB" w:rsidRPr="00687B88">
        <w:rPr>
          <w:rFonts w:ascii="Arial" w:hAnsi="Arial" w:cs="Arial"/>
          <w:lang w:val="es-ES"/>
        </w:rPr>
        <w:t>ó</w:t>
      </w:r>
      <w:r w:rsidR="007C4380" w:rsidRPr="00687B88">
        <w:rPr>
          <w:rFonts w:ascii="Arial" w:hAnsi="Arial" w:cs="Arial"/>
          <w:lang w:val="es-ES"/>
        </w:rPr>
        <w:t>n</w:t>
      </w:r>
      <w:r w:rsidR="007C4380" w:rsidRPr="00687B88">
        <w:rPr>
          <w:rFonts w:ascii="Arial" w:hAnsi="Arial" w:cs="Arial"/>
          <w:lang w:val="es-ES"/>
        </w:rPr>
        <w:fldChar w:fldCharType="begin" w:fldLock="1"/>
      </w:r>
      <w:r w:rsidR="00687D21" w:rsidRPr="00687B88">
        <w:rPr>
          <w:rFonts w:ascii="Arial" w:hAnsi="Arial" w:cs="Arial"/>
          <w:lang w:val="es-ES"/>
        </w:rPr>
        <w:instrText>ADDIN CSL_CITATION {"citationItems":[{"id":"ITEM-1","itemData":{"DOI":"10.1371/journal.pone.0079143","ISSN":"19326203","PMID":"24278117","abstract":"Background: Although reports in adults suggest that breaks in sedentary time are associated with reduced cardiometabolic risk, these findings have yet to be replicated in children. Purpose: To investigate whether objectively measured sedentary behavior, sedentary bouts or breaks in sedentary time are independently associated with cardiometabolic risk in a cohort of Canadian children aged 8-11 years with a family history of obesity. Methods: Data from 286 boys and 236 girls living in Quebec, Canada, with at least one biological parent with obesity (QUALITY cohort) were collected from 2005-2008, and analyzed in 2013. Sedentary behavior, light and moderate-to-vigorous physical activity were measured over 7 days using accelerometry. Leisure time computer/video game use and TV viewing over the past 7 days were self-reported. Outcomes included waist circumference, body mass index Z-score, fasting insulin, fasting glucose, triglycerides, HDL-cholesterol, C-reactive protein and a continuous cardiometabolic risk score. Results: After adjustment for confounders, breaks in sedentary time and the number of sedentary bouts lasting 1-4 minutes were associated with reduced cardiometabolic risk score and lower BMI Z-score in both sexes (all p&lt;0.05). The number of sedentary bouts lasting 5-9 minutes was negatively associated with waist circumference in girls only, while the number of bouts lasting 10-14 minutes was positively associated with fasting glucose in girls, and with BMI Z-score in boys (all p&lt;0.05). Leisure time computer/video game use was associated with increased cardiometabolic risk score and waist circumference in boys, while TV viewing was associated with increased cardiometabolic risk, waist circumference, and BMI Z-score in girls (all p&lt;0.05). Conclusions: These results suggest that frequent interruptions in sedentary time are associated with a favourable cardiometabolic risk profile and highlight the deleterious relationship between screen time and cardiometabolic risk among children with a family history of obesity. © 2013 Saunders et al.","author":[{"dropping-particle":"","family":"Saunders","given":"Travis John","non-dropping-particle":"","parse-names":false,"suffix":""},{"dropping-particle":"","family":"Tremblay","given":"Mark Stephen","non-dropping-particle":"","parse-names":false,"suffix":""},{"dropping-particle":"","family":"Mathieu","given":"Marie Ève","non-dropping-particle":"","parse-names":false,"suffix":""},{"dropping-particle":"","family":"Henderson","given":"Mélanie","non-dropping-particle":"","parse-names":false,"suffix":""},{"dropping-particle":"","family":"O'Loughlin","given":"Jennifer","non-dropping-particle":"","parse-names":false,"suffix":""},{"dropping-particle":"","family":"Tremblay","given":"Angelo","non-dropping-particle":"","parse-names":false,"suffix":""},{"dropping-particle":"","family":"Chaput","given":"Jean Philippe","non-dropping-particle":"","parse-names":false,"suffix":""}],"container-title":"PLoS ONE","id":"ITEM-1","issue":"11","issued":{"date-parts":[["2013"]]},"title":"Associations of sedentary behavior, sedentary bouts and breaks in sedentary time with cardiometabolic risk in children with a family history of obesity","type":"article-journal","volume":"8"},"uris":["http://www.mendeley.com/documents/?uuid=2677eb15-2a29-4af8-8bed-1eb190254a6d"]}],"mendeley":{"formattedCitation":"[29]","plainTextFormattedCitation":"[29]","previouslyFormattedCitation":"[29]"},"properties":{"noteIndex":0},"schema":"https://github.com/citation-style-language/schema/raw/master/csl-citation.json"}</w:instrText>
      </w:r>
      <w:r w:rsidR="007C4380" w:rsidRPr="00687B88">
        <w:rPr>
          <w:rFonts w:ascii="Arial" w:hAnsi="Arial" w:cs="Arial"/>
          <w:lang w:val="es-ES"/>
        </w:rPr>
        <w:fldChar w:fldCharType="separate"/>
      </w:r>
      <w:r w:rsidR="007C4380" w:rsidRPr="00687B88">
        <w:rPr>
          <w:rFonts w:ascii="Arial" w:hAnsi="Arial" w:cs="Arial"/>
          <w:noProof/>
          <w:lang w:val="es-ES"/>
        </w:rPr>
        <w:t>[29]</w:t>
      </w:r>
      <w:r w:rsidR="007C4380" w:rsidRPr="00687B88">
        <w:rPr>
          <w:rFonts w:ascii="Arial" w:hAnsi="Arial" w:cs="Arial"/>
          <w:lang w:val="es-ES"/>
        </w:rPr>
        <w:fldChar w:fldCharType="end"/>
      </w:r>
      <w:r w:rsidR="006C3B39" w:rsidRPr="00687B88">
        <w:rPr>
          <w:rFonts w:ascii="Arial" w:hAnsi="Arial" w:cs="Arial"/>
          <w:lang w:val="es-ES"/>
        </w:rPr>
        <w:t>:</w:t>
      </w:r>
      <w:r w:rsidRPr="00687B88">
        <w:rPr>
          <w:rFonts w:ascii="Arial" w:hAnsi="Arial" w:cs="Arial"/>
          <w:lang w:val="es-ES"/>
        </w:rPr>
        <w:t xml:space="preserve"> &lt;1 minuto, 1-4 minutos, 5-9 minutos, 10-14 minutos, 15-29 minutos, </w:t>
      </w:r>
      <w:r w:rsidR="006C3B39" w:rsidRPr="00687B88">
        <w:rPr>
          <w:rFonts w:ascii="Arial" w:hAnsi="Arial" w:cs="Arial"/>
          <w:lang w:val="es-ES"/>
        </w:rPr>
        <w:t xml:space="preserve">y </w:t>
      </w:r>
      <w:r w:rsidRPr="00687B88">
        <w:rPr>
          <w:rFonts w:ascii="Arial" w:hAnsi="Arial" w:cs="Arial"/>
          <w:lang w:val="es-ES"/>
        </w:rPr>
        <w:t xml:space="preserve">≥30 minutos. </w:t>
      </w:r>
    </w:p>
    <w:p w14:paraId="6C539A9D" w14:textId="77777777" w:rsidR="00D8288F" w:rsidRPr="00687B88" w:rsidRDefault="00D8288F" w:rsidP="00687B88">
      <w:pPr>
        <w:spacing w:line="480" w:lineRule="auto"/>
        <w:rPr>
          <w:rFonts w:ascii="Arial" w:hAnsi="Arial" w:cs="Arial"/>
          <w:lang w:val="es-ES"/>
        </w:rPr>
      </w:pPr>
    </w:p>
    <w:p w14:paraId="4786A667" w14:textId="77777777" w:rsidR="00D8288F" w:rsidRPr="00687B88" w:rsidRDefault="00D8288F" w:rsidP="00687B88">
      <w:pPr>
        <w:spacing w:line="480" w:lineRule="auto"/>
        <w:rPr>
          <w:rFonts w:ascii="Arial" w:hAnsi="Arial" w:cs="Arial"/>
          <w:b/>
          <w:lang w:val="es-ES"/>
        </w:rPr>
      </w:pPr>
      <w:r w:rsidRPr="00687B88">
        <w:rPr>
          <w:rFonts w:ascii="Arial" w:hAnsi="Arial" w:cs="Arial"/>
          <w:b/>
          <w:lang w:val="es-ES"/>
        </w:rPr>
        <w:t>Extracción de datos</w:t>
      </w:r>
    </w:p>
    <w:p w14:paraId="15199C1F" w14:textId="69D2A4C1" w:rsidR="00114D71" w:rsidRDefault="00D8288F" w:rsidP="00687B88">
      <w:pPr>
        <w:spacing w:line="480" w:lineRule="auto"/>
        <w:rPr>
          <w:rFonts w:ascii="Arial" w:hAnsi="Arial" w:cs="Arial"/>
          <w:lang w:val="es-ES"/>
        </w:rPr>
      </w:pPr>
      <w:r w:rsidRPr="00687B88">
        <w:rPr>
          <w:rFonts w:ascii="Arial" w:hAnsi="Arial" w:cs="Arial"/>
          <w:lang w:val="es-ES"/>
        </w:rPr>
        <w:t xml:space="preserve">Los datos obtenidos por los actígrafos fueron extraídos usando el </w:t>
      </w:r>
      <w:r w:rsidRPr="00687B88">
        <w:rPr>
          <w:rFonts w:ascii="Arial" w:hAnsi="Arial" w:cs="Arial"/>
          <w:i/>
          <w:lang w:val="es-ES"/>
        </w:rPr>
        <w:t>software</w:t>
      </w:r>
      <w:r w:rsidRPr="00687B88">
        <w:rPr>
          <w:rFonts w:ascii="Arial" w:hAnsi="Arial" w:cs="Arial"/>
          <w:lang w:val="es-ES"/>
        </w:rPr>
        <w:t xml:space="preserve"> ActiLife versión 6.13.3 (ActiGraph, Pensacola, Florida) hacia una planilla de </w:t>
      </w:r>
      <w:r w:rsidR="00687D21" w:rsidRPr="00687B88">
        <w:rPr>
          <w:rFonts w:ascii="Arial" w:hAnsi="Arial" w:cs="Arial"/>
          <w:lang w:val="es-ES"/>
        </w:rPr>
        <w:t>Microsoft Excel®</w:t>
      </w:r>
      <w:r w:rsidRPr="00687B88">
        <w:rPr>
          <w:rFonts w:ascii="Arial" w:hAnsi="Arial" w:cs="Arial"/>
          <w:lang w:val="es-ES"/>
        </w:rPr>
        <w:t xml:space="preserve">. </w:t>
      </w:r>
      <w:r w:rsidR="005F1E46" w:rsidRPr="00687B88">
        <w:rPr>
          <w:rFonts w:ascii="Arial" w:hAnsi="Arial" w:cs="Arial"/>
          <w:lang w:val="es-ES"/>
        </w:rPr>
        <w:t xml:space="preserve">Al extraer los datos, se configuró una frecuencia de muestreo de noventa hertz, época de cinco segundos, función del giroscopio desactivada </w:t>
      </w:r>
    </w:p>
    <w:p w14:paraId="51075E73" w14:textId="62B8650A" w:rsidR="00114D71" w:rsidRPr="00114D71" w:rsidRDefault="00114D71" w:rsidP="00114D71">
      <w:pPr>
        <w:jc w:val="center"/>
        <w:rPr>
          <w:rFonts w:ascii="Arial" w:hAnsi="Arial" w:cs="Arial"/>
          <w:color w:val="808080" w:themeColor="background1" w:themeShade="80"/>
          <w:lang w:val="es-ES"/>
        </w:rPr>
      </w:pPr>
      <w:r>
        <w:rPr>
          <w:rFonts w:ascii="Arial" w:hAnsi="Arial" w:cs="Arial"/>
          <w:color w:val="808080" w:themeColor="background1" w:themeShade="80"/>
          <w:lang w:val="es-ES"/>
        </w:rPr>
        <w:t>7</w:t>
      </w:r>
    </w:p>
    <w:p w14:paraId="301AFA80" w14:textId="4880ED3A" w:rsidR="005F1E46" w:rsidRPr="00687B88" w:rsidRDefault="005F1E46" w:rsidP="00687B88">
      <w:pPr>
        <w:spacing w:line="480" w:lineRule="auto"/>
        <w:rPr>
          <w:rFonts w:ascii="Arial" w:hAnsi="Arial" w:cs="Arial"/>
          <w:lang w:val="es-ES"/>
        </w:rPr>
      </w:pPr>
      <w:r w:rsidRPr="00687B88">
        <w:rPr>
          <w:rFonts w:ascii="Arial" w:hAnsi="Arial" w:cs="Arial"/>
          <w:lang w:val="es-ES"/>
        </w:rPr>
        <w:t xml:space="preserve">y el filtro </w:t>
      </w:r>
      <w:r w:rsidRPr="00687B88">
        <w:rPr>
          <w:rFonts w:ascii="Arial" w:hAnsi="Arial" w:cs="Arial"/>
          <w:i/>
          <w:lang w:val="es-ES"/>
        </w:rPr>
        <w:t>“low-frequency extension”</w:t>
      </w:r>
      <w:r w:rsidR="00687D21" w:rsidRPr="00687B88">
        <w:rPr>
          <w:rFonts w:ascii="Arial" w:hAnsi="Arial" w:cs="Arial"/>
          <w:i/>
          <w:lang w:val="es-ES"/>
        </w:rPr>
        <w:fldChar w:fldCharType="begin" w:fldLock="1"/>
      </w:r>
      <w:r w:rsidR="00687D21" w:rsidRPr="00687B88">
        <w:rPr>
          <w:rFonts w:ascii="Arial" w:hAnsi="Arial" w:cs="Arial"/>
          <w:i/>
          <w:lang w:val="es-ES"/>
        </w:rPr>
        <w:instrText>ADDIN CSL_CITATION {"citationItems":[{"id":"ITEM-1","itemData":{"DOI":"10.1177/0269215519829893","ISSN":"0269-2155","author":[{"dropping-particle":"","family":"Anderson","given":"Jayne Lesley","non-dropping-particle":"","parse-names":false,"suffix":""},{"dropping-particle":"","family":"Yoward","given":"L Samantha","non-dropping-particle":"","parse-names":false,"suffix":""},{"dropping-particle":"","family":"Green","given":"Angela J","non-dropping-particle":"","parse-names":false,"suffix":""}],"container-title":"Clinical Rehabilitation","id":"ITEM-1","issued":{"date-parts":[["2019","2"]]},"page":"026921551982989","title":"A study investigating the validity of an accelerometer in quantification of step count in adult hospital inpatients recovering from critical illness","type":"article-journal"},"uris":["http://www.mendeley.com/documents/?uuid=466f6497-dc95-4220-a465-abd89c49a824"]}],"mendeley":{"formattedCitation":"[30]","plainTextFormattedCitation":"[30]"},"properties":{"noteIndex":0},"schema":"https://github.com/citation-style-language/schema/raw/master/csl-citation.json"}</w:instrText>
      </w:r>
      <w:r w:rsidR="00687D21" w:rsidRPr="00687B88">
        <w:rPr>
          <w:rFonts w:ascii="Arial" w:hAnsi="Arial" w:cs="Arial"/>
          <w:i/>
          <w:lang w:val="es-ES"/>
        </w:rPr>
        <w:fldChar w:fldCharType="separate"/>
      </w:r>
      <w:r w:rsidR="00687D21" w:rsidRPr="00687B88">
        <w:rPr>
          <w:rFonts w:ascii="Arial" w:hAnsi="Arial" w:cs="Arial"/>
          <w:noProof/>
          <w:lang w:val="es-ES"/>
        </w:rPr>
        <w:t>[30]</w:t>
      </w:r>
      <w:r w:rsidR="00687D21" w:rsidRPr="00687B88">
        <w:rPr>
          <w:rFonts w:ascii="Arial" w:hAnsi="Arial" w:cs="Arial"/>
          <w:i/>
          <w:lang w:val="es-ES"/>
        </w:rPr>
        <w:fldChar w:fldCharType="end"/>
      </w:r>
      <w:r w:rsidRPr="00687B88">
        <w:rPr>
          <w:rFonts w:ascii="Arial" w:hAnsi="Arial" w:cs="Arial"/>
          <w:lang w:val="es-ES"/>
        </w:rPr>
        <w:t xml:space="preserve"> activado para detectar movimientos de menor amplitud comúnmente generados por pacientes críticos. Una vez extraídos los datos a una planilla </w:t>
      </w:r>
      <w:r w:rsidR="002C102B" w:rsidRPr="00687B88">
        <w:rPr>
          <w:rFonts w:ascii="Arial" w:hAnsi="Arial" w:cs="Arial"/>
          <w:lang w:val="es-ES"/>
        </w:rPr>
        <w:t xml:space="preserve">de </w:t>
      </w:r>
      <w:r w:rsidR="00687D21" w:rsidRPr="00687B88">
        <w:rPr>
          <w:rFonts w:ascii="Arial" w:hAnsi="Arial" w:cs="Arial"/>
          <w:lang w:val="es-ES"/>
        </w:rPr>
        <w:t>Microsoft Excel®</w:t>
      </w:r>
      <w:r w:rsidR="002C102B" w:rsidRPr="00687B88">
        <w:rPr>
          <w:rFonts w:ascii="Arial" w:hAnsi="Arial" w:cs="Arial"/>
          <w:lang w:val="es-ES"/>
        </w:rPr>
        <w:t xml:space="preserve">, se eliminó una hora de registro </w:t>
      </w:r>
      <w:r w:rsidR="008D1E63" w:rsidRPr="00687B88">
        <w:rPr>
          <w:rFonts w:ascii="Arial" w:hAnsi="Arial" w:cs="Arial"/>
          <w:lang w:val="es-ES"/>
        </w:rPr>
        <w:t>al momento en que el actígrafo se instaló o se</w:t>
      </w:r>
      <w:r w:rsidR="002C102B" w:rsidRPr="00687B88">
        <w:rPr>
          <w:rFonts w:ascii="Arial" w:hAnsi="Arial" w:cs="Arial"/>
          <w:lang w:val="es-ES"/>
        </w:rPr>
        <w:t xml:space="preserve"> retir</w:t>
      </w:r>
      <w:r w:rsidR="008D1E63" w:rsidRPr="00687B88">
        <w:rPr>
          <w:rFonts w:ascii="Arial" w:hAnsi="Arial" w:cs="Arial"/>
          <w:lang w:val="es-ES"/>
        </w:rPr>
        <w:t xml:space="preserve">ó </w:t>
      </w:r>
      <w:r w:rsidR="00751CFA" w:rsidRPr="00687B88">
        <w:rPr>
          <w:rFonts w:ascii="Arial" w:hAnsi="Arial" w:cs="Arial"/>
          <w:lang w:val="es-ES"/>
        </w:rPr>
        <w:t>por procedimientos fuera de la habitación</w:t>
      </w:r>
      <w:r w:rsidR="008D1E63" w:rsidRPr="00687B88">
        <w:rPr>
          <w:rFonts w:ascii="Arial" w:hAnsi="Arial" w:cs="Arial"/>
          <w:lang w:val="es-ES"/>
        </w:rPr>
        <w:t>,</w:t>
      </w:r>
      <w:r w:rsidR="00751CFA" w:rsidRPr="00687B88">
        <w:rPr>
          <w:rFonts w:ascii="Arial" w:hAnsi="Arial" w:cs="Arial"/>
          <w:lang w:val="es-ES"/>
        </w:rPr>
        <w:t xml:space="preserve"> </w:t>
      </w:r>
      <w:r w:rsidR="008D1E63" w:rsidRPr="00687B88">
        <w:rPr>
          <w:rFonts w:ascii="Arial" w:hAnsi="Arial" w:cs="Arial"/>
          <w:lang w:val="es-ES"/>
        </w:rPr>
        <w:t xml:space="preserve">se </w:t>
      </w:r>
      <w:r w:rsidR="00751CFA" w:rsidRPr="00687B88">
        <w:rPr>
          <w:rFonts w:ascii="Arial" w:hAnsi="Arial" w:cs="Arial"/>
          <w:lang w:val="es-ES"/>
        </w:rPr>
        <w:t>cambi</w:t>
      </w:r>
      <w:r w:rsidR="008D1E63" w:rsidRPr="00687B88">
        <w:rPr>
          <w:rFonts w:ascii="Arial" w:hAnsi="Arial" w:cs="Arial"/>
          <w:lang w:val="es-ES"/>
        </w:rPr>
        <w:t>ó</w:t>
      </w:r>
      <w:r w:rsidR="00751CFA" w:rsidRPr="00687B88">
        <w:rPr>
          <w:rFonts w:ascii="Arial" w:hAnsi="Arial" w:cs="Arial"/>
          <w:lang w:val="es-ES"/>
        </w:rPr>
        <w:t xml:space="preserve"> </w:t>
      </w:r>
      <w:r w:rsidR="008D1E63" w:rsidRPr="00687B88">
        <w:rPr>
          <w:rFonts w:ascii="Arial" w:hAnsi="Arial" w:cs="Arial"/>
          <w:lang w:val="es-ES"/>
        </w:rPr>
        <w:t>el</w:t>
      </w:r>
      <w:r w:rsidR="00751CFA" w:rsidRPr="00687B88">
        <w:rPr>
          <w:rFonts w:ascii="Arial" w:hAnsi="Arial" w:cs="Arial"/>
          <w:lang w:val="es-ES"/>
        </w:rPr>
        <w:t xml:space="preserve"> actígrafo por batería</w:t>
      </w:r>
      <w:r w:rsidR="008D1E63" w:rsidRPr="00687B88">
        <w:rPr>
          <w:rFonts w:ascii="Arial" w:hAnsi="Arial" w:cs="Arial"/>
          <w:lang w:val="es-ES"/>
        </w:rPr>
        <w:t xml:space="preserve"> y/o egreso de la UCI</w:t>
      </w:r>
      <w:r w:rsidR="002C102B" w:rsidRPr="00687B88">
        <w:rPr>
          <w:rFonts w:ascii="Arial" w:hAnsi="Arial" w:cs="Arial"/>
          <w:lang w:val="es-ES"/>
        </w:rPr>
        <w:t xml:space="preserve">. </w:t>
      </w:r>
      <w:r w:rsidR="00D53AB7" w:rsidRPr="00687B88">
        <w:rPr>
          <w:rFonts w:ascii="Arial" w:hAnsi="Arial" w:cs="Arial"/>
          <w:lang w:val="es-ES"/>
        </w:rPr>
        <w:t>Finalmente</w:t>
      </w:r>
      <w:r w:rsidR="002C102B" w:rsidRPr="00687B88">
        <w:rPr>
          <w:rFonts w:ascii="Arial" w:hAnsi="Arial" w:cs="Arial"/>
          <w:lang w:val="es-ES"/>
        </w:rPr>
        <w:t>, se analizó la información de los primeros diez días desde el despertar, considerando el primer día desde las 00:00 horas</w:t>
      </w:r>
      <w:r w:rsidR="00687D21" w:rsidRPr="00687B88">
        <w:rPr>
          <w:rFonts w:ascii="Arial" w:hAnsi="Arial" w:cs="Arial"/>
          <w:lang w:val="es-ES"/>
        </w:rPr>
        <w:t xml:space="preserve"> (hora previamente configurada a zona horaria correspondiente)</w:t>
      </w:r>
      <w:r w:rsidR="002C102B" w:rsidRPr="00687B88">
        <w:rPr>
          <w:rFonts w:ascii="Arial" w:hAnsi="Arial" w:cs="Arial"/>
          <w:lang w:val="es-ES"/>
        </w:rPr>
        <w:t>.</w:t>
      </w:r>
    </w:p>
    <w:p w14:paraId="0412A318" w14:textId="1F9A16A3" w:rsidR="00687B88" w:rsidRPr="00687B88" w:rsidRDefault="00687B88" w:rsidP="00687B88">
      <w:pPr>
        <w:spacing w:line="480" w:lineRule="auto"/>
        <w:rPr>
          <w:rFonts w:ascii="Arial" w:hAnsi="Arial" w:cs="Arial"/>
          <w:color w:val="808080" w:themeColor="background1" w:themeShade="80"/>
          <w:lang w:val="es-ES"/>
        </w:rPr>
      </w:pPr>
    </w:p>
    <w:p w14:paraId="01F23132" w14:textId="007ABC06" w:rsidR="00FD567E" w:rsidRPr="00687B88" w:rsidRDefault="00FD567E" w:rsidP="00687B88">
      <w:pPr>
        <w:spacing w:line="480" w:lineRule="auto"/>
        <w:rPr>
          <w:rFonts w:ascii="Arial" w:hAnsi="Arial" w:cs="Arial"/>
          <w:b/>
        </w:rPr>
      </w:pPr>
      <w:r w:rsidRPr="00687B88">
        <w:rPr>
          <w:rFonts w:ascii="Arial" w:hAnsi="Arial" w:cs="Arial"/>
          <w:b/>
        </w:rPr>
        <w:t>Análisis de datos</w:t>
      </w:r>
    </w:p>
    <w:p w14:paraId="1BE5F035" w14:textId="1C79E077" w:rsidR="0054006A" w:rsidRPr="00687B88" w:rsidRDefault="00E2025A" w:rsidP="00687B88">
      <w:pPr>
        <w:spacing w:line="480" w:lineRule="auto"/>
        <w:rPr>
          <w:rFonts w:ascii="Arial" w:hAnsi="Arial" w:cs="Arial"/>
          <w:lang w:val="es-ES"/>
        </w:rPr>
      </w:pPr>
      <w:r w:rsidRPr="00687B88">
        <w:rPr>
          <w:rFonts w:ascii="Arial" w:hAnsi="Arial" w:cs="Arial"/>
        </w:rPr>
        <w:t>Para las variables cuantitativas</w:t>
      </w:r>
      <w:r w:rsidR="00473747" w:rsidRPr="00687B88">
        <w:rPr>
          <w:rFonts w:ascii="Arial" w:hAnsi="Arial" w:cs="Arial"/>
        </w:rPr>
        <w:t xml:space="preserve"> de datos clínicos y demográficos</w:t>
      </w:r>
      <w:r w:rsidRPr="00687B88">
        <w:rPr>
          <w:rFonts w:ascii="Arial" w:hAnsi="Arial" w:cs="Arial"/>
        </w:rPr>
        <w:t xml:space="preserve">, como edad, índice de masa corporal (IMC), días de estadía en UCI, días de ventilación mecánica, </w:t>
      </w:r>
      <w:r w:rsidR="00473747" w:rsidRPr="00687B88">
        <w:rPr>
          <w:rFonts w:ascii="Arial" w:hAnsi="Arial" w:cs="Arial"/>
        </w:rPr>
        <w:t xml:space="preserve">días desde despertar al egreso de UCI se presentarán en frecuencia absoluta para ambos casos. </w:t>
      </w:r>
      <w:r w:rsidR="0054006A" w:rsidRPr="00687B88">
        <w:rPr>
          <w:rFonts w:ascii="Arial" w:hAnsi="Arial" w:cs="Arial"/>
          <w:lang w:val="es-ES"/>
        </w:rPr>
        <w:t xml:space="preserve">Para las variables cualitativas nominales y ordinales </w:t>
      </w:r>
      <w:r w:rsidR="005A3838" w:rsidRPr="00687B88">
        <w:rPr>
          <w:rFonts w:ascii="Arial" w:hAnsi="Arial" w:cs="Arial"/>
          <w:lang w:val="es-ES"/>
        </w:rPr>
        <w:t xml:space="preserve">como </w:t>
      </w:r>
      <w:r w:rsidR="0054006A" w:rsidRPr="00687B88">
        <w:rPr>
          <w:rFonts w:ascii="Arial" w:hAnsi="Arial" w:cs="Arial"/>
          <w:lang w:val="es-ES"/>
        </w:rPr>
        <w:t xml:space="preserve">género, </w:t>
      </w:r>
      <w:r w:rsidR="005A3838" w:rsidRPr="00687B88">
        <w:rPr>
          <w:rFonts w:ascii="Arial" w:hAnsi="Arial" w:cs="Arial"/>
        </w:rPr>
        <w:t>APACHE II (</w:t>
      </w:r>
      <w:r w:rsidR="005A3838" w:rsidRPr="00687B88">
        <w:rPr>
          <w:rFonts w:ascii="Arial" w:hAnsi="Arial" w:cs="Arial"/>
          <w:lang w:val="es-ES"/>
        </w:rPr>
        <w:t>Acute Physiology And Chronic Health Evaluation II</w:t>
      </w:r>
      <w:r w:rsidR="005A3838" w:rsidRPr="00687B88">
        <w:rPr>
          <w:rFonts w:ascii="Arial" w:hAnsi="Arial" w:cs="Arial"/>
        </w:rPr>
        <w:t xml:space="preserve">), </w:t>
      </w:r>
      <w:r w:rsidR="0054006A" w:rsidRPr="00687B88">
        <w:rPr>
          <w:rFonts w:ascii="Arial" w:hAnsi="Arial" w:cs="Arial"/>
          <w:lang w:val="es-ES"/>
        </w:rPr>
        <w:t xml:space="preserve">diagnóstico de ingreso a UCI, fuerza muscular al despertar y al egreso UCI, movilidad al despertar y al egreso a UCI son presentadas en frecuencia </w:t>
      </w:r>
      <w:r w:rsidR="00805668" w:rsidRPr="00687B88">
        <w:rPr>
          <w:rFonts w:ascii="Arial" w:hAnsi="Arial" w:cs="Arial"/>
          <w:lang w:val="es-ES"/>
        </w:rPr>
        <w:t>absoluta</w:t>
      </w:r>
      <w:r w:rsidR="0054006A" w:rsidRPr="00687B88">
        <w:rPr>
          <w:rFonts w:ascii="Arial" w:hAnsi="Arial" w:cs="Arial"/>
          <w:lang w:val="es-ES"/>
        </w:rPr>
        <w:t>.</w:t>
      </w:r>
    </w:p>
    <w:p w14:paraId="5F1B9B8E" w14:textId="77777777" w:rsidR="0054006A" w:rsidRPr="00687B88" w:rsidRDefault="0054006A" w:rsidP="00687B88">
      <w:pPr>
        <w:spacing w:line="480" w:lineRule="auto"/>
        <w:rPr>
          <w:rFonts w:ascii="Arial" w:hAnsi="Arial" w:cs="Arial"/>
          <w:lang w:val="es-ES"/>
        </w:rPr>
      </w:pPr>
    </w:p>
    <w:p w14:paraId="13421A58" w14:textId="69F961CE" w:rsidR="00114D71" w:rsidRDefault="00473747" w:rsidP="00687B88">
      <w:pPr>
        <w:spacing w:line="480" w:lineRule="auto"/>
        <w:rPr>
          <w:rFonts w:ascii="Arial" w:hAnsi="Arial" w:cs="Arial"/>
        </w:rPr>
      </w:pPr>
      <w:r w:rsidRPr="00687B88">
        <w:rPr>
          <w:rFonts w:ascii="Arial" w:hAnsi="Arial" w:cs="Arial"/>
        </w:rPr>
        <w:t>Para las variables obtenidas por actigrafía, la variable cuantitativa de quiebres de inactividad en diez días</w:t>
      </w:r>
      <w:r w:rsidR="004F38EA" w:rsidRPr="00687B88">
        <w:rPr>
          <w:rFonts w:ascii="Arial" w:hAnsi="Arial" w:cs="Arial"/>
        </w:rPr>
        <w:t xml:space="preserve"> </w:t>
      </w:r>
      <w:r w:rsidRPr="00687B88">
        <w:rPr>
          <w:rFonts w:ascii="Arial" w:hAnsi="Arial" w:cs="Arial"/>
        </w:rPr>
        <w:t xml:space="preserve">se presenta en mediana y rango intercualtílico (RIQ). </w:t>
      </w:r>
    </w:p>
    <w:p w14:paraId="1F2A12C0" w14:textId="2C1E0D58" w:rsidR="00114D71" w:rsidRPr="00114D71" w:rsidRDefault="00114D71" w:rsidP="00114D71">
      <w:pPr>
        <w:jc w:val="center"/>
        <w:rPr>
          <w:rFonts w:ascii="Arial" w:hAnsi="Arial" w:cs="Arial"/>
          <w:color w:val="808080" w:themeColor="background1" w:themeShade="80"/>
        </w:rPr>
      </w:pPr>
      <w:r w:rsidRPr="00114D71">
        <w:rPr>
          <w:rFonts w:ascii="Arial" w:hAnsi="Arial" w:cs="Arial"/>
          <w:color w:val="808080" w:themeColor="background1" w:themeShade="80"/>
        </w:rPr>
        <w:t>8</w:t>
      </w:r>
    </w:p>
    <w:p w14:paraId="133A36B4" w14:textId="57091A48" w:rsidR="00805668" w:rsidRPr="00687B88" w:rsidRDefault="00473747" w:rsidP="00687B88">
      <w:pPr>
        <w:spacing w:line="480" w:lineRule="auto"/>
        <w:rPr>
          <w:rFonts w:ascii="Arial" w:hAnsi="Arial" w:cs="Arial"/>
          <w:lang w:val="es-ES"/>
        </w:rPr>
      </w:pPr>
      <w:r w:rsidRPr="00687B88">
        <w:rPr>
          <w:rFonts w:ascii="Arial" w:hAnsi="Arial" w:cs="Arial"/>
        </w:rPr>
        <w:t xml:space="preserve">El número de quiebres por </w:t>
      </w:r>
      <w:proofErr w:type="gramStart"/>
      <w:r w:rsidRPr="00687B88">
        <w:rPr>
          <w:rFonts w:ascii="Arial" w:hAnsi="Arial" w:cs="Arial"/>
        </w:rPr>
        <w:t>día,</w:t>
      </w:r>
      <w:proofErr w:type="gramEnd"/>
      <w:r w:rsidRPr="00687B88">
        <w:rPr>
          <w:rFonts w:ascii="Arial" w:hAnsi="Arial" w:cs="Arial"/>
        </w:rPr>
        <w:t xml:space="preserve"> se presenta en frecuencia absoluta y </w:t>
      </w:r>
      <w:r w:rsidR="00805668" w:rsidRPr="00687B88">
        <w:rPr>
          <w:rFonts w:ascii="Arial" w:hAnsi="Arial" w:cs="Arial"/>
        </w:rPr>
        <w:t>porcentaje</w:t>
      </w:r>
      <w:r w:rsidRPr="00687B88">
        <w:rPr>
          <w:rFonts w:ascii="Arial" w:hAnsi="Arial" w:cs="Arial"/>
        </w:rPr>
        <w:t xml:space="preserve">. </w:t>
      </w:r>
      <w:r w:rsidR="00BF0CA6" w:rsidRPr="00687B88">
        <w:rPr>
          <w:rFonts w:ascii="Arial" w:hAnsi="Arial" w:cs="Arial"/>
        </w:rPr>
        <w:t xml:space="preserve">Se presenta la cantidad de quiebres de inactividad según su duración </w:t>
      </w:r>
      <w:r w:rsidR="00C526C8" w:rsidRPr="00687B88">
        <w:rPr>
          <w:rFonts w:ascii="Arial" w:hAnsi="Arial" w:cs="Arial"/>
        </w:rPr>
        <w:t xml:space="preserve">en seis intervalos de tiempo acumulados por hora, </w:t>
      </w:r>
      <w:r w:rsidR="00BF0CA6" w:rsidRPr="00687B88">
        <w:rPr>
          <w:rFonts w:ascii="Arial" w:hAnsi="Arial" w:cs="Arial"/>
        </w:rPr>
        <w:t>como frecuencia absoluta</w:t>
      </w:r>
      <w:r w:rsidR="0054006A" w:rsidRPr="00687B88">
        <w:rPr>
          <w:rFonts w:ascii="Arial" w:hAnsi="Arial" w:cs="Arial"/>
        </w:rPr>
        <w:t xml:space="preserve"> y relativa</w:t>
      </w:r>
      <w:r w:rsidR="00C526C8" w:rsidRPr="00687B88">
        <w:rPr>
          <w:rFonts w:ascii="Arial" w:hAnsi="Arial" w:cs="Arial"/>
        </w:rPr>
        <w:t xml:space="preserve">. </w:t>
      </w:r>
      <w:r w:rsidR="00E45936" w:rsidRPr="00687B88">
        <w:rPr>
          <w:rFonts w:ascii="Arial" w:hAnsi="Arial" w:cs="Arial"/>
          <w:lang w:val="es-ES"/>
        </w:rPr>
        <w:t xml:space="preserve">La tendencia de quiebres de inactividad de &lt;1 minuto y ≥30 minutos, se presenta como </w:t>
      </w:r>
      <w:r w:rsidR="006C3B39" w:rsidRPr="00687B88">
        <w:rPr>
          <w:rFonts w:ascii="Arial" w:hAnsi="Arial" w:cs="Arial"/>
          <w:lang w:val="es-ES"/>
        </w:rPr>
        <w:t xml:space="preserve">un </w:t>
      </w:r>
      <w:r w:rsidR="00805668" w:rsidRPr="00687B88">
        <w:rPr>
          <w:rFonts w:ascii="Arial" w:hAnsi="Arial" w:cs="Arial"/>
          <w:lang w:val="es-ES"/>
        </w:rPr>
        <w:t>promedio de quiebres de inactividad recalculado cada día según la cantidad de días que ha pasado</w:t>
      </w:r>
      <w:r w:rsidR="0017526F" w:rsidRPr="00687B88">
        <w:rPr>
          <w:rFonts w:ascii="Arial" w:hAnsi="Arial" w:cs="Arial"/>
          <w:lang w:val="es-ES"/>
        </w:rPr>
        <w:t xml:space="preserve"> (media móvil)</w:t>
      </w:r>
      <w:r w:rsidR="00805668" w:rsidRPr="00687B88">
        <w:rPr>
          <w:rFonts w:ascii="Arial" w:hAnsi="Arial" w:cs="Arial"/>
          <w:lang w:val="es-ES"/>
        </w:rPr>
        <w:t>.</w:t>
      </w:r>
    </w:p>
    <w:p w14:paraId="0D6ECD53" w14:textId="4D49DC45" w:rsidR="00C44859" w:rsidRPr="00687B88" w:rsidRDefault="00C44859" w:rsidP="00687B88">
      <w:pPr>
        <w:spacing w:line="480" w:lineRule="auto"/>
        <w:rPr>
          <w:rFonts w:ascii="Arial" w:hAnsi="Arial" w:cs="Arial"/>
        </w:rPr>
      </w:pPr>
    </w:p>
    <w:p w14:paraId="395D57C3" w14:textId="685D4093" w:rsidR="00C44859" w:rsidRPr="00687B88" w:rsidRDefault="00C44859" w:rsidP="00687B88">
      <w:pPr>
        <w:spacing w:line="480" w:lineRule="auto"/>
        <w:rPr>
          <w:rFonts w:ascii="Arial" w:hAnsi="Arial" w:cs="Arial"/>
          <w:b/>
        </w:rPr>
      </w:pPr>
      <w:r w:rsidRPr="00687B88">
        <w:rPr>
          <w:rFonts w:ascii="Arial" w:hAnsi="Arial" w:cs="Arial"/>
          <w:b/>
        </w:rPr>
        <w:t>Resultados</w:t>
      </w:r>
    </w:p>
    <w:p w14:paraId="2F87DF07" w14:textId="574B98BB" w:rsidR="008B0BB7" w:rsidRPr="00687B88" w:rsidRDefault="00D55871" w:rsidP="00687B88">
      <w:pPr>
        <w:spacing w:line="480" w:lineRule="auto"/>
        <w:rPr>
          <w:rFonts w:ascii="Arial" w:hAnsi="Arial" w:cs="Arial"/>
        </w:rPr>
      </w:pPr>
      <w:r w:rsidRPr="00687B88">
        <w:rPr>
          <w:rFonts w:ascii="Arial" w:hAnsi="Arial" w:cs="Arial"/>
        </w:rPr>
        <w:t xml:space="preserve">Ambos pacientes </w:t>
      </w:r>
      <w:r w:rsidR="000153C2" w:rsidRPr="00687B88">
        <w:rPr>
          <w:rFonts w:ascii="Arial" w:hAnsi="Arial" w:cs="Arial"/>
        </w:rPr>
        <w:t xml:space="preserve">tenían características similares en cuanto a </w:t>
      </w:r>
      <w:r w:rsidRPr="00687B88">
        <w:rPr>
          <w:rFonts w:ascii="Arial" w:hAnsi="Arial" w:cs="Arial"/>
        </w:rPr>
        <w:t>edad, días de ventilación mecánica</w:t>
      </w:r>
      <w:r w:rsidR="000153C2" w:rsidRPr="00687B88">
        <w:rPr>
          <w:rFonts w:ascii="Arial" w:hAnsi="Arial" w:cs="Arial"/>
        </w:rPr>
        <w:t xml:space="preserve"> y</w:t>
      </w:r>
      <w:r w:rsidRPr="00687B88">
        <w:rPr>
          <w:rFonts w:ascii="Arial" w:hAnsi="Arial" w:cs="Arial"/>
        </w:rPr>
        <w:t xml:space="preserve"> días de estadía en UCI</w:t>
      </w:r>
      <w:r w:rsidR="000153C2" w:rsidRPr="00687B88">
        <w:rPr>
          <w:rFonts w:ascii="Arial" w:hAnsi="Arial" w:cs="Arial"/>
        </w:rPr>
        <w:t xml:space="preserve"> (Tabla 1). </w:t>
      </w:r>
      <w:r w:rsidR="00D85B9A" w:rsidRPr="00687B88">
        <w:rPr>
          <w:rFonts w:ascii="Arial" w:hAnsi="Arial" w:cs="Arial"/>
        </w:rPr>
        <w:t>La paciente A era de género femenino</w:t>
      </w:r>
      <w:r w:rsidR="006C23A4" w:rsidRPr="00687B88">
        <w:rPr>
          <w:rFonts w:ascii="Arial" w:hAnsi="Arial" w:cs="Arial"/>
        </w:rPr>
        <w:t xml:space="preserve"> a diferencia del paciente B, con sobrepeso en contraste con el paciente B que tenía un peso normal </w:t>
      </w:r>
      <w:proofErr w:type="gramStart"/>
      <w:r w:rsidR="006C23A4" w:rsidRPr="00687B88">
        <w:rPr>
          <w:rFonts w:ascii="Arial" w:hAnsi="Arial" w:cs="Arial"/>
        </w:rPr>
        <w:t>de acuerdo al</w:t>
      </w:r>
      <w:proofErr w:type="gramEnd"/>
      <w:r w:rsidR="006C23A4" w:rsidRPr="00687B88">
        <w:rPr>
          <w:rFonts w:ascii="Arial" w:hAnsi="Arial" w:cs="Arial"/>
        </w:rPr>
        <w:t xml:space="preserve"> índice de masa corporal (IMC), con 3 días más de </w:t>
      </w:r>
      <w:r w:rsidR="00D53AB7" w:rsidRPr="00687B88">
        <w:rPr>
          <w:rFonts w:ascii="Arial" w:hAnsi="Arial" w:cs="Arial"/>
        </w:rPr>
        <w:t>VM</w:t>
      </w:r>
      <w:r w:rsidR="006C23A4" w:rsidRPr="00687B88">
        <w:rPr>
          <w:rFonts w:ascii="Arial" w:hAnsi="Arial" w:cs="Arial"/>
        </w:rPr>
        <w:t xml:space="preserve"> y con un porcentaje de mortalidad mayor al paciente B</w:t>
      </w:r>
      <w:r w:rsidR="000153C2" w:rsidRPr="00687B88">
        <w:rPr>
          <w:rFonts w:ascii="Arial" w:hAnsi="Arial" w:cs="Arial"/>
        </w:rPr>
        <w:t>. Al despertar, ambos tuvieron debilidad muscular severa y dismovilidad</w:t>
      </w:r>
      <w:r w:rsidR="00FC7AEB" w:rsidRPr="00687B88">
        <w:rPr>
          <w:rFonts w:ascii="Arial" w:hAnsi="Arial" w:cs="Arial"/>
        </w:rPr>
        <w:t>,</w:t>
      </w:r>
      <w:r w:rsidR="000153C2" w:rsidRPr="00687B88">
        <w:rPr>
          <w:rFonts w:ascii="Arial" w:hAnsi="Arial" w:cs="Arial"/>
        </w:rPr>
        <w:t xml:space="preserve"> pero con un desenlace diferente al egreso de la UCI.</w:t>
      </w:r>
    </w:p>
    <w:p w14:paraId="0B34DC35" w14:textId="77777777" w:rsidR="00521525" w:rsidRPr="00687B88" w:rsidRDefault="00521525" w:rsidP="00687B88">
      <w:pPr>
        <w:spacing w:line="480" w:lineRule="auto"/>
        <w:rPr>
          <w:rFonts w:ascii="Arial" w:hAnsi="Arial" w:cs="Arial"/>
        </w:rPr>
      </w:pPr>
    </w:p>
    <w:p w14:paraId="532EBEA7" w14:textId="0D097A84" w:rsidR="00114D71" w:rsidRDefault="00D53AB7" w:rsidP="00687B88">
      <w:pPr>
        <w:spacing w:line="480" w:lineRule="auto"/>
        <w:rPr>
          <w:rFonts w:ascii="Arial" w:hAnsi="Arial" w:cs="Arial"/>
        </w:rPr>
      </w:pPr>
      <w:r w:rsidRPr="00687B88">
        <w:rPr>
          <w:rFonts w:ascii="Arial" w:hAnsi="Arial" w:cs="Arial"/>
        </w:rPr>
        <w:t>Durante l</w:t>
      </w:r>
      <w:r w:rsidR="00F65D23" w:rsidRPr="00687B88">
        <w:rPr>
          <w:rFonts w:ascii="Arial" w:hAnsi="Arial" w:cs="Arial"/>
        </w:rPr>
        <w:t>os diez días de registro de actigrafía, el paciente B tuvo un cambio de actígrafo</w:t>
      </w:r>
      <w:r w:rsidR="004F38EA" w:rsidRPr="00687B88">
        <w:rPr>
          <w:rFonts w:ascii="Arial" w:hAnsi="Arial" w:cs="Arial"/>
        </w:rPr>
        <w:t>,</w:t>
      </w:r>
      <w:r w:rsidR="00F65D23" w:rsidRPr="00687B88">
        <w:rPr>
          <w:rFonts w:ascii="Arial" w:hAnsi="Arial" w:cs="Arial"/>
        </w:rPr>
        <w:t xml:space="preserve"> lo que llevó a eliminar una hora de registro, sin embargo</w:t>
      </w:r>
      <w:r w:rsidR="00FC7AEB" w:rsidRPr="00687B88">
        <w:rPr>
          <w:rFonts w:ascii="Arial" w:hAnsi="Arial" w:cs="Arial"/>
        </w:rPr>
        <w:t>,</w:t>
      </w:r>
      <w:r w:rsidR="00F65D23" w:rsidRPr="00687B88">
        <w:rPr>
          <w:rFonts w:ascii="Arial" w:hAnsi="Arial" w:cs="Arial"/>
        </w:rPr>
        <w:t xml:space="preserve"> ambos tuvieron 240 horas </w:t>
      </w:r>
      <w:r w:rsidR="008D1E63" w:rsidRPr="00687B88">
        <w:rPr>
          <w:rFonts w:ascii="Arial" w:hAnsi="Arial" w:cs="Arial"/>
        </w:rPr>
        <w:t xml:space="preserve">contínuas </w:t>
      </w:r>
      <w:r w:rsidR="00F65D23" w:rsidRPr="00687B88">
        <w:rPr>
          <w:rFonts w:ascii="Arial" w:hAnsi="Arial" w:cs="Arial"/>
        </w:rPr>
        <w:t xml:space="preserve">de análisis. </w:t>
      </w:r>
      <w:r w:rsidR="00E0698F" w:rsidRPr="00687B88">
        <w:rPr>
          <w:rFonts w:ascii="Arial" w:hAnsi="Arial" w:cs="Arial"/>
        </w:rPr>
        <w:t>El paciente A tuvo mayor número y duración de quiebres de inactividad durante</w:t>
      </w:r>
      <w:r w:rsidR="006C3B39" w:rsidRPr="00687B88">
        <w:rPr>
          <w:rFonts w:ascii="Arial" w:hAnsi="Arial" w:cs="Arial"/>
        </w:rPr>
        <w:t xml:space="preserve"> el tiempo de registro</w:t>
      </w:r>
      <w:r w:rsidR="00F65D23" w:rsidRPr="00687B88">
        <w:rPr>
          <w:rFonts w:ascii="Arial" w:hAnsi="Arial" w:cs="Arial"/>
        </w:rPr>
        <w:t xml:space="preserve">, el número de quiebres de inactividad de los pacientes A y B fue de 363 y 268 quiebres, </w:t>
      </w:r>
    </w:p>
    <w:p w14:paraId="3FADBFCB" w14:textId="07A39E2D" w:rsidR="00114D71" w:rsidRPr="00114D71" w:rsidRDefault="00114D71" w:rsidP="00114D71">
      <w:pPr>
        <w:jc w:val="center"/>
        <w:rPr>
          <w:rFonts w:ascii="Arial" w:hAnsi="Arial" w:cs="Arial"/>
          <w:color w:val="808080" w:themeColor="background1" w:themeShade="80"/>
        </w:rPr>
      </w:pPr>
      <w:r w:rsidRPr="00114D71">
        <w:rPr>
          <w:rFonts w:ascii="Arial" w:hAnsi="Arial" w:cs="Arial"/>
          <w:color w:val="808080" w:themeColor="background1" w:themeShade="80"/>
        </w:rPr>
        <w:t>9</w:t>
      </w:r>
    </w:p>
    <w:p w14:paraId="511D9C7D" w14:textId="17F2A849" w:rsidR="00F65D23" w:rsidRPr="00687B88" w:rsidRDefault="00F65D23" w:rsidP="00687B88">
      <w:pPr>
        <w:spacing w:line="480" w:lineRule="auto"/>
        <w:rPr>
          <w:rFonts w:ascii="Arial" w:hAnsi="Arial" w:cs="Arial"/>
        </w:rPr>
      </w:pPr>
      <w:r w:rsidRPr="00687B88">
        <w:rPr>
          <w:rFonts w:ascii="Arial" w:hAnsi="Arial" w:cs="Arial"/>
        </w:rPr>
        <w:t xml:space="preserve">respectivamente. </w:t>
      </w:r>
      <w:r w:rsidR="00F70CFE" w:rsidRPr="00687B88">
        <w:rPr>
          <w:rFonts w:ascii="Arial" w:hAnsi="Arial" w:cs="Arial"/>
        </w:rPr>
        <w:t xml:space="preserve">La duración total de los quiebres de inactividad corresponde a </w:t>
      </w:r>
      <w:r w:rsidR="00E0698F" w:rsidRPr="00687B88">
        <w:rPr>
          <w:rFonts w:ascii="Arial" w:hAnsi="Arial" w:cs="Arial"/>
        </w:rPr>
        <w:t xml:space="preserve">105 </w:t>
      </w:r>
      <w:r w:rsidR="006C3B39" w:rsidRPr="00687B88">
        <w:rPr>
          <w:rFonts w:ascii="Arial" w:hAnsi="Arial" w:cs="Arial"/>
        </w:rPr>
        <w:t xml:space="preserve">horas </w:t>
      </w:r>
      <w:r w:rsidR="00E0698F" w:rsidRPr="00687B88">
        <w:rPr>
          <w:rFonts w:ascii="Arial" w:hAnsi="Arial" w:cs="Arial"/>
        </w:rPr>
        <w:t>(44%) horas para el paciente A y 65</w:t>
      </w:r>
      <w:r w:rsidR="006C3B39" w:rsidRPr="00687B88">
        <w:rPr>
          <w:rFonts w:ascii="Arial" w:hAnsi="Arial" w:cs="Arial"/>
        </w:rPr>
        <w:t xml:space="preserve"> horas</w:t>
      </w:r>
      <w:r w:rsidR="00E0698F" w:rsidRPr="00687B88">
        <w:rPr>
          <w:rFonts w:ascii="Arial" w:hAnsi="Arial" w:cs="Arial"/>
        </w:rPr>
        <w:t xml:space="preserve"> (27%) para el paciente B.  La mediana [RIQ] fue de 35</w:t>
      </w:r>
      <w:r w:rsidR="00D53AB7" w:rsidRPr="00687B88">
        <w:rPr>
          <w:rFonts w:ascii="Arial" w:hAnsi="Arial" w:cs="Arial"/>
        </w:rPr>
        <w:t xml:space="preserve"> </w:t>
      </w:r>
      <w:r w:rsidR="00E0698F" w:rsidRPr="00687B88">
        <w:rPr>
          <w:rFonts w:ascii="Arial" w:hAnsi="Arial" w:cs="Arial"/>
        </w:rPr>
        <w:t>[33-39] y 25</w:t>
      </w:r>
      <w:r w:rsidR="00D53AB7" w:rsidRPr="00687B88">
        <w:rPr>
          <w:rFonts w:ascii="Arial" w:hAnsi="Arial" w:cs="Arial"/>
        </w:rPr>
        <w:t xml:space="preserve"> </w:t>
      </w:r>
      <w:r w:rsidR="00E0698F" w:rsidRPr="00687B88">
        <w:rPr>
          <w:rFonts w:ascii="Arial" w:hAnsi="Arial" w:cs="Arial"/>
        </w:rPr>
        <w:t>[22-30] quiebres por día para los pacientes A y B, respectivamente.</w:t>
      </w:r>
    </w:p>
    <w:p w14:paraId="23C26D88" w14:textId="77777777" w:rsidR="00013F73" w:rsidRPr="00687B88" w:rsidRDefault="00013F73" w:rsidP="00687B88">
      <w:pPr>
        <w:spacing w:line="480" w:lineRule="auto"/>
        <w:rPr>
          <w:rFonts w:ascii="Arial" w:hAnsi="Arial" w:cs="Arial"/>
        </w:rPr>
      </w:pPr>
    </w:p>
    <w:p w14:paraId="555812C1" w14:textId="2594247A" w:rsidR="00E05518" w:rsidRPr="00687B88" w:rsidRDefault="00013F73" w:rsidP="00687B88">
      <w:pPr>
        <w:spacing w:line="480" w:lineRule="auto"/>
        <w:rPr>
          <w:rFonts w:ascii="Arial" w:hAnsi="Arial" w:cs="Arial"/>
          <w:lang w:val="es-ES"/>
        </w:rPr>
      </w:pPr>
      <w:proofErr w:type="gramStart"/>
      <w:r w:rsidRPr="00687B88">
        <w:rPr>
          <w:rFonts w:ascii="Arial" w:hAnsi="Arial" w:cs="Arial"/>
        </w:rPr>
        <w:t>La duración de quiebres de inactividad según</w:t>
      </w:r>
      <w:r w:rsidR="00E0698F" w:rsidRPr="00687B88">
        <w:rPr>
          <w:rFonts w:ascii="Arial" w:hAnsi="Arial" w:cs="Arial"/>
        </w:rPr>
        <w:t xml:space="preserve"> los</w:t>
      </w:r>
      <w:r w:rsidRPr="00687B88">
        <w:rPr>
          <w:rFonts w:ascii="Arial" w:hAnsi="Arial" w:cs="Arial"/>
        </w:rPr>
        <w:t xml:space="preserve"> seis intervalos de tiempo </w:t>
      </w:r>
      <w:r w:rsidR="00FC7AEB" w:rsidRPr="00687B88">
        <w:rPr>
          <w:rFonts w:ascii="Arial" w:hAnsi="Arial" w:cs="Arial"/>
        </w:rPr>
        <w:t>son</w:t>
      </w:r>
      <w:proofErr w:type="gramEnd"/>
      <w:r w:rsidR="00FC7AEB" w:rsidRPr="00687B88">
        <w:rPr>
          <w:rFonts w:ascii="Arial" w:hAnsi="Arial" w:cs="Arial"/>
        </w:rPr>
        <w:t xml:space="preserve"> </w:t>
      </w:r>
      <w:r w:rsidRPr="00687B88">
        <w:rPr>
          <w:rFonts w:ascii="Arial" w:hAnsi="Arial" w:cs="Arial"/>
        </w:rPr>
        <w:t xml:space="preserve">presentados en la </w:t>
      </w:r>
      <w:r w:rsidRPr="00687B88">
        <w:rPr>
          <w:rFonts w:ascii="Arial" w:hAnsi="Arial" w:cs="Arial"/>
          <w:bCs/>
        </w:rPr>
        <w:t>Tabla 2</w:t>
      </w:r>
      <w:r w:rsidRPr="00687B88">
        <w:rPr>
          <w:rFonts w:ascii="Arial" w:hAnsi="Arial" w:cs="Arial"/>
        </w:rPr>
        <w:t xml:space="preserve">. </w:t>
      </w:r>
      <w:r w:rsidRPr="00687B88">
        <w:rPr>
          <w:rFonts w:ascii="Arial" w:hAnsi="Arial" w:cs="Arial"/>
          <w:lang w:val="es-ES"/>
        </w:rPr>
        <w:t xml:space="preserve">El paciente </w:t>
      </w:r>
      <w:r w:rsidR="00E0698F" w:rsidRPr="00687B88">
        <w:rPr>
          <w:rFonts w:ascii="Arial" w:hAnsi="Arial" w:cs="Arial"/>
          <w:lang w:val="es-ES"/>
        </w:rPr>
        <w:t>B</w:t>
      </w:r>
      <w:r w:rsidRPr="00687B88">
        <w:rPr>
          <w:rFonts w:ascii="Arial" w:hAnsi="Arial" w:cs="Arial"/>
          <w:lang w:val="es-ES"/>
        </w:rPr>
        <w:t xml:space="preserve"> </w:t>
      </w:r>
      <w:r w:rsidR="00F376FA" w:rsidRPr="00687B88">
        <w:rPr>
          <w:rFonts w:ascii="Arial" w:hAnsi="Arial" w:cs="Arial"/>
          <w:lang w:val="es-ES"/>
        </w:rPr>
        <w:t xml:space="preserve">comparado con el paciente A tuvo menos de quiebres de inactividad de larga duración (≥30 minutos), un 52% menos y </w:t>
      </w:r>
      <w:r w:rsidR="00F376FA" w:rsidRPr="00687B88">
        <w:rPr>
          <w:rFonts w:ascii="Arial" w:hAnsi="Arial" w:cs="Arial"/>
        </w:rPr>
        <w:t xml:space="preserve">más de quiebres de inactividad de menor duración (&lt;1 minuto), 53% más. </w:t>
      </w:r>
      <w:r w:rsidR="00177C78" w:rsidRPr="00687B88">
        <w:rPr>
          <w:rFonts w:ascii="Arial" w:hAnsi="Arial" w:cs="Arial"/>
        </w:rPr>
        <w:t>Por otra parte</w:t>
      </w:r>
      <w:r w:rsidR="005416F1" w:rsidRPr="00687B88">
        <w:rPr>
          <w:rFonts w:ascii="Arial" w:hAnsi="Arial" w:cs="Arial"/>
        </w:rPr>
        <w:t>,</w:t>
      </w:r>
      <w:r w:rsidR="0078348F" w:rsidRPr="00687B88">
        <w:rPr>
          <w:rFonts w:ascii="Arial" w:hAnsi="Arial" w:cs="Arial"/>
        </w:rPr>
        <w:t xml:space="preserve"> </w:t>
      </w:r>
      <w:r w:rsidR="005416F1" w:rsidRPr="00687B88">
        <w:rPr>
          <w:rFonts w:ascii="Arial" w:hAnsi="Arial" w:cs="Arial"/>
        </w:rPr>
        <w:t>desde el primer día del despertar predominaron los quiebres de inactividad de mayor duración</w:t>
      </w:r>
      <w:r w:rsidR="0078348F" w:rsidRPr="00687B88">
        <w:rPr>
          <w:rFonts w:ascii="Arial" w:hAnsi="Arial" w:cs="Arial"/>
        </w:rPr>
        <w:t xml:space="preserve"> e</w:t>
      </w:r>
      <w:r w:rsidR="005416F1" w:rsidRPr="00687B88">
        <w:rPr>
          <w:rFonts w:ascii="Arial" w:hAnsi="Arial" w:cs="Arial"/>
        </w:rPr>
        <w:t>n el</w:t>
      </w:r>
      <w:r w:rsidR="0078348F" w:rsidRPr="00687B88">
        <w:rPr>
          <w:rFonts w:ascii="Arial" w:hAnsi="Arial" w:cs="Arial"/>
        </w:rPr>
        <w:t xml:space="preserve"> paciente A</w:t>
      </w:r>
      <w:r w:rsidR="00177C78" w:rsidRPr="00687B88">
        <w:rPr>
          <w:rFonts w:ascii="Arial" w:hAnsi="Arial" w:cs="Arial"/>
        </w:rPr>
        <w:t xml:space="preserve"> (Figura 2)</w:t>
      </w:r>
      <w:r w:rsidR="005416F1" w:rsidRPr="00687B88">
        <w:rPr>
          <w:rFonts w:ascii="Arial" w:hAnsi="Arial" w:cs="Arial"/>
        </w:rPr>
        <w:t>.</w:t>
      </w:r>
      <w:r w:rsidR="0078348F" w:rsidRPr="00687B88">
        <w:rPr>
          <w:rFonts w:ascii="Arial" w:hAnsi="Arial" w:cs="Arial"/>
        </w:rPr>
        <w:t xml:space="preserve"> Por otro lado, el paciente B </w:t>
      </w:r>
      <w:r w:rsidR="008007B0" w:rsidRPr="00687B88">
        <w:rPr>
          <w:rFonts w:ascii="Arial" w:hAnsi="Arial" w:cs="Arial"/>
        </w:rPr>
        <w:t>mostró</w:t>
      </w:r>
      <w:r w:rsidR="003944C7" w:rsidRPr="00687B88">
        <w:rPr>
          <w:rFonts w:ascii="Arial" w:hAnsi="Arial" w:cs="Arial"/>
        </w:rPr>
        <w:t xml:space="preserve"> quiebres de inactividad de menor duración y sólo al noveno día predominan los quiebres de inactividad de mayor duración </w:t>
      </w:r>
      <w:r w:rsidR="00E0698F" w:rsidRPr="00687B88">
        <w:rPr>
          <w:rFonts w:ascii="Arial" w:hAnsi="Arial" w:cs="Arial"/>
        </w:rPr>
        <w:t>(</w:t>
      </w:r>
      <w:r w:rsidR="0078348F" w:rsidRPr="00687B88">
        <w:rPr>
          <w:rFonts w:ascii="Arial" w:hAnsi="Arial" w:cs="Arial"/>
          <w:bCs/>
        </w:rPr>
        <w:t>Figura 3</w:t>
      </w:r>
      <w:r w:rsidR="00E0698F" w:rsidRPr="00687B88">
        <w:rPr>
          <w:rFonts w:ascii="Arial" w:hAnsi="Arial" w:cs="Arial"/>
          <w:bCs/>
        </w:rPr>
        <w:t>)</w:t>
      </w:r>
      <w:r w:rsidR="0078348F" w:rsidRPr="00687B88">
        <w:rPr>
          <w:rFonts w:ascii="Arial" w:hAnsi="Arial" w:cs="Arial"/>
        </w:rPr>
        <w:t>.</w:t>
      </w:r>
    </w:p>
    <w:p w14:paraId="7A4F63A1" w14:textId="77777777" w:rsidR="0078348F" w:rsidRPr="00687B88" w:rsidRDefault="0078348F" w:rsidP="00687B88">
      <w:pPr>
        <w:spacing w:line="480" w:lineRule="auto"/>
        <w:rPr>
          <w:rFonts w:ascii="Arial" w:hAnsi="Arial" w:cs="Arial"/>
        </w:rPr>
      </w:pPr>
    </w:p>
    <w:p w14:paraId="7E7929D7" w14:textId="77777777" w:rsidR="00114D71" w:rsidRDefault="00FD567E" w:rsidP="00687B88">
      <w:pPr>
        <w:spacing w:line="480" w:lineRule="auto"/>
        <w:rPr>
          <w:rFonts w:ascii="Arial" w:hAnsi="Arial" w:cs="Arial"/>
        </w:rPr>
      </w:pPr>
      <w:r w:rsidRPr="00687B88">
        <w:rPr>
          <w:rFonts w:ascii="Arial" w:hAnsi="Arial" w:cs="Arial"/>
        </w:rPr>
        <w:t xml:space="preserve">Al egreso </w:t>
      </w:r>
      <w:r w:rsidR="00132C78" w:rsidRPr="00687B88">
        <w:rPr>
          <w:rFonts w:ascii="Arial" w:hAnsi="Arial" w:cs="Arial"/>
        </w:rPr>
        <w:t xml:space="preserve">de la </w:t>
      </w:r>
      <w:r w:rsidRPr="00687B88">
        <w:rPr>
          <w:rFonts w:ascii="Arial" w:hAnsi="Arial" w:cs="Arial"/>
        </w:rPr>
        <w:t xml:space="preserve">UCI, </w:t>
      </w:r>
      <w:r w:rsidR="005416F1" w:rsidRPr="00687B88">
        <w:rPr>
          <w:rFonts w:ascii="Arial" w:hAnsi="Arial" w:cs="Arial"/>
        </w:rPr>
        <w:t>el paciente A no tuvo debilidad muscular</w:t>
      </w:r>
      <w:r w:rsidR="006C3B39" w:rsidRPr="00687B88">
        <w:rPr>
          <w:rFonts w:ascii="Arial" w:hAnsi="Arial" w:cs="Arial"/>
        </w:rPr>
        <w:t xml:space="preserve"> severa</w:t>
      </w:r>
      <w:r w:rsidR="004F38EA" w:rsidRPr="00687B88">
        <w:rPr>
          <w:rFonts w:ascii="Arial" w:hAnsi="Arial" w:cs="Arial"/>
        </w:rPr>
        <w:t>,</w:t>
      </w:r>
      <w:r w:rsidR="005416F1" w:rsidRPr="00687B88">
        <w:rPr>
          <w:rFonts w:ascii="Arial" w:hAnsi="Arial" w:cs="Arial"/>
        </w:rPr>
        <w:t xml:space="preserve"> a diferencia del paciente B</w:t>
      </w:r>
      <w:r w:rsidR="004F38EA" w:rsidRPr="00687B88">
        <w:rPr>
          <w:rFonts w:ascii="Arial" w:hAnsi="Arial" w:cs="Arial"/>
        </w:rPr>
        <w:t>,</w:t>
      </w:r>
      <w:r w:rsidR="005416F1" w:rsidRPr="00687B88">
        <w:rPr>
          <w:rFonts w:ascii="Arial" w:hAnsi="Arial" w:cs="Arial"/>
        </w:rPr>
        <w:t xml:space="preserve"> logr</w:t>
      </w:r>
      <w:r w:rsidR="004F38EA" w:rsidRPr="00687B88">
        <w:rPr>
          <w:rFonts w:ascii="Arial" w:hAnsi="Arial" w:cs="Arial"/>
        </w:rPr>
        <w:t>ando</w:t>
      </w:r>
      <w:r w:rsidR="005416F1" w:rsidRPr="00687B88">
        <w:rPr>
          <w:rFonts w:ascii="Arial" w:hAnsi="Arial" w:cs="Arial"/>
        </w:rPr>
        <w:t xml:space="preserve"> realizar marcha con asistencia moderada por más de 45 metros. Por otro lado, el paciente B requirió asistencia máxima para giros y transferencias sin posibilidad de realizar marcha y con mayor cantidad de días de hospitalización en UCI.</w:t>
      </w:r>
    </w:p>
    <w:p w14:paraId="0A305AF2" w14:textId="77777777" w:rsidR="00114D71" w:rsidRDefault="00114D71" w:rsidP="00687B88">
      <w:pPr>
        <w:spacing w:line="480" w:lineRule="auto"/>
        <w:rPr>
          <w:rFonts w:ascii="Arial" w:hAnsi="Arial" w:cs="Arial"/>
        </w:rPr>
      </w:pPr>
    </w:p>
    <w:p w14:paraId="1346CD68" w14:textId="1BB87351" w:rsidR="00C44859" w:rsidRPr="00114D71" w:rsidRDefault="00114D71" w:rsidP="00114D71">
      <w:pPr>
        <w:spacing w:line="480" w:lineRule="auto"/>
        <w:jc w:val="center"/>
        <w:rPr>
          <w:rFonts w:ascii="Arial" w:hAnsi="Arial" w:cs="Arial"/>
        </w:rPr>
      </w:pPr>
      <w:r w:rsidRPr="00114D71">
        <w:rPr>
          <w:rFonts w:ascii="Arial" w:hAnsi="Arial" w:cs="Arial"/>
          <w:color w:val="808080" w:themeColor="background1" w:themeShade="80"/>
        </w:rPr>
        <w:t>10</w:t>
      </w:r>
      <w:r w:rsidR="00C44859" w:rsidRPr="00114D71">
        <w:rPr>
          <w:rFonts w:ascii="Arial" w:hAnsi="Arial" w:cs="Arial"/>
        </w:rPr>
        <w:br w:type="page"/>
      </w:r>
    </w:p>
    <w:p w14:paraId="7CDFF2AE" w14:textId="654D0213" w:rsidR="004A116A" w:rsidRPr="00687B88" w:rsidRDefault="00C44859" w:rsidP="00687B88">
      <w:pPr>
        <w:spacing w:line="480" w:lineRule="auto"/>
        <w:rPr>
          <w:rFonts w:ascii="Arial" w:hAnsi="Arial" w:cs="Arial"/>
          <w:b/>
        </w:rPr>
      </w:pPr>
      <w:r w:rsidRPr="00687B88">
        <w:rPr>
          <w:rFonts w:ascii="Arial" w:hAnsi="Arial" w:cs="Arial"/>
          <w:b/>
        </w:rPr>
        <w:t>Discusión</w:t>
      </w:r>
    </w:p>
    <w:p w14:paraId="5A253D7B" w14:textId="76A09012" w:rsidR="007E4FE8" w:rsidRPr="00687B88" w:rsidRDefault="00CF54C3" w:rsidP="00687B88">
      <w:pPr>
        <w:spacing w:line="480" w:lineRule="auto"/>
        <w:rPr>
          <w:rFonts w:ascii="Arial" w:hAnsi="Arial" w:cs="Arial"/>
        </w:rPr>
      </w:pPr>
      <w:r w:rsidRPr="00687B88">
        <w:rPr>
          <w:rFonts w:ascii="Arial" w:hAnsi="Arial" w:cs="Arial"/>
        </w:rPr>
        <w:t xml:space="preserve">Este estudio es el primero en describir el comportamiento de la inactividad </w:t>
      </w:r>
      <w:r w:rsidR="00BD625C" w:rsidRPr="00687B88">
        <w:rPr>
          <w:rFonts w:ascii="Arial" w:hAnsi="Arial" w:cs="Arial"/>
        </w:rPr>
        <w:t xml:space="preserve">en UCI </w:t>
      </w:r>
      <w:r w:rsidRPr="00687B88">
        <w:rPr>
          <w:rFonts w:ascii="Arial" w:hAnsi="Arial" w:cs="Arial"/>
        </w:rPr>
        <w:t xml:space="preserve">utilizando el concepto de quiebres de inactividad obtenido por registros de monitorización continua de </w:t>
      </w:r>
      <w:r w:rsidR="008C0449" w:rsidRPr="00687B88">
        <w:rPr>
          <w:rFonts w:ascii="Arial" w:hAnsi="Arial" w:cs="Arial"/>
        </w:rPr>
        <w:t>actigrafía</w:t>
      </w:r>
      <w:r w:rsidRPr="00687B88">
        <w:rPr>
          <w:rFonts w:ascii="Arial" w:hAnsi="Arial" w:cs="Arial"/>
        </w:rPr>
        <w:t xml:space="preserve"> en los primeros días desde </w:t>
      </w:r>
      <w:r w:rsidR="00746EC1" w:rsidRPr="00687B88">
        <w:rPr>
          <w:rFonts w:ascii="Arial" w:hAnsi="Arial" w:cs="Arial"/>
        </w:rPr>
        <w:t>el despertar de pacientes críticos</w:t>
      </w:r>
      <w:r w:rsidRPr="00687B88">
        <w:rPr>
          <w:rFonts w:ascii="Arial" w:hAnsi="Arial" w:cs="Arial"/>
        </w:rPr>
        <w:t xml:space="preserve">. </w:t>
      </w:r>
      <w:r w:rsidR="00616F55" w:rsidRPr="00687B88">
        <w:rPr>
          <w:rFonts w:ascii="Arial" w:hAnsi="Arial" w:cs="Arial"/>
        </w:rPr>
        <w:t xml:space="preserve">El paciente A </w:t>
      </w:r>
      <w:r w:rsidR="00FB4E57" w:rsidRPr="00687B88">
        <w:rPr>
          <w:rFonts w:ascii="Arial" w:hAnsi="Arial" w:cs="Arial"/>
        </w:rPr>
        <w:t xml:space="preserve">tenía mayor edad, </w:t>
      </w:r>
      <w:r w:rsidR="003F5E02" w:rsidRPr="00687B88">
        <w:rPr>
          <w:rFonts w:ascii="Arial" w:hAnsi="Arial" w:cs="Arial"/>
        </w:rPr>
        <w:t xml:space="preserve">peso corporal, riesgo de mortalidad y días de </w:t>
      </w:r>
      <w:r w:rsidR="005A3838" w:rsidRPr="00687B88">
        <w:rPr>
          <w:rFonts w:ascii="Arial" w:hAnsi="Arial" w:cs="Arial"/>
        </w:rPr>
        <w:t>VM</w:t>
      </w:r>
      <w:r w:rsidR="00FB4E57" w:rsidRPr="00687B88">
        <w:rPr>
          <w:rFonts w:ascii="Arial" w:hAnsi="Arial" w:cs="Arial"/>
        </w:rPr>
        <w:t xml:space="preserve"> </w:t>
      </w:r>
      <w:r w:rsidR="00E8078F" w:rsidRPr="00687B88">
        <w:rPr>
          <w:rFonts w:ascii="Arial" w:hAnsi="Arial" w:cs="Arial"/>
        </w:rPr>
        <w:t>en comparación con el paciente B</w:t>
      </w:r>
      <w:r w:rsidR="00616F55" w:rsidRPr="00687B88">
        <w:rPr>
          <w:rFonts w:ascii="Arial" w:hAnsi="Arial" w:cs="Arial"/>
        </w:rPr>
        <w:t xml:space="preserve">. </w:t>
      </w:r>
      <w:r w:rsidR="00BD625C" w:rsidRPr="00687B88">
        <w:rPr>
          <w:rFonts w:ascii="Arial" w:hAnsi="Arial" w:cs="Arial"/>
        </w:rPr>
        <w:t xml:space="preserve">Sin embargo, el paciente A </w:t>
      </w:r>
      <w:r w:rsidR="00FB4E57" w:rsidRPr="00687B88">
        <w:rPr>
          <w:rFonts w:ascii="Arial" w:hAnsi="Arial" w:cs="Arial"/>
        </w:rPr>
        <w:t>tuvo</w:t>
      </w:r>
      <w:r w:rsidR="00BD625C" w:rsidRPr="00687B88">
        <w:rPr>
          <w:rFonts w:ascii="Arial" w:hAnsi="Arial" w:cs="Arial"/>
        </w:rPr>
        <w:t xml:space="preserve"> </w:t>
      </w:r>
      <w:r w:rsidR="00070A75" w:rsidRPr="00687B88">
        <w:rPr>
          <w:rFonts w:ascii="Arial" w:hAnsi="Arial" w:cs="Arial"/>
        </w:rPr>
        <w:t xml:space="preserve">mejores resultados de movilidad y fuerza muscular al egreso de la UCI junto con </w:t>
      </w:r>
      <w:r w:rsidR="00BD625C" w:rsidRPr="00687B88">
        <w:rPr>
          <w:rFonts w:ascii="Arial" w:hAnsi="Arial" w:cs="Arial"/>
        </w:rPr>
        <w:t>mayor cantidad y duración de quiebres de inactividad</w:t>
      </w:r>
      <w:r w:rsidR="00070A75" w:rsidRPr="00687B88">
        <w:rPr>
          <w:rFonts w:ascii="Arial" w:hAnsi="Arial" w:cs="Arial"/>
        </w:rPr>
        <w:t>.</w:t>
      </w:r>
      <w:r w:rsidR="007E4FE8" w:rsidRPr="00687B88">
        <w:rPr>
          <w:rFonts w:ascii="Arial" w:hAnsi="Arial" w:cs="Arial"/>
        </w:rPr>
        <w:t xml:space="preserve"> </w:t>
      </w:r>
      <w:r w:rsidR="00FD727B" w:rsidRPr="00687B88">
        <w:rPr>
          <w:rFonts w:ascii="Arial" w:hAnsi="Arial" w:cs="Arial"/>
        </w:rPr>
        <w:t xml:space="preserve">Los datos obtenidos muestran que pacientes críticos </w:t>
      </w:r>
      <w:r w:rsidR="00D53AB7" w:rsidRPr="00687B88">
        <w:rPr>
          <w:rFonts w:ascii="Arial" w:hAnsi="Arial" w:cs="Arial"/>
        </w:rPr>
        <w:t>con</w:t>
      </w:r>
      <w:r w:rsidR="00B956A9" w:rsidRPr="00687B88">
        <w:rPr>
          <w:rFonts w:ascii="Arial" w:hAnsi="Arial" w:cs="Arial"/>
        </w:rPr>
        <w:t xml:space="preserve"> </w:t>
      </w:r>
      <w:r w:rsidR="00FD727B" w:rsidRPr="00687B88">
        <w:rPr>
          <w:rFonts w:ascii="Arial" w:hAnsi="Arial" w:cs="Arial"/>
        </w:rPr>
        <w:t xml:space="preserve">características similares </w:t>
      </w:r>
      <w:r w:rsidR="00D53AB7" w:rsidRPr="00687B88">
        <w:rPr>
          <w:rFonts w:ascii="Arial" w:hAnsi="Arial" w:cs="Arial"/>
        </w:rPr>
        <w:t xml:space="preserve">pueden </w:t>
      </w:r>
      <w:r w:rsidR="00FD727B" w:rsidRPr="00687B88">
        <w:rPr>
          <w:rFonts w:ascii="Arial" w:hAnsi="Arial" w:cs="Arial"/>
        </w:rPr>
        <w:t>presenta</w:t>
      </w:r>
      <w:r w:rsidR="00D53AB7" w:rsidRPr="00687B88">
        <w:rPr>
          <w:rFonts w:ascii="Arial" w:hAnsi="Arial" w:cs="Arial"/>
        </w:rPr>
        <w:t>r</w:t>
      </w:r>
      <w:r w:rsidR="00FD727B" w:rsidRPr="00687B88">
        <w:rPr>
          <w:rFonts w:ascii="Arial" w:hAnsi="Arial" w:cs="Arial"/>
        </w:rPr>
        <w:t xml:space="preserve"> distintos patrones de inactividad en UC</w:t>
      </w:r>
      <w:r w:rsidR="003F5E02" w:rsidRPr="00687B88">
        <w:rPr>
          <w:rFonts w:ascii="Arial" w:hAnsi="Arial" w:cs="Arial"/>
        </w:rPr>
        <w:t>I</w:t>
      </w:r>
      <w:r w:rsidR="00D53AB7" w:rsidRPr="00687B88">
        <w:rPr>
          <w:rFonts w:ascii="Arial" w:hAnsi="Arial" w:cs="Arial"/>
        </w:rPr>
        <w:t xml:space="preserve"> medidos con actigrafía</w:t>
      </w:r>
      <w:r w:rsidR="00517234" w:rsidRPr="00687B88">
        <w:rPr>
          <w:rFonts w:ascii="Arial" w:hAnsi="Arial" w:cs="Arial"/>
        </w:rPr>
        <w:t xml:space="preserve">, es decir, factores no relacionados con el paciente </w:t>
      </w:r>
      <w:r w:rsidR="00177C78" w:rsidRPr="00687B88">
        <w:rPr>
          <w:rFonts w:ascii="Arial" w:hAnsi="Arial" w:cs="Arial"/>
        </w:rPr>
        <w:t>podrían</w:t>
      </w:r>
      <w:r w:rsidR="00517234" w:rsidRPr="00687B88">
        <w:rPr>
          <w:rFonts w:ascii="Arial" w:hAnsi="Arial" w:cs="Arial"/>
        </w:rPr>
        <w:t xml:space="preserve"> contribuir a los tiempos de inactividad</w:t>
      </w:r>
      <w:r w:rsidR="00517234" w:rsidRPr="00687B88">
        <w:rPr>
          <w:rFonts w:ascii="Arial" w:hAnsi="Arial" w:cs="Arial"/>
        </w:rPr>
        <w:fldChar w:fldCharType="begin" w:fldLock="1"/>
      </w:r>
      <w:r w:rsidR="003037EE" w:rsidRPr="00687B88">
        <w:rPr>
          <w:rFonts w:ascii="Arial" w:hAnsi="Arial" w:cs="Arial"/>
        </w:rPr>
        <w:instrText>ADDIN CSL_CITATION {"citationItems":[{"id":"ITEM-1","itemData":{"DOI":"10.1016/j.hrtlng.2020.02.002","ISSN":"01479563","author":[{"dropping-particle":"","family":"Gupta","given":"Prerna","non-dropping-particle":"","parse-names":false,"suffix":""},{"dropping-particle":"","family":"Martin","given":"Jennifer L.","non-dropping-particle":"","parse-names":false,"suffix":""},{"dropping-particle":"","family":"Needham","given":"Dale M.","non-dropping-particle":"","parse-names":false,"suffix":""},{"dropping-particle":"","family":"Vangala","given":"Sitaram","non-dropping-particle":"","parse-names":false,"suffix":""},{"dropping-particle":"","family":"Colantuoni","given":"Elizabeth","non-dropping-particle":"","parse-names":false,"suffix":""},{"dropping-particle":"","family":"Kamdar","given":"Biren B.","non-dropping-particle":"","parse-names":false,"suffix":""}],"container-title":"Heart &amp; Lung","id":"ITEM-1","issue":"4","issued":{"date-parts":[["2020","7"]]},"page":"398-406","title":"Use of actigraphy to characterize inactivity and activity in patients in a medical ICU","type":"article-journal","volume":"49"},"uris":["http://www.mendeley.com/documents/?uuid=7bb8c953-3aa9-4232-a02a-cca505a729fb"]}],"mendeley":{"formattedCitation":"[21]","plainTextFormattedCitation":"[21]","previouslyFormattedCitation":"[21]"},"properties":{"noteIndex":0},"schema":"https://github.com/citation-style-language/schema/raw/master/csl-citation.json"}</w:instrText>
      </w:r>
      <w:r w:rsidR="00517234" w:rsidRPr="00687B88">
        <w:rPr>
          <w:rFonts w:ascii="Arial" w:hAnsi="Arial" w:cs="Arial"/>
        </w:rPr>
        <w:fldChar w:fldCharType="separate"/>
      </w:r>
      <w:r w:rsidR="004B2EA2" w:rsidRPr="00687B88">
        <w:rPr>
          <w:rFonts w:ascii="Arial" w:hAnsi="Arial" w:cs="Arial"/>
          <w:noProof/>
        </w:rPr>
        <w:t>[21]</w:t>
      </w:r>
      <w:r w:rsidR="00517234" w:rsidRPr="00687B88">
        <w:rPr>
          <w:rFonts w:ascii="Arial" w:hAnsi="Arial" w:cs="Arial"/>
        </w:rPr>
        <w:fldChar w:fldCharType="end"/>
      </w:r>
      <w:r w:rsidR="00517234" w:rsidRPr="00687B88">
        <w:rPr>
          <w:rFonts w:ascii="Arial" w:hAnsi="Arial" w:cs="Arial"/>
        </w:rPr>
        <w:t>.</w:t>
      </w:r>
      <w:r w:rsidR="005A617D" w:rsidRPr="00687B88">
        <w:rPr>
          <w:rFonts w:ascii="Arial" w:hAnsi="Arial" w:cs="Arial"/>
        </w:rPr>
        <w:t xml:space="preserve"> </w:t>
      </w:r>
    </w:p>
    <w:p w14:paraId="4C4F4240" w14:textId="17AD6E8A" w:rsidR="00651B20" w:rsidRPr="00687B88" w:rsidRDefault="00651B20" w:rsidP="00687B88">
      <w:pPr>
        <w:spacing w:line="480" w:lineRule="auto"/>
        <w:rPr>
          <w:rFonts w:ascii="Arial" w:hAnsi="Arial" w:cs="Arial"/>
        </w:rPr>
      </w:pPr>
    </w:p>
    <w:p w14:paraId="648F4C1A" w14:textId="68675CA2" w:rsidR="00114D71" w:rsidRDefault="00651B20" w:rsidP="00687B88">
      <w:pPr>
        <w:spacing w:line="480" w:lineRule="auto"/>
        <w:rPr>
          <w:rFonts w:ascii="Arial" w:hAnsi="Arial" w:cs="Arial"/>
        </w:rPr>
      </w:pPr>
      <w:r w:rsidRPr="00687B88">
        <w:rPr>
          <w:rFonts w:ascii="Arial" w:hAnsi="Arial" w:cs="Arial"/>
        </w:rPr>
        <w:t>Para continuar describiendo el comportamiento de la inactividad en UCI, los quiebres de inactividad medidos con actigrafía revelan la frecuencia con la que se realiza actividad física de cualquier intensidad dejando de lado periodos de inactividad. En la actualidad, existen recomendaciones sobre como monitorizar y describir este comportamiento, tales como describir tiempo total de inactividad, tiempos de inactividad hasta que ocurra un quiebre y la relación de estas medidas con otras variables (temporalidad, secuencias en el comportamiento, entre otros)</w:t>
      </w:r>
      <w:r w:rsidRPr="00687B88">
        <w:rPr>
          <w:rFonts w:ascii="Arial" w:hAnsi="Arial" w:cs="Arial"/>
        </w:rPr>
        <w:fldChar w:fldCharType="begin" w:fldLock="1"/>
      </w:r>
      <w:r w:rsidR="00687D21" w:rsidRPr="00687B88">
        <w:rPr>
          <w:rFonts w:ascii="Arial" w:hAnsi="Arial" w:cs="Arial"/>
        </w:rPr>
        <w:instrText>ADDIN CSL_CITATION {"citationItems":[{"id":"ITEM-1","itemData":{"DOI":"10.1177/2055207620905418","ISSN":"20552076","abstract":"Objective: With sensors, we are increasingly able to assess sitting behaviour during the day. However, there is no consensus among researchers on the best outcome measures for representing the accumulation of sedentary time during the day. Methods: We analysed the pattern measures of sedentary behaviour. Articles reporting patterns measures in adults, in which behaviour data was collected with a sensor were included. We discuss the strengths and weaknesses of the pattern measures of sedentary behaviour and provide recommendations for choosing objective measures of sedentary behaviour. Results: Most studies report the number of sitting bouts during the day. Others focus on the number of breaks and/or periods of physical activity. Simple measures of sedentary behaviour were most popular. More complex pattern measures, such as the Gini index or the half-life bout duration, that capture the distribution of lengths of sitting periods in a single number, were reported sparsely. The sedentary patterns that were reported in the various studies were difficult to compare, due to the differences among measurement devices, data analysis protocols and a lack of basic outcome parameters such as total wear-time and total sedentary time. Conclusions: Objective sedentary measures can be grouped into simple and complex measures of sedentary time accumulation during the day. These measures serve different goals. The answer to the question as to which measures are most suitable to report, is strongly dependent on the research question. We have shown that the reported measures were dependent on (a) the sensing method, (b) the classification method, (c) the experimental and data cleaning protocol and (d) the applied definitions of bouts and breaks. We recommend that studies should always report total wear-time, total sedentary time, number of bouts and at least one measure describing the diversity of bout lengths in the sedentary behaviour such as the half-life bout duration. Additionally, we recommend reporting the measurement conditions and data processing steps.","author":[{"dropping-particle":"","family":"Boerema","given":"Simone T.","non-dropping-particle":"","parse-names":false,"suffix":""},{"dropping-particle":"","family":"Velsen","given":"Lex","non-dropping-particle":"van","parse-names":false,"suffix":""},{"dropping-particle":"","family":"Vollenbroek","given":"Miriam M.R.","non-dropping-particle":"","parse-names":false,"suffix":""},{"dropping-particle":"","family":"Hermens","given":"Hermie J.","non-dropping-particle":"","parse-names":false,"suffix":""}],"container-title":"Digital Health","id":"ITEM-1","issued":{"date-parts":[["2020"]]},"page":"1-13","title":"Pattern measures of sedentary behaviour in adults: A literature review","type":"article-journal","volume":"6"},"uris":["http://www.mendeley.com/documents/?uuid=b40d6b1e-4c76-441f-9bdb-c21ccdaa8e3c"]}],"mendeley":{"formattedCitation":"[31]","plainTextFormattedCitation":"[31]","previouslyFormattedCitation":"[30]"},"properties":{"noteIndex":0},"schema":"https://github.com/citation-style-language/schema/raw/master/csl-citation.json"}</w:instrText>
      </w:r>
      <w:r w:rsidRPr="00687B88">
        <w:rPr>
          <w:rFonts w:ascii="Arial" w:hAnsi="Arial" w:cs="Arial"/>
        </w:rPr>
        <w:fldChar w:fldCharType="separate"/>
      </w:r>
      <w:r w:rsidR="00687D21" w:rsidRPr="00687B88">
        <w:rPr>
          <w:rFonts w:ascii="Arial" w:hAnsi="Arial" w:cs="Arial"/>
          <w:noProof/>
        </w:rPr>
        <w:t>[31]</w:t>
      </w:r>
      <w:r w:rsidRPr="00687B88">
        <w:rPr>
          <w:rFonts w:ascii="Arial" w:hAnsi="Arial" w:cs="Arial"/>
        </w:rPr>
        <w:fldChar w:fldCharType="end"/>
      </w:r>
      <w:r w:rsidRPr="00687B88">
        <w:rPr>
          <w:rFonts w:ascii="Arial" w:hAnsi="Arial" w:cs="Arial"/>
        </w:rPr>
        <w:t xml:space="preserve">. Se ha utilizado parte de esta descripción de la </w:t>
      </w:r>
    </w:p>
    <w:p w14:paraId="60598EDD" w14:textId="040BAFAE" w:rsidR="00114D71" w:rsidRPr="00114D71" w:rsidRDefault="00114D71" w:rsidP="00114D71">
      <w:pPr>
        <w:jc w:val="center"/>
        <w:rPr>
          <w:rFonts w:ascii="Arial" w:hAnsi="Arial" w:cs="Arial"/>
          <w:color w:val="808080" w:themeColor="background1" w:themeShade="80"/>
        </w:rPr>
      </w:pPr>
      <w:r w:rsidRPr="00114D71">
        <w:rPr>
          <w:rFonts w:ascii="Arial" w:hAnsi="Arial" w:cs="Arial"/>
          <w:color w:val="808080" w:themeColor="background1" w:themeShade="80"/>
        </w:rPr>
        <w:t>11</w:t>
      </w:r>
    </w:p>
    <w:p w14:paraId="59E86737" w14:textId="0E2CB7AE" w:rsidR="005A617D" w:rsidRPr="00687B88" w:rsidRDefault="00651B20" w:rsidP="00687B88">
      <w:pPr>
        <w:spacing w:line="480" w:lineRule="auto"/>
        <w:rPr>
          <w:rFonts w:ascii="Arial" w:hAnsi="Arial" w:cs="Arial"/>
        </w:rPr>
      </w:pPr>
      <w:r w:rsidRPr="00687B88">
        <w:rPr>
          <w:rFonts w:ascii="Arial" w:hAnsi="Arial" w:cs="Arial"/>
        </w:rPr>
        <w:t>monitorización de la inactividad en otras poblaciones como en niños</w:t>
      </w:r>
      <w:r w:rsidRPr="00687B88">
        <w:rPr>
          <w:rFonts w:ascii="Arial" w:hAnsi="Arial" w:cs="Arial"/>
        </w:rPr>
        <w:fldChar w:fldCharType="begin" w:fldLock="1"/>
      </w:r>
      <w:r w:rsidR="00687D21" w:rsidRPr="00687B88">
        <w:rPr>
          <w:rFonts w:ascii="Arial" w:hAnsi="Arial" w:cs="Arial"/>
        </w:rPr>
        <w:instrText>ADDIN CSL_CITATION {"citationItems":[{"id":"ITEM-1","itemData":{"DOI":"10.1371/journal.pone.0201947","ISBN":"1111111111","ISSN":"19326203","PMID":"30114269","abstract":"Introduction Total volumes of physical activity and sedentary behaviour have been associated with car-dio-metabolic risk profiles; however, little research has examined whether patterns of activity (e.g., prolonged bouts, frequency of breaks in sitting) impact cardio-metabolic risk. The aim of this review was to synthesise the evidence concerning associations between activity patterns and cardio-metabolic risk factors in children and adolescents aged 5–19 years. Materials and methods A systematic search of seven databases was completed in October 2017. Included studies were required to report associations between objectively-measured activity patterns and cardio-metabolic risk factors in children and/or adolescents, and be published between 1980 and 2017. At least two researchers independently screened each study, extracted data, and undertook risk of bias assessments. Results From the 15,947 articles identified, 29 were included in this review. Twenty-four studies were observational (cross-sectional and/or longitudinal); five were experimental. Ten studies examined physical activity patterns, whilst 19 studies examined sedentary patterns. Only one study examined both physical activity and sedentary time patterns. Considerable variation in definitions of activity patterns made it impossible to identify which activity patterns were most beneficial to children’s and adolescents’ cardio-metabolic health. However, potential insights and current research gaps were identified. inform future research on the impact of activity patterns on children’s and adolescents’ short- and longer-term health.","author":[{"dropping-particle":"","family":"Verswijveren","given":"Simone J.J.M.","non-dropping-particle":"","parse-names":false,"suffix":""},{"dropping-particle":"","family":"Lamb","given":"Karen E.","non-dropping-particle":"","parse-names":false,"suffix":""},{"dropping-particle":"","family":"Bell","given":"Lisa A.","non-dropping-particle":"","parse-names":false,"suffix":""},{"dropping-particle":"","family":"Timperio","given":"Anna","non-dropping-particle":"","parse-names":false,"suffix":""},{"dropping-particle":"","family":"Salmon","given":"Jo","non-dropping-particle":"","parse-names":false,"suffix":""},{"dropping-particle":"","family":"Ridgers","given":"Nicola D.","non-dropping-particle":"","parse-names":false,"suffix":""}],"container-title":"PLoS ONE","id":"ITEM-1","issue":"8","issued":{"date-parts":[["2018"]]},"page":"1-20","title":"Associations between activity patterns and cardio-metabolic risk factors in children and adolescents: A systematic review","type":"article-journal","volume":"13"},"uris":["http://www.mendeley.com/documents/?uuid=4aa4affd-3641-4f59-ba41-1c41a17cb217"]}],"mendeley":{"formattedCitation":"[32]","plainTextFormattedCitation":"[32]","previouslyFormattedCitation":"[31]"},"properties":{"noteIndex":0},"schema":"https://github.com/citation-style-language/schema/raw/master/csl-citation.json"}</w:instrText>
      </w:r>
      <w:r w:rsidRPr="00687B88">
        <w:rPr>
          <w:rFonts w:ascii="Arial" w:hAnsi="Arial" w:cs="Arial"/>
        </w:rPr>
        <w:fldChar w:fldCharType="separate"/>
      </w:r>
      <w:r w:rsidR="00687D21" w:rsidRPr="00687B88">
        <w:rPr>
          <w:rFonts w:ascii="Arial" w:hAnsi="Arial" w:cs="Arial"/>
          <w:noProof/>
        </w:rPr>
        <w:t>[32]</w:t>
      </w:r>
      <w:r w:rsidRPr="00687B88">
        <w:rPr>
          <w:rFonts w:ascii="Arial" w:hAnsi="Arial" w:cs="Arial"/>
        </w:rPr>
        <w:fldChar w:fldCharType="end"/>
      </w:r>
      <w:r w:rsidRPr="00687B88">
        <w:rPr>
          <w:rFonts w:ascii="Arial" w:hAnsi="Arial" w:cs="Arial"/>
        </w:rPr>
        <w:t>, adolescentes</w:t>
      </w:r>
      <w:r w:rsidRPr="00687B88">
        <w:rPr>
          <w:rFonts w:ascii="Arial" w:hAnsi="Arial" w:cs="Arial"/>
        </w:rPr>
        <w:fldChar w:fldCharType="begin" w:fldLock="1"/>
      </w:r>
      <w:r w:rsidR="00687D21" w:rsidRPr="00687B88">
        <w:rPr>
          <w:rFonts w:ascii="Arial" w:hAnsi="Arial" w:cs="Arial"/>
        </w:rPr>
        <w:instrText>ADDIN CSL_CITATION {"citationItems":[{"id":"ITEM-1","itemData":{"DOI":"10.1097/MD.0000000000015625","ISBN":"0000000000","ISSN":"15365964","PMID":"31083260","abstract":"Assessment of sedentary behaviors in children and adolescents with type 1 diabetes (T1D), relative to the method of insulin therapy used, and in comparison to healthy controls. The study group consisted of 215 children with T1D, including 109 (50.7%) insulin pen and 106 (49.3%) insulqsain pump users. The control group comprised 115 healthy children. The subjects' sedentary time was measured with a tri-axial accelerometer ActiGraph GT3X+, used continuously for 7 days. The diabetes group was characterized by a significantly higher “% in sedentary time” score (P = .024) and a lower “mean daily breaks in sedentary time” result (P = .007), which means that they spent much more time on sedentary activities compared to the control group. There were no significant differences between the children using insulin pump and insulin pen in the “% in sedentary time” score (P = .294) and “mean daily breaks in sedentary time” (P = .251). The T1D is a serious encumbrance, leading to longer duration of sedentary time, in comparison to healthy controls. The type of insulin therapy did not significantly affect the percentage of the wear-day spent in sedentary time and mean daily breaks in sedentary time.","author":[{"dropping-particle":"","family":"Czenczek-Lewandowska","given":"Ewelina","non-dropping-particle":"","parse-names":false,"suffix":""},{"dropping-particle":"","family":"Leszczak","given":"Justyna","non-dropping-particle":"","parse-names":false,"suffix":""},{"dropping-particle":"","family":"Weres","given":"Aneta","non-dropping-particle":"","parse-names":false,"suffix":""},{"dropping-particle":"","family":"Baran","given":"Joanna","non-dropping-particle":"","parse-names":false,"suffix":""},{"dropping-particle":"","family":"Wyszyńska","given":"Justyna","non-dropping-particle":"","parse-names":false,"suffix":""},{"dropping-particle":"","family":"Grzegorczyk","given":"Joanna","non-dropping-particle":"","parse-names":false,"suffix":""},{"dropping-particle":"","family":"Lewandowski","given":"Bogumił","non-dropping-particle":"","parse-names":false,"suffix":""},{"dropping-particle":"","family":"Mazur","given":"Artur","non-dropping-particle":"","parse-names":false,"suffix":""}],"container-title":"Medicine (United States)","id":"ITEM-1","issue":"19","issued":{"date-parts":[["2019"]]},"title":"Sedentary behaviors in children and adolescents with type 1 diabetes, depending on the insulin therapy used","type":"article-journal","volume":"98"},"uris":["http://www.mendeley.com/documents/?uuid=3c70286d-0735-4b85-bdde-e1bc1e8c7933"]}],"mendeley":{"formattedCitation":"[33]","plainTextFormattedCitation":"[33]","previouslyFormattedCitation":"[32]"},"properties":{"noteIndex":0},"schema":"https://github.com/citation-style-language/schema/raw/master/csl-citation.json"}</w:instrText>
      </w:r>
      <w:r w:rsidRPr="00687B88">
        <w:rPr>
          <w:rFonts w:ascii="Arial" w:hAnsi="Arial" w:cs="Arial"/>
        </w:rPr>
        <w:fldChar w:fldCharType="separate"/>
      </w:r>
      <w:r w:rsidR="00687D21" w:rsidRPr="00687B88">
        <w:rPr>
          <w:rFonts w:ascii="Arial" w:hAnsi="Arial" w:cs="Arial"/>
          <w:noProof/>
        </w:rPr>
        <w:t>[33]</w:t>
      </w:r>
      <w:r w:rsidRPr="00687B88">
        <w:rPr>
          <w:rFonts w:ascii="Arial" w:hAnsi="Arial" w:cs="Arial"/>
        </w:rPr>
        <w:fldChar w:fldCharType="end"/>
      </w:r>
      <w:r w:rsidRPr="00687B88">
        <w:rPr>
          <w:rFonts w:ascii="Arial" w:hAnsi="Arial" w:cs="Arial"/>
        </w:rPr>
        <w:t xml:space="preserve"> y adultos mayores</w:t>
      </w:r>
      <w:r w:rsidRPr="00687B88">
        <w:rPr>
          <w:rFonts w:ascii="Arial" w:hAnsi="Arial" w:cs="Arial"/>
        </w:rPr>
        <w:fldChar w:fldCharType="begin" w:fldLock="1"/>
      </w:r>
      <w:r w:rsidR="00687D21" w:rsidRPr="00687B88">
        <w:rPr>
          <w:rFonts w:ascii="Arial" w:hAnsi="Arial" w:cs="Arial"/>
        </w:rPr>
        <w:instrText>ADDIN CSL_CITATION {"citationItems":[{"id":"ITEM-1","itemData":{"DOI":"10.1186/s13690-023-01050-1","ISSN":"20493258","abstract":"Background: The association of breaks in sedentary time with outcomes of physical function can vary according to the time of day. We examined the association of the diurnal pattern of breaks in sedentary time with physical function outcomes in older adults. Methods: A cross-sectional analysis was conducted among 115 older adults (≥60 years). The overall and time-specific breaks (morning: 06:00–12:00; afternoon: 12:00–18:00; evening: 18:00–24:00) in sedentary time were assessed using a triaxial accelerometer (Actigraph GT3X+). A break in sedentary time was defined as at least 1 min where the accelerometer registered ≥100 cpm following a sedentary period. Five physical function outcomes were assessed: handgrip strength (dynamometer), balance ability (single leg stance), gait speed (11-m walking), basic functional mobility (time up and go), and lower-limb strength (five times sit-to-stand). Generalized linear models were used to examine the associations of the overall and time-specific breaks in sedentary time with the physical function outcomes. Results: Participants showed an average of 69.4 breaks in sedentary time during the day. Less frequent breaks in the evening (19.3) were found than that in the morning (24.3) and the afternoon (25.3) (p &lt; 0.05). Breaks in sedentary time during the day were associated with less time on gait speed in older adults (exp (β) = 0.92, 95% confidence interval [CI] 0.86–0.98; p &lt; 0.01). Time-specific analysis showed that breaks in sedentary time were associated with less time on gait speed (exp (β) = 0.94, 95% CI 0.91–0.97; p &lt; 0.01), basic functional mobility (exp (β) = 0.93, 95% CI 0.89–0.97; p &lt; 0.01), and lower-limb strength (exp (β) = 0.92, 95% CI 0.87–0.97; p &lt; 0.01) in the evening only. Conclusion: A break in sedentary time, particularly during the evening, was associated with better lower extremity strength in older adults. Further strategies to interrupt sedentary time with frequent breaks, with an emphasis on evening hours, can be helpful to maintain and improve physical function in older adults.","author":[{"dropping-particle":"","family":"Lai","given":"Ting Fu","non-dropping-particle":"","parse-names":false,"suffix":""},{"dropping-particle":"","family":"Liao","given":"Yung","non-dropping-particle":"","parse-names":false,"suffix":""},{"dropping-particle":"","family":"Lin","given":"Chien Yu","non-dropping-particle":"","parse-names":false,"suffix":""},{"dropping-particle":"","family":"Hsueh","given":"Ming Chun","non-dropping-particle":"","parse-names":false,"suffix":""},{"dropping-particle":"","family":"Koohsari","given":"Mohammad Javad","non-dropping-particle":"","parse-names":false,"suffix":""},{"dropping-particle":"","family":"Shibata","given":"Ai","non-dropping-particle":"","parse-names":false,"suffix":""},{"dropping-particle":"","family":"Oka","given":"Koichiro","non-dropping-particle":"","parse-names":false,"suffix":""},{"dropping-particle":"","family":"Chan","given":"Ding Cheng","non-dropping-particle":"","parse-names":false,"suffix":""}],"container-title":"Archives of Public Health","id":"ITEM-1","issue":"1","issued":{"date-parts":[["2023"]]},"page":"1-9","publisher":"BioMed Central","title":"Diurnal pattern of breaks in sedentary time and the physical function of older adults","type":"article-journal","volume":"81"},"uris":["http://www.mendeley.com/documents/?uuid=c83b277c-8d73-43bc-a871-9769b23ba7dc"]}],"mendeley":{"formattedCitation":"[34]","plainTextFormattedCitation":"[34]","previouslyFormattedCitation":"[33]"},"properties":{"noteIndex":0},"schema":"https://github.com/citation-style-language/schema/raw/master/csl-citation.json"}</w:instrText>
      </w:r>
      <w:r w:rsidRPr="00687B88">
        <w:rPr>
          <w:rFonts w:ascii="Arial" w:hAnsi="Arial" w:cs="Arial"/>
        </w:rPr>
        <w:fldChar w:fldCharType="separate"/>
      </w:r>
      <w:r w:rsidR="00687D21" w:rsidRPr="00687B88">
        <w:rPr>
          <w:rFonts w:ascii="Arial" w:hAnsi="Arial" w:cs="Arial"/>
          <w:noProof/>
        </w:rPr>
        <w:t>[34]</w:t>
      </w:r>
      <w:r w:rsidRPr="00687B88">
        <w:rPr>
          <w:rFonts w:ascii="Arial" w:hAnsi="Arial" w:cs="Arial"/>
        </w:rPr>
        <w:fldChar w:fldCharType="end"/>
      </w:r>
      <w:r w:rsidRPr="00687B88">
        <w:rPr>
          <w:rFonts w:ascii="Arial" w:hAnsi="Arial" w:cs="Arial"/>
        </w:rPr>
        <w:t>.</w:t>
      </w:r>
      <w:r w:rsidR="005A617D" w:rsidRPr="00687B88">
        <w:rPr>
          <w:rFonts w:ascii="Arial" w:hAnsi="Arial" w:cs="Arial"/>
        </w:rPr>
        <w:t xml:space="preserve"> </w:t>
      </w:r>
      <w:r w:rsidR="00ED0DD7" w:rsidRPr="00687B88">
        <w:rPr>
          <w:rFonts w:ascii="Arial" w:hAnsi="Arial" w:cs="Arial"/>
        </w:rPr>
        <w:t>La información sobre los patrones de inactividad</w:t>
      </w:r>
      <w:r w:rsidR="005A617D" w:rsidRPr="00687B88">
        <w:rPr>
          <w:rFonts w:ascii="Arial" w:hAnsi="Arial" w:cs="Arial"/>
        </w:rPr>
        <w:t xml:space="preserve"> </w:t>
      </w:r>
      <w:r w:rsidR="00ED0DD7" w:rsidRPr="00687B88">
        <w:rPr>
          <w:rFonts w:ascii="Arial" w:hAnsi="Arial" w:cs="Arial"/>
        </w:rPr>
        <w:t>es considerada</w:t>
      </w:r>
      <w:r w:rsidR="005A617D" w:rsidRPr="00687B88">
        <w:rPr>
          <w:rFonts w:ascii="Arial" w:hAnsi="Arial" w:cs="Arial"/>
        </w:rPr>
        <w:t xml:space="preserve"> importante para el desarrollo de </w:t>
      </w:r>
      <w:r w:rsidR="00ED0DD7" w:rsidRPr="00687B88">
        <w:rPr>
          <w:rFonts w:ascii="Arial" w:hAnsi="Arial" w:cs="Arial"/>
        </w:rPr>
        <w:t>investigación científica, guías clínicas y práctica en salud</w:t>
      </w:r>
      <w:r w:rsidR="00ED0DD7" w:rsidRPr="00687B88">
        <w:rPr>
          <w:rFonts w:ascii="Arial" w:hAnsi="Arial" w:cs="Arial"/>
        </w:rPr>
        <w:fldChar w:fldCharType="begin" w:fldLock="1"/>
      </w:r>
      <w:r w:rsidR="00687D21" w:rsidRPr="00687B88">
        <w:rPr>
          <w:rFonts w:ascii="Arial" w:hAnsi="Arial" w:cs="Arial"/>
        </w:rPr>
        <w:instrText>ADDIN CSL_CITATION {"citationItems":[{"id":"ITEM-1","itemData":{"DOI":"10.1177/2055207620905418","ISSN":"20552076","abstract":"Objective: With sensors, we are increasingly able to assess sitting behaviour during the day. However, there is no consensus among researchers on the best outcome measures for representing the accumulation of sedentary time during the day. Methods: We analysed the pattern measures of sedentary behaviour. Articles reporting patterns measures in adults, in which behaviour data was collected with a sensor were included. We discuss the strengths and weaknesses of the pattern measures of sedentary behaviour and provide recommendations for choosing objective measures of sedentary behaviour. Results: Most studies report the number of sitting bouts during the day. Others focus on the number of breaks and/or periods of physical activity. Simple measures of sedentary behaviour were most popular. More complex pattern measures, such as the Gini index or the half-life bout duration, that capture the distribution of lengths of sitting periods in a single number, were reported sparsely. The sedentary patterns that were reported in the various studies were difficult to compare, due to the differences among measurement devices, data analysis protocols and a lack of basic outcome parameters such as total wear-time and total sedentary time. Conclusions: Objective sedentary measures can be grouped into simple and complex measures of sedentary time accumulation during the day. These measures serve different goals. The answer to the question as to which measures are most suitable to report, is strongly dependent on the research question. We have shown that the reported measures were dependent on (a) the sensing method, (b) the classification method, (c) the experimental and data cleaning protocol and (d) the applied definitions of bouts and breaks. We recommend that studies should always report total wear-time, total sedentary time, number of bouts and at least one measure describing the diversity of bout lengths in the sedentary behaviour such as the half-life bout duration. Additionally, we recommend reporting the measurement conditions and data processing steps.","author":[{"dropping-particle":"","family":"Boerema","given":"Simone T.","non-dropping-particle":"","parse-names":false,"suffix":""},{"dropping-particle":"","family":"Velsen","given":"Lex","non-dropping-particle":"van","parse-names":false,"suffix":""},{"dropping-particle":"","family":"Vollenbroek","given":"Miriam M.R.","non-dropping-particle":"","parse-names":false,"suffix":""},{"dropping-particle":"","family":"Hermens","given":"Hermie J.","non-dropping-particle":"","parse-names":false,"suffix":""}],"container-title":"Digital Health","id":"ITEM-1","issued":{"date-parts":[["2020"]]},"page":"1-13","title":"Pattern measures of sedentary behaviour in adults: A literature review","type":"article-journal","volume":"6"},"uris":["http://www.mendeley.com/documents/?uuid=b40d6b1e-4c76-441f-9bdb-c21ccdaa8e3c"]}],"mendeley":{"formattedCitation":"[31]","plainTextFormattedCitation":"[31]","previouslyFormattedCitation":"[30]"},"properties":{"noteIndex":0},"schema":"https://github.com/citation-style-language/schema/raw/master/csl-citation.json"}</w:instrText>
      </w:r>
      <w:r w:rsidR="00ED0DD7" w:rsidRPr="00687B88">
        <w:rPr>
          <w:rFonts w:ascii="Arial" w:hAnsi="Arial" w:cs="Arial"/>
        </w:rPr>
        <w:fldChar w:fldCharType="separate"/>
      </w:r>
      <w:r w:rsidR="00687D21" w:rsidRPr="00687B88">
        <w:rPr>
          <w:rFonts w:ascii="Arial" w:hAnsi="Arial" w:cs="Arial"/>
          <w:noProof/>
        </w:rPr>
        <w:t>[31]</w:t>
      </w:r>
      <w:r w:rsidR="00ED0DD7" w:rsidRPr="00687B88">
        <w:rPr>
          <w:rFonts w:ascii="Arial" w:hAnsi="Arial" w:cs="Arial"/>
        </w:rPr>
        <w:fldChar w:fldCharType="end"/>
      </w:r>
      <w:r w:rsidR="00ED0DD7" w:rsidRPr="00687B88">
        <w:rPr>
          <w:rFonts w:ascii="Arial" w:hAnsi="Arial" w:cs="Arial"/>
        </w:rPr>
        <w:t>.</w:t>
      </w:r>
    </w:p>
    <w:p w14:paraId="71AD69CC" w14:textId="3EC2493F" w:rsidR="00871739" w:rsidRPr="00687B88" w:rsidRDefault="00871739" w:rsidP="00687B88">
      <w:pPr>
        <w:spacing w:line="480" w:lineRule="auto"/>
        <w:rPr>
          <w:rFonts w:ascii="Arial" w:hAnsi="Arial" w:cs="Arial"/>
        </w:rPr>
      </w:pPr>
    </w:p>
    <w:p w14:paraId="251A5CFF" w14:textId="1FB58570" w:rsidR="00871739" w:rsidRPr="00687B88" w:rsidRDefault="00871739" w:rsidP="00687B88">
      <w:pPr>
        <w:spacing w:line="480" w:lineRule="auto"/>
        <w:rPr>
          <w:rFonts w:ascii="Arial" w:hAnsi="Arial" w:cs="Arial"/>
        </w:rPr>
      </w:pPr>
      <w:r w:rsidRPr="00687B88">
        <w:rPr>
          <w:rFonts w:ascii="Arial" w:hAnsi="Arial" w:cs="Arial"/>
        </w:rPr>
        <w:t>La organización mundial de la salud (OMS) declara como buenas prácticas limitar el tiempo dedicado a actividades sedentarias y sustituirlo por actividad física de cualquier intensidad</w:t>
      </w:r>
      <w:r w:rsidRPr="00687B88">
        <w:rPr>
          <w:rFonts w:ascii="Arial" w:hAnsi="Arial" w:cs="Arial"/>
        </w:rPr>
        <w:fldChar w:fldCharType="begin" w:fldLock="1"/>
      </w:r>
      <w:r w:rsidR="003037EE" w:rsidRPr="00687B88">
        <w:rPr>
          <w:rFonts w:ascii="Arial" w:hAnsi="Arial" w:cs="Arial"/>
        </w:rPr>
        <w:instrText>ADDIN CSL_CITATION {"citationItems":[{"id":"ITEM-1","itemData":{"ISBN":"9789241550536","abstract":"Uno de cada cinco niños sufre obesidad, una enfermedad crónica que empeora notablemente la calidad de vida y aumenta el riesgo de padecer, entre otras, enfermedades cardiovasculares, hipertensión y diabetes. Sin embargo, aún hay poca consciencia en la sociedad de la gravedad de esta epidemia, cuyo tratamiento más eficaz es la prevención. Para ello, la primera infancia constituye, según los expertos, una etapa crucial para la instauración de hábitos saludables y evitar desarrollar una obesidad que en la mayoría de los casos persiste hasta la adolescencia. Tanto que la Organización Mundial de la Salud (OMS) ha publicado este miércoles por primera vez una guía sobre actividad física, sedentarismo y sueño para niños de cero a cuatro años. A partir del año, recomienda realizar al menos tres horas de actividad física al día; nada de tiempo de pantallas hasta los dos años, y a partir de esa edad, lo menos posible, con una hora diaria como máximo.","author":[{"dropping-particle":"","family":"Geneva: World Health Organization","given":"","non-dropping-particle":"","parse-names":false,"suffix":""}],"container-title":"World Health Organization","id":"ITEM-1","issued":{"date-parts":[["2020"]]},"number-of-pages":"4","title":"WHO Guidelines on Physical Activity and Sedentary Behaviour","type":"book"},"uris":["http://www.mendeley.com/documents/?uuid=fdba5b5b-c183-4f28-88b2-a3f4669b3589"]}],"mendeley":{"formattedCitation":"[23]","plainTextFormattedCitation":"[23]","previouslyFormattedCitation":"[23]"},"properties":{"noteIndex":0},"schema":"https://github.com/citation-style-language/schema/raw/master/csl-citation.json"}</w:instrText>
      </w:r>
      <w:r w:rsidRPr="00687B88">
        <w:rPr>
          <w:rFonts w:ascii="Arial" w:hAnsi="Arial" w:cs="Arial"/>
        </w:rPr>
        <w:fldChar w:fldCharType="separate"/>
      </w:r>
      <w:r w:rsidR="004B2EA2" w:rsidRPr="00687B88">
        <w:rPr>
          <w:rFonts w:ascii="Arial" w:hAnsi="Arial" w:cs="Arial"/>
          <w:noProof/>
        </w:rPr>
        <w:t>[23]</w:t>
      </w:r>
      <w:r w:rsidRPr="00687B88">
        <w:rPr>
          <w:rFonts w:ascii="Arial" w:hAnsi="Arial" w:cs="Arial"/>
        </w:rPr>
        <w:fldChar w:fldCharType="end"/>
      </w:r>
      <w:r w:rsidRPr="00687B88">
        <w:rPr>
          <w:rFonts w:ascii="Arial" w:hAnsi="Arial" w:cs="Arial"/>
        </w:rPr>
        <w:t>. En la UCI, el desafío es mayor, ya que el movimiento depende principalmente del personal de salud y puede tener mejores resultados si existe un trabajo en equipo</w:t>
      </w:r>
      <w:r w:rsidRPr="00687B88">
        <w:rPr>
          <w:rFonts w:ascii="Arial" w:hAnsi="Arial" w:cs="Arial"/>
        </w:rPr>
        <w:fldChar w:fldCharType="begin" w:fldLock="1"/>
      </w:r>
      <w:r w:rsidR="003037EE" w:rsidRPr="00687B88">
        <w:rPr>
          <w:rFonts w:ascii="Arial" w:hAnsi="Arial" w:cs="Arial"/>
        </w:rPr>
        <w:instrText>ADDIN CSL_CITATION {"citationItems":[{"id":"ITEM-1","itemData":{"DOI":"10.1186/s13613-016-0184-y","ISSN":"21105820","abstract":"Background: Early mobilization in critically ill patients has been shown to prevent bed-rest-associated morbidity. Reported reasons for not mobilizing patients, thereby excluding or delaying such intervention, are diverse and comprise safety considerations for high-risk critically ill patients with multiple organ support systems. This study sought to demonstrate that early mobilization performed within the first 24 h of ICU admission proves to be feasible and well tolerated in the vast majority of critically ill patients. Results: General practice data were collected for 171 consecutive admissions to our ICU over a 2-month period according to a local, standardized, early mobilization protocol. The total period covered 731 patient-days, 22 (3 %) of which met our local exclusion criteria for mobilization. Of the remaining 709 patient-days, early mobilization was achieved on 86 % of them, bed-to-chair transfer on 74 %, and at least one physical therapy session on 59 %. Median time interval from ICU admission to the first early mobilization activity was 19 h (IQR = 15–23). In patients on mechanical ventilation (51 %), accounting for 46 % of patient-days, 35 % were administered vasopressors and 11 % continuous renal replacement therapy. Within this group, bed-to-chair transfer was achieved on 68 % of patient-days and at least one early mobilization activity on 80 %. Limiting factors to start early mobilization included restricted staffing capacities, diagnostic or surgical procedures, patients’ refusal, as well as severe hemodynamic instability. Hemodynamic parameters were rarely affected during mobilization, causing interruption in only 0.8 % of all activities, primarily due to reversible hypotension or arrhythmia. In general, all activities were well tolerated, while patients were able to self-regulate their active early mobilization. Patients’ subjective perception of physical therapy was reported to be enjoyable. Conclusions: Mobilization within the first 24 h of ICU admission is achievable in the majority of critical ill patients, in spite of mechanical ventilation, vasopressor administration, or renal replacement therapy.","author":[{"dropping-particle":"","family":"Hickmann","given":"Cheryl Elizabeth","non-dropping-particle":"","parse-names":false,"suffix":""},{"dropping-particle":"","family":"Castanares-Zapatero","given":"Diego","non-dropping-particle":"","parse-names":false,"suffix":""},{"dropping-particle":"","family":"Bialais","given":"Emilie","non-dropping-particle":"","parse-names":false,"suffix":""},{"dropping-particle":"","family":"Dugernier","given":"Jonathan","non-dropping-particle":"","parse-names":false,"suffix":""},{"dropping-particle":"","family":"Tordeur","given":"Antoine","non-dropping-particle":"","parse-names":false,"suffix":""},{"dropping-particle":"","family":"Colmant","given":"Lise","non-dropping-particle":"","parse-names":false,"suffix":""},{"dropping-particle":"","family":"Wittebole","given":"Xavier","non-dropping-particle":"","parse-names":false,"suffix":""},{"dropping-particle":"","family":"Tirone","given":"Giuseppe","non-dropping-particle":"","parse-names":false,"suffix":""},{"dropping-particle":"","family":"Roeseler","given":"Jean","non-dropping-particle":"","parse-names":false,"suffix":""},{"dropping-particle":"","family":"Laterre","given":"Pierre François","non-dropping-particle":"","parse-names":false,"suffix":""}],"container-title":"Annals of Intensive Care","id":"ITEM-1","issue":"1","issued":{"date-parts":[["2016"]]},"publisher":"Springer Paris","title":"Teamwork enables high level of early mobilization in critically ill patients","type":"article-journal","volume":"6"},"uris":["http://www.mendeley.com/documents/?uuid=44c24ab3-ee1f-4244-9a67-a8e21a22eea5"]},{"id":"ITEM-2","itemData":{"DOI":"10.1016/j.ccc.2016.12.005","ISSN":"15578232","PMID":"28284292","abstract":"The ABCDEF bundle represents an evidence-based guide for clinicians to approach the organizational changes needed for optimizing intensive care unit patient recovery and outcomes. This article reviews the core evidence and features behind the ABCDEF bundle. The bundle has individual components that are clearly defined, flexible to implement, and help empower multidisciplinary clinicians and families in the shared care of the critically ill. The ABCDEF bundle helps guide well-rounded patient care and optimal resource utilization resulting in more interactive intensive care unit patients with better controlled pain, who can safely participate in higher-order physical and cognitive activities at the earliest point in their critical illness.","author":[{"dropping-particle":"","family":"Marra","given":"Annachiara","non-dropping-particle":"","parse-names":false,"suffix":""},{"dropping-particle":"","family":"Ely","given":"E. Wesley","non-dropping-particle":"","parse-names":false,"suffix":""},{"dropping-particle":"","family":"Pandharipande","given":"Pratik P.","non-dropping-particle":"","parse-names":false,"suffix":""},{"dropping-particle":"","family":"Patel","given":"Mayur B.","non-dropping-particle":"","parse-names":false,"suffix":""}],"container-title":"Critical Care Clinics","id":"ITEM-2","issue":"2","issued":{"date-parts":[["2017"]]},"page":"225-243","title":"The ABCDEF Bundle in Critical Care","type":"article-journal","volume":"33"},"uris":["http://www.mendeley.com/documents/?uuid=e5848ac7-69f2-4071-bc90-d11522e25798"]}],"mendeley":{"formattedCitation":"[8,14]","plainTextFormattedCitation":"[8,14]","previouslyFormattedCitation":"[8,14]"},"properties":{"noteIndex":0},"schema":"https://github.com/citation-style-language/schema/raw/master/csl-citation.json"}</w:instrText>
      </w:r>
      <w:r w:rsidRPr="00687B88">
        <w:rPr>
          <w:rFonts w:ascii="Arial" w:hAnsi="Arial" w:cs="Arial"/>
        </w:rPr>
        <w:fldChar w:fldCharType="separate"/>
      </w:r>
      <w:r w:rsidR="004B2EA2" w:rsidRPr="00687B88">
        <w:rPr>
          <w:rFonts w:ascii="Arial" w:hAnsi="Arial" w:cs="Arial"/>
          <w:noProof/>
        </w:rPr>
        <w:t>[8,14]</w:t>
      </w:r>
      <w:r w:rsidRPr="00687B88">
        <w:rPr>
          <w:rFonts w:ascii="Arial" w:hAnsi="Arial" w:cs="Arial"/>
        </w:rPr>
        <w:fldChar w:fldCharType="end"/>
      </w:r>
      <w:r w:rsidRPr="00687B88">
        <w:rPr>
          <w:rFonts w:ascii="Arial" w:hAnsi="Arial" w:cs="Arial"/>
        </w:rPr>
        <w:t>. En consecuencia, considerando que la hospitalización en UCI por sí sola contribuye a la inactividad</w:t>
      </w:r>
      <w:r w:rsidRPr="00687B88">
        <w:rPr>
          <w:rFonts w:ascii="Arial" w:hAnsi="Arial" w:cs="Arial"/>
        </w:rPr>
        <w:fldChar w:fldCharType="begin" w:fldLock="1"/>
      </w:r>
      <w:r w:rsidR="003037EE" w:rsidRPr="00687B88">
        <w:rPr>
          <w:rFonts w:ascii="Arial" w:hAnsi="Arial" w:cs="Arial"/>
        </w:rPr>
        <w:instrText>ADDIN CSL_CITATION {"citationItems":[{"id":"ITEM-1","itemData":{"DOI":"10.1097/CCM.0000000000003299","ISSN":"15300293","abstract":"OBJECTIVE: To update and expand the 2013 Clinical Practice Guidelines for the Management of Pain, Agitation, and Delirium in Adult Patients in the ICU. DESIGN: Thirty-two international experts, four methodologists, and four critical illness survivors met virtually at least monthly. All section groups gathered face-to-face at annual Society of Critical Care Medicine congresses; virtual connections included those unable to attend. A formal conflict of interest policy was developed a priori and enforced throughout the process. Teleconferences and electronic discussions among subgroups and whole panel were part of the guidelines' development. A general content review was completed face-to-face by all panel members in January 2017. METHODS: Content experts, methodologists, and ICU survivors were represented in each of the five sections of the guidelines: Pain, Agitation/sedation, Delirium, Immobility (mobilization/rehabilitation), and Sleep (disruption). Each section created Population, Intervention, Comparison, and Outcome, and nonactionable, descriptive questions based on perceived clinical relevance. The guideline group then voted their ranking, and patients prioritized their importance. For each Population, Intervention, Comparison, and Outcome question, sections searched the best available evidence, determined its quality, and formulated recommendations as \"strong,\" \"conditional,\" or \"good\" practice statements based on Grading of Recommendations Assessment, Development and Evaluation principles. In addition, evidence gaps and clinical caveats were explicitly identified. RESULTS: The Pain, Agitation/Sedation, Delirium, Immobility (mobilization/rehabilitation), and Sleep (disruption) panel issued 37 recommendations (three strong and 34 conditional), two good practice statements, and 32 ungraded, nonactionable statements. Three questions from the patient-centered prioritized question list remained without recommendation. CONCLUSIONS: We found substantial agreement among a large, interdisciplinary cohort of international experts regarding evidence supporting recommendations, and the remaining literature gaps in the assessment, prevention, and treatment of Pain, Agitation/sedation, Delirium, Immobility (mobilization/rehabilitation), and Sleep (disruption) in critically ill adults. Highlighting this evidence and the research needs will improve Pain, Agitation/sedation, Delirium, Immobility (mobilization/rehabilitation), and Sleep (disruption) management and p…","author":[{"dropping-particle":"","family":"Devlin","given":"John W.","non-dropping-particle":"","parse-names":false,"suffix":""},{"dropping-particle":"","family":"Skrobik","given":"Yoanna","non-dropping-particle":"","parse-names":false,"suffix":""},{"dropping-particle":"","family":"Gélinas","given":"Céline","non-dropping-particle":"","parse-names":false,"suffix":""},{"dropping-particle":"","family":"Needham","given":"Dale M.","non-dropping-particle":"","parse-names":false,"suffix":""},{"dropping-particle":"","family":"Slooter","given":"Arjen J.C.","non-dropping-particle":"","parse-names":false,"suffix":""},{"dropping-particle":"","family":"Pandharipande","given":"Pratik P.","non-dropping-particle":"","parse-names":false,"suffix":""},{"dropping-particle":"","family":"Watson","given":"Paula L.","non-dropping-particle":"","parse-names":false,"suffix":""},{"dropping-particle":"","family":"Weinhouse","given":"Gerald L.","non-dropping-particle":"","parse-names":false,"suffix":""},{"dropping-particle":"","family":"Nunnally","given":"Mark E.","non-dropping-particle":"","parse-names":false,"suffix":""},{"dropping-particle":"","family":"Rochwerg","given":"Bram","non-dropping-particle":"","parse-names":false,"suffix":""},{"dropping-particle":"","family":"Balas","given":"Michele C.","non-dropping-particle":"","parse-names":false,"suffix":""},{"dropping-particle":"","family":"Boogaard","given":"Mark","non-dropping-particle":"van den","parse-names":false,"suffix":""},{"dropping-particle":"","family":"Bosma","given":"Karen J.","non-dropping-particle":"","parse-names":false,"suffix":""},{"dropping-particle":"","family":"Brummel","given":"Nathaniel E.","non-dropping-particle":"","parse-names":false,"suffix":""},{"dropping-particle":"","family":"Chanques","given":"Gerald","non-dropping-particle":"","parse-names":false,"suffix":""},{"dropping-particle":"","family":"Denehy","given":"Linda","non-dropping-particle":"","parse-names":false,"suffix":""},{"dropping-particle":"","family":"Drouot","given":"Xavier","non-dropping-particle":"","parse-names":false,"suffix":""},{"dropping-particle":"","family":"Fraser","given":"Gilles L.","non-dropping-particle":"","parse-names":false,"suffix":""},{"dropping-particle":"","family":"Harris","given":"Jocelyn E.","non-dropping-particle":"","parse-names":false,"suffix":""},{"dropping-particle":"","family":"Joffe","given":"Aaron M.","non-dropping-particle":"","parse-names":false,"suffix":""},{"dropping-particle":"","family":"Kho","given":"Michelle E.","non-dropping-particle":"","parse-names":false,"suffix":""},{"dropping-particle":"","family":"Kress","given":"John P.","non-dropping-particle":"","parse-names":false,"suffix":""},{"dropping-particle":"","family":"Lanphere","given":"Julie A.","non-dropping-particle":"","parse-names":false,"suffix":""},{"dropping-particle":"","family":"McKinley","given":"Sharon","non-dropping-particle":"","parse-names":false,"suffix":""},{"dropping-particle":"","family":"Neufeld","given":"Karin J.","non-dropping-particle":"","parse-names":false,"suffix":""},{"dropping-particle":"","family":"Pisani","given":"Margaret A.","non-dropping-particle":"","parse-names":false,"suffix":""},{"dropping-particle":"","family":"Payen","given":"Jean Francois","non-dropping-particle":"","parse-names":false,"suffix":""},{"dropping-particle":"","family":"Pun","given":"Brenda T.","non-dropping-particle":"","parse-names":false,"suffix":""},{"dropping-particle":"","family":"Puntillo","given":"Kathleen A.","non-dropping-particle":"","parse-names":false,"suffix":""},{"dropping-particle":"","family":"Riker","given":"Richard R.","non-dropping-particle":"","parse-names":false,"suffix":""},{"dropping-particle":"","family":"Robinson","given":"Bryce R.H.","non-dropping-particle":"","parse-names":false,"suffix":""},{"dropping-particle":"","family":"Shehabi","given":"Yahya","non-dropping-particle":"","parse-names":false,"suffix":""},{"dropping-particle":"","family":"Szumita","given":"Paul M.","non-dropping-particle":"","parse-names":false,"suffix":""},{"dropping-particle":"","family":"Winkelman","given":"Chris","non-dropping-particle":"","parse-names":false,"suffix":""},{"dropping-particle":"","family":"Centofanti","given":"John E.","non-dropping-particle":"","parse-names":false,"suffix":""},{"dropping-particle":"","family":"Price","given":"Carrie","non-dropping-particle":"","parse-names":false,"suffix":""},{"dropping-particle":"","family":"Nikayin","given":"Sina","non-dropping-particle":"","parse-names":false,"suffix":""},{"dropping-particle":"","family":"Misak","given":"Cheryl J.","non-dropping-particle":"","parse-names":false,"suffix":""},{"dropping-particle":"","family":"Flood","given":"Pamela D.","non-dropping-particle":"","parse-names":false,"suffix":""},{"dropping-particle":"","family":"Kiedrowski","given":"Ken","non-dropping-particle":"","parse-names":false,"suffix":""},{"dropping-particle":"","family":"Alhazzani","given":"Waleed","non-dropping-particle":"","parse-names":false,"suffix":""}],"container-title":"Critical care medicine","id":"ITEM-1","issued":{"date-parts":[["2018"]]},"title":"Clinical Practice Guidelines for the Prevention and Management of Pain, Agitation/Sedation, Delirium, Immobility, and Sleep Disruption in Adult Patients in the ICU","type":"article-journal"},"uris":["http://www.mendeley.com/documents/?uuid=73343138-89cc-480f-918b-bb07a4481851"]}],"mendeley":{"formattedCitation":"[1]","plainTextFormattedCitation":"[1]","previouslyFormattedCitation":"[1]"},"properties":{"noteIndex":0},"schema":"https://github.com/citation-style-language/schema/raw/master/csl-citation.json"}</w:instrText>
      </w:r>
      <w:r w:rsidRPr="00687B88">
        <w:rPr>
          <w:rFonts w:ascii="Arial" w:hAnsi="Arial" w:cs="Arial"/>
        </w:rPr>
        <w:fldChar w:fldCharType="separate"/>
      </w:r>
      <w:r w:rsidR="004B2EA2" w:rsidRPr="00687B88">
        <w:rPr>
          <w:rFonts w:ascii="Arial" w:hAnsi="Arial" w:cs="Arial"/>
          <w:noProof/>
        </w:rPr>
        <w:t>[1]</w:t>
      </w:r>
      <w:r w:rsidRPr="00687B88">
        <w:rPr>
          <w:rFonts w:ascii="Arial" w:hAnsi="Arial" w:cs="Arial"/>
        </w:rPr>
        <w:fldChar w:fldCharType="end"/>
      </w:r>
      <w:r w:rsidRPr="00687B88">
        <w:rPr>
          <w:rFonts w:ascii="Arial" w:hAnsi="Arial" w:cs="Arial"/>
        </w:rPr>
        <w:t xml:space="preserve"> y existen bajos niveles de actividad física en los pacientes críticos</w:t>
      </w:r>
      <w:r w:rsidRPr="00687B88">
        <w:rPr>
          <w:rFonts w:ascii="Arial" w:hAnsi="Arial" w:cs="Arial"/>
        </w:rPr>
        <w:fldChar w:fldCharType="begin" w:fldLock="1"/>
      </w:r>
      <w:r w:rsidR="00687D21" w:rsidRPr="00687B88">
        <w:rPr>
          <w:rFonts w:ascii="Arial" w:hAnsi="Arial" w:cs="Arial"/>
        </w:rPr>
        <w:instrText>ADDIN CSL_CITATION {"citationItems":[{"id":"ITEM-1","itemData":{"DOI":"10.1097/JAT.0000000000000193","ISBN":"0000000000000","author":[{"dropping-particle":"","family":"González-seguel","given":"Felipe","non-dropping-particle":"","parse-names":false,"suffix":""},{"dropping-particle":"","family":"Camus-molina","given":"Agustín","non-dropping-particle":"","parse-names":false,"suffix":""},{"dropping-particle":"","family":"Leiva-corvalán","given":"Macarena","non-dropping-particle":"","parse-names":false,"suffix":""},{"dropping-particle":"","family":"Mayer","given":"Kirby P","non-dropping-particle":"","parse-names":false,"suffix":""},{"dropping-particle":"","family":"Leppe","given":"Jaime","non-dropping-particle":"","parse-names":false,"suffix":""}],"container-title":"Journal of Acute Care Physical Therapy","id":"ITEM-1","issue":"0","issued":{"date-parts":[["2022"]]},"page":"1-8","title":"Uninterrupted Actigraphy Recording to Feasibility Prospective Observational Study","type":"article-journal","volume":"00"},"uris":["http://www.mendeley.com/documents/?uuid=42188fa3-4202-47e6-b1d1-9cc4f6618560"]},{"id":"ITEM-2","itemData":{"DOI":"10.1016/j.hrtlng.2020.02.002","ISSN":"01479563","author":[{"dropping-particle":"","family":"Gupta","given":"Prerna","non-dropping-particle":"","parse-names":false,"suffix":""},{"dropping-particle":"","family":"Martin","given":"Jennifer L.","non-dropping-particle":"","parse-names":false,"suffix":""},{"dropping-particle":"","family":"Needham","given":"Dale M.","non-dropping-particle":"","parse-names":false,"suffix":""},{"dropping-particle":"","family":"Vangala","given":"Sitaram","non-dropping-particle":"","parse-names":false,"suffix":""},{"dropping-particle":"","family":"Colantuoni","given":"Elizabeth","non-dropping-particle":"","parse-names":false,"suffix":""},{"dropping-particle":"","family":"Kamdar","given":"Biren B.","non-dropping-particle":"","parse-names":false,"suffix":""}],"container-title":"Heart &amp; Lung","id":"ITEM-2","issue":"4","issued":{"date-parts":[["2020","7"]]},"page":"398-406","title":"Use of actigraphy to characterize inactivity and activity in patients in a medical ICU","type":"article-journal","volume":"49"},"uris":["http://www.mendeley.com/documents/?uuid=7bb8c953-3aa9-4232-a02a-cca505a729fb"]},{"id":"ITEM-3","itemData":{"DOI":"10.1177/0885066617716377","ISSN":"15251489","abstract":"Background: Physical rehabilitation can benefit critically ill patients during intensive care unit (ICU) admission, but routine clinical practice remains inconsistent nor examined in prolonged mechanical ventilation patients transferred to a specialist ventilator weaning unit (VWU). Behavioral mapping is a sampling approach that allows detailed reporting of physical activity profiles. The objective of this study was to characterize the physical activity profile of critically ill patients in a UK ICU and VWU. Methods: Single-center, prospective observational study in a university teaching hospital. Patient observations, conducted Monday through Sunday from 08:30 am to 08:00 pm and for 1 minute every 10 minutes, included data points of patient location, people in attendance, and highest level of activity. Descriptive statistics were utilized to analyze and report data. Results: Forty-two ICU and 11 VWU patients were recruited, with 2646 and 693 observations, respectively, recorded. In the ICU, patients spent a median (interquartile range) of 100% (96%-100%) of the day (10.5 [10.0-10.5] hours) located in bed, with minimal/no activity for 99% (96%-100%) of the day (10.4 [9.7-10.5] hours). Nursing staff were most frequently observed in attendance with patients irrespective of ventilation or sedation status, although patients still spent approximately two-thirds of the day alone. Bed-to-chair transfer was the highest activity level observed. In the VWU, patients spent 94% (73%-100%) of the day (9.9 [7.7-10.5] hours) in bed and 56% (43%-60%) of time alone. Physical activity levels were higher and included ambulation. All physical activities occurred during physical rehabilitation sessions. Conclusions: These profiles of low physical activity behavior across both patients in the ICU and VWU highlight the need for targeted strategies to improve levels beyond therapeutic rehabilitation and support for a culture shift toward providing patients with, and engaging them in, a multidisciplinary, multiprofessional environment that optimizes overall physical activity.","author":[{"dropping-particle":"","family":"Connolly","given":"Bronwen A.","non-dropping-particle":"","parse-names":false,"suffix":""},{"dropping-particle":"","family":"Mortimore","given":"Jessica L.","non-dropping-particle":"","parse-names":false,"suffix":""},{"dropping-particle":"","family":"Douiri","given":"Abdel","non-dropping-particle":"","parse-names":false,"suffix":""},{"dropping-particle":"","family":"Rose","given":"Joleen W.","non-dropping-particle":"","parse-names":false,"suffix":""},{"dropping-particle":"","family":"Hart","given":"Nicholas","non-dropping-particle":"","parse-names":false,"suffix":""},{"dropping-particle":"","family":"Berney","given":"Susan C.","non-dropping-particle":"","parse-names":false,"suffix":""}],"container-title":"Journal of Intensive Care Medicine","id":"ITEM-3","issue":"10","issued":{"date-parts":[["2019"]]},"page":"818-827","title":"Low Levels of Physical Activity During Critical Illness and Weaning: The Evidence–Reality Gap","type":"article-journal","volume":"34"},"uris":["http://www.mendeley.com/documents/?uuid=be06cb27-26a6-41a3-80fa-cec17761be1f"]}],"mendeley":{"formattedCitation":"[21,22,35]","plainTextFormattedCitation":"[21,22,35]","previouslyFormattedCitation":"[21,22,34]"},"properties":{"noteIndex":0},"schema":"https://github.com/citation-style-language/schema/raw/master/csl-citation.json"}</w:instrText>
      </w:r>
      <w:r w:rsidRPr="00687B88">
        <w:rPr>
          <w:rFonts w:ascii="Arial" w:hAnsi="Arial" w:cs="Arial"/>
        </w:rPr>
        <w:fldChar w:fldCharType="separate"/>
      </w:r>
      <w:r w:rsidR="00687D21" w:rsidRPr="00687B88">
        <w:rPr>
          <w:rFonts w:ascii="Arial" w:hAnsi="Arial" w:cs="Arial"/>
          <w:noProof/>
        </w:rPr>
        <w:t>[21,22,35]</w:t>
      </w:r>
      <w:r w:rsidRPr="00687B88">
        <w:rPr>
          <w:rFonts w:ascii="Arial" w:hAnsi="Arial" w:cs="Arial"/>
        </w:rPr>
        <w:fldChar w:fldCharType="end"/>
      </w:r>
      <w:r w:rsidR="00746EC1" w:rsidRPr="00687B88">
        <w:rPr>
          <w:rFonts w:ascii="Arial" w:hAnsi="Arial" w:cs="Arial"/>
        </w:rPr>
        <w:t>,</w:t>
      </w:r>
      <w:r w:rsidR="00AB3EBA" w:rsidRPr="00687B88">
        <w:rPr>
          <w:rFonts w:ascii="Arial" w:hAnsi="Arial" w:cs="Arial"/>
        </w:rPr>
        <w:t xml:space="preserve"> </w:t>
      </w:r>
      <w:r w:rsidRPr="00687B88">
        <w:rPr>
          <w:rFonts w:ascii="Arial" w:hAnsi="Arial" w:cs="Arial"/>
        </w:rPr>
        <w:t>independientemente de los factores específicos del paciente</w:t>
      </w:r>
      <w:r w:rsidRPr="00687B88">
        <w:rPr>
          <w:rFonts w:ascii="Arial" w:hAnsi="Arial" w:cs="Arial"/>
        </w:rPr>
        <w:fldChar w:fldCharType="begin" w:fldLock="1"/>
      </w:r>
      <w:r w:rsidR="003037EE" w:rsidRPr="00687B88">
        <w:rPr>
          <w:rFonts w:ascii="Arial" w:hAnsi="Arial" w:cs="Arial"/>
        </w:rPr>
        <w:instrText>ADDIN CSL_CITATION {"citationItems":[{"id":"ITEM-1","itemData":{"DOI":"10.1016/j.hrtlng.2020.02.002","ISSN":"01479563","author":[{"dropping-particle":"","family":"Gupta","given":"Prerna","non-dropping-particle":"","parse-names":false,"suffix":""},{"dropping-particle":"","family":"Martin","given":"Jennifer L.","non-dropping-particle":"","parse-names":false,"suffix":""},{"dropping-particle":"","family":"Needham","given":"Dale M.","non-dropping-particle":"","parse-names":false,"suffix":""},{"dropping-particle":"","family":"Vangala","given":"Sitaram","non-dropping-particle":"","parse-names":false,"suffix":""},{"dropping-particle":"","family":"Colantuoni","given":"Elizabeth","non-dropping-particle":"","parse-names":false,"suffix":""},{"dropping-particle":"","family":"Kamdar","given":"Biren B.","non-dropping-particle":"","parse-names":false,"suffix":""}],"container-title":"Heart &amp; Lung","id":"ITEM-1","issue":"4","issued":{"date-parts":[["2020","7"]]},"page":"398-406","title":"Use of actigraphy to characterize inactivity and activity in patients in a medical ICU","type":"article-journal","volume":"49"},"uris":["http://www.mendeley.com/documents/?uuid=7bb8c953-3aa9-4232-a02a-cca505a729fb"]}],"mendeley":{"formattedCitation":"[21]","plainTextFormattedCitation":"[21]","previouslyFormattedCitation":"[21]"},"properties":{"noteIndex":0},"schema":"https://github.com/citation-style-language/schema/raw/master/csl-citation.json"}</w:instrText>
      </w:r>
      <w:r w:rsidRPr="00687B88">
        <w:rPr>
          <w:rFonts w:ascii="Arial" w:hAnsi="Arial" w:cs="Arial"/>
        </w:rPr>
        <w:fldChar w:fldCharType="separate"/>
      </w:r>
      <w:r w:rsidR="004B2EA2" w:rsidRPr="00687B88">
        <w:rPr>
          <w:rFonts w:ascii="Arial" w:hAnsi="Arial" w:cs="Arial"/>
          <w:noProof/>
        </w:rPr>
        <w:t>[21]</w:t>
      </w:r>
      <w:r w:rsidRPr="00687B88">
        <w:rPr>
          <w:rFonts w:ascii="Arial" w:hAnsi="Arial" w:cs="Arial"/>
        </w:rPr>
        <w:fldChar w:fldCharType="end"/>
      </w:r>
      <w:r w:rsidRPr="00687B88">
        <w:rPr>
          <w:rFonts w:ascii="Arial" w:hAnsi="Arial" w:cs="Arial"/>
        </w:rPr>
        <w:t xml:space="preserve">, los quiebres de inactividad en UCI obtenidos en nuestro estudio generan un llamado de atención a los profesionales de la salud encargados del movimiento del paciente y a los investigadores a no sólo tener en cuenta diversas estrategias de rehabilitación y actividad física, si no también a las estrategias para combatir los periodos prolongados y frecuentes de inactividad. </w:t>
      </w:r>
    </w:p>
    <w:p w14:paraId="4965ABA0" w14:textId="77777777" w:rsidR="00871739" w:rsidRPr="00687B88" w:rsidRDefault="00871739" w:rsidP="00687B88">
      <w:pPr>
        <w:spacing w:line="480" w:lineRule="auto"/>
        <w:rPr>
          <w:rFonts w:ascii="Arial" w:hAnsi="Arial" w:cs="Arial"/>
        </w:rPr>
      </w:pPr>
    </w:p>
    <w:p w14:paraId="17E3C7E8" w14:textId="1878C528" w:rsidR="00114D71" w:rsidRDefault="00871739" w:rsidP="00687B88">
      <w:pPr>
        <w:spacing w:line="480" w:lineRule="auto"/>
        <w:rPr>
          <w:rFonts w:ascii="Arial" w:hAnsi="Arial" w:cs="Arial"/>
        </w:rPr>
      </w:pPr>
      <w:r w:rsidRPr="00687B88">
        <w:rPr>
          <w:rFonts w:ascii="Arial" w:hAnsi="Arial" w:cs="Arial"/>
        </w:rPr>
        <w:t xml:space="preserve">Dado lo anterior, para </w:t>
      </w:r>
      <w:r w:rsidR="00805668" w:rsidRPr="00687B88">
        <w:rPr>
          <w:rFonts w:ascii="Arial" w:hAnsi="Arial" w:cs="Arial"/>
        </w:rPr>
        <w:t xml:space="preserve">estimular </w:t>
      </w:r>
      <w:r w:rsidRPr="00687B88">
        <w:rPr>
          <w:rFonts w:ascii="Arial" w:hAnsi="Arial" w:cs="Arial"/>
        </w:rPr>
        <w:t xml:space="preserve">a los profesionales de salud a realizar mayor cantidad de intervenciones para la movilización de los pacientes críticos, la </w:t>
      </w:r>
    </w:p>
    <w:p w14:paraId="6C305A02" w14:textId="30209FF4" w:rsidR="00114D71" w:rsidRPr="00114D71" w:rsidRDefault="00114D71" w:rsidP="00114D71">
      <w:pPr>
        <w:jc w:val="center"/>
        <w:rPr>
          <w:rFonts w:ascii="Arial" w:hAnsi="Arial" w:cs="Arial"/>
          <w:color w:val="808080" w:themeColor="background1" w:themeShade="80"/>
        </w:rPr>
      </w:pPr>
      <w:r w:rsidRPr="00114D71">
        <w:rPr>
          <w:rFonts w:ascii="Arial" w:hAnsi="Arial" w:cs="Arial"/>
          <w:color w:val="808080" w:themeColor="background1" w:themeShade="80"/>
        </w:rPr>
        <w:t>12</w:t>
      </w:r>
    </w:p>
    <w:p w14:paraId="5CF6AEB2" w14:textId="4F5F58F0" w:rsidR="00DF3ED2" w:rsidRPr="00687B88" w:rsidRDefault="00871739" w:rsidP="00687B88">
      <w:pPr>
        <w:spacing w:line="480" w:lineRule="auto"/>
        <w:rPr>
          <w:rFonts w:ascii="Arial" w:hAnsi="Arial" w:cs="Arial"/>
        </w:rPr>
      </w:pPr>
      <w:r w:rsidRPr="00687B88">
        <w:rPr>
          <w:rFonts w:ascii="Arial" w:hAnsi="Arial" w:cs="Arial"/>
        </w:rPr>
        <w:t>actigrafía como monitoreo continuo, puede informar sobre las características de la actividad/inactividad en tiempo real</w:t>
      </w:r>
      <w:r w:rsidR="00EB745E" w:rsidRPr="00687B88">
        <w:rPr>
          <w:rFonts w:ascii="Arial" w:hAnsi="Arial" w:cs="Arial"/>
        </w:rPr>
        <w:fldChar w:fldCharType="begin" w:fldLock="1"/>
      </w:r>
      <w:r w:rsidR="00687D21" w:rsidRPr="00687B88">
        <w:rPr>
          <w:rFonts w:ascii="Arial" w:hAnsi="Arial" w:cs="Arial"/>
        </w:rPr>
        <w:instrText>ADDIN CSL_CITATION {"citationItems":[{"id":"ITEM-1","itemData":{"DOI":"10.4187/respcare.03677","ISSN":"19433654","abstract":"Medical management of critically ill patients often incorporates prolonged bed rest, which, in combination with the underlying illness, results in global muscle weakness and atrophy. Recent evidence has demonstrated improvements in clinical and functional outcomes when exercise and physical activity are incorporated early in the management of ICU patients. Accurate monitoring of ICU patients’ physical activity is essential for proper prescription and escalation of activity levels. Accelerometry is a technique used to measure physical activity and has been validated in several ambulatory populations. However, its use in critically ill, hospitalized patients with poor functional mobility is limited. In this review, we focus on the few studies assessing the use of accelerometry to measure physical activity in the care of mechanically ventilated adult ICU patients. The selected literature demonstrates that accelerometry correlates well with direct observation in reporting frequency and duration of various types of physical activity (rolling, sitting up, transferring, walking), but cannot differentiate various intensities of activity or whether movements are voluntary or involuntary with respect to effort. Thus, although accelerometry may serve as a useful adjunct in reporting temporality of physical activity in critically ill patients, other objective information may be needed to accurately record frequency, duration, and intensity of activity in this population.","author":[{"dropping-particle":"","family":"Verceles","given":"Avelino C.","non-dropping-particle":"","parse-names":false,"suffix":""},{"dropping-particle":"","family":"Hager","given":"Erin R.","non-dropping-particle":"","parse-names":false,"suffix":""}],"container-title":"Respiratory Care","id":"ITEM-1","issued":{"date-parts":[["2015"]]},"title":"Use of accelerometry to monitor physical activity in critically ill subjects: A systematic review","type":"article"},"uris":["http://www.mendeley.com/documents/?uuid=bde92920-38c2-4fe6-a807-66a426163f3d"]},{"id":"ITEM-2","itemData":{"DOI":"10.1177/0885066619863654","ISSN":"15251489","PMID":"31331220","abstract":"Objective: In the intensive care unit (ICU), prolonged inactivity is common, increasing patients’ risk for adverse outcomes, including ICU-acquired weakness. Hence, interventions to minimize inactivity are gaining popularity, highlighting actigraphy, a measure of activity involving a wristwatch-like accelerometer, as a method to inform these efforts. Therefore, we performed a systematic review of studies that used actigraphy to measure patient activity in the ICU setting. Data Sources: We searched PubMed, EMBASE, CINAHL, Cochrane Library, and ProQuest from inception until December 2016. Study Selection: Two reviewers independently screened studies for inclusion. A study was eligible for inclusion if it was published in a peer-reviewed journal and used actigraphy to measure activity in ≥5 ICU patients. Data Extraction: Two reviewers independently performed data abstraction and risk of bias assessment. Abstracted actigraphy-based activity data included total activity time and activity counts. Results: Of 16 studies (607 ICU patients) identified, 14 (88%) were observational, 2 (12%) were randomized control trials, and 5 (31%) were published after 2009. Mean patient activity levels per 15 to 60 second epoch ranged from 25 to 37 daytime and 2 to 19 nighttime movements. Actigraphy was evaluated in the context of ICU and post-ICU outcomes in 11 (69%) and 5 (31%) studies, respectively, and demonstrated potential associations between actigraphy-based activity levels and delirium, sedation, pain, anxiety, time to extubation, and length of stay. Conclusion: Actigraphy has demonstrated that patients are profoundly inactive in the ICU with actigraphy-based activity levels potentially associated with important measures, such as delirium, sedation, and length of stay. Larger and more rigorous studies are needed to further evaluate these associations and the overall utility of actigraphy in the ICU setting.","author":[{"dropping-particle":"","family":"Schwab","given":"Kristin E.","non-dropping-particle":"","parse-names":false,"suffix":""},{"dropping-particle":"","family":"To","given":"An Q.","non-dropping-particle":"","parse-names":false,"suffix":""},{"dropping-particle":"","family":"Chang","given":"Jennifer","non-dropping-particle":"","parse-names":false,"suffix":""},{"dropping-particle":"","family":"Ronish","given":"Bonnie","non-dropping-particle":"","parse-names":false,"suffix":""},{"dropping-particle":"","family":"Needham","given":"Dale M.","non-dropping-particle":"","parse-names":false,"suffix":""},{"dropping-particle":"","family":"Martin","given":"Jennifer L.","non-dropping-particle":"","parse-names":false,"suffix":""},{"dropping-particle":"","family":"Kamdar","given":"Biren B.","non-dropping-particle":"","parse-names":false,"suffix":""}],"container-title":"Journal of Intensive Care Medicine","id":"ITEM-2","issued":{"date-parts":[["2020"]]},"title":"Actigraphy to Measure Physical Activity in the Intensive Care Unit: A Systematic Review","type":"article-journal"},"uris":["http://www.mendeley.com/documents/?uuid=79dec1cd-daf4-4b43-a017-6dc04ba954d4"]},{"id":"ITEM-3","itemData":{"DOI":"10.1097/JAT.0000000000000193","ISBN":"0000000000000","author":[{"dropping-particle":"","family":"González-seguel","given":"Felipe","non-dropping-particle":"","parse-names":false,"suffix":""},{"dropping-particle":"","family":"Camus-molina","given":"Agustín","non-dropping-particle":"","parse-names":false,"suffix":""},{"dropping-particle":"","family":"Leiva-corvalán","given":"Macarena","non-dropping-particle":"","parse-names":false,"suffix":""},{"dropping-particle":"","family":"Mayer","given":"Kirby P","non-dropping-particle":"","parse-names":false,"suffix":""},{"dropping-particle":"","family":"Leppe","given":"Jaime","non-dropping-particle":"","parse-names":false,"suffix":""}],"container-title":"Journal of Acute Care Physical Therapy","id":"ITEM-3","issue":"0","issued":{"date-parts":[["2022"]]},"page":"1-8","title":"Uninterrupted Actigraphy Recording to Feasibility Prospective Observational Study","type":"article-journal","volume":"00"},"uris":["http://www.mendeley.com/documents/?uuid=42188fa3-4202-47e6-b1d1-9cc4f6618560"]}],"mendeley":{"formattedCitation":"[22,36,37]","plainTextFormattedCitation":"[22,36,37]","previouslyFormattedCitation":"[22,35,36]"},"properties":{"noteIndex":0},"schema":"https://github.com/citation-style-language/schema/raw/master/csl-citation.json"}</w:instrText>
      </w:r>
      <w:r w:rsidR="00EB745E" w:rsidRPr="00687B88">
        <w:rPr>
          <w:rFonts w:ascii="Arial" w:hAnsi="Arial" w:cs="Arial"/>
        </w:rPr>
        <w:fldChar w:fldCharType="separate"/>
      </w:r>
      <w:r w:rsidR="00687D21" w:rsidRPr="00687B88">
        <w:rPr>
          <w:rFonts w:ascii="Arial" w:hAnsi="Arial" w:cs="Arial"/>
          <w:noProof/>
        </w:rPr>
        <w:t>[22,36,37]</w:t>
      </w:r>
      <w:r w:rsidR="00EB745E" w:rsidRPr="00687B88">
        <w:rPr>
          <w:rFonts w:ascii="Arial" w:hAnsi="Arial" w:cs="Arial"/>
        </w:rPr>
        <w:fldChar w:fldCharType="end"/>
      </w:r>
      <w:r w:rsidRPr="00687B88">
        <w:rPr>
          <w:rFonts w:ascii="Arial" w:hAnsi="Arial" w:cs="Arial"/>
        </w:rPr>
        <w:t>. Características específicas de la inactividad de los pacientes críticos podrían enfatizar la importancia de tener un equipo multidisciplinario con campeones identificados abordardando las barreras y facilitadores de movilización buscando intervenciones oportunas de movilización en la UCI</w:t>
      </w:r>
      <w:r w:rsidR="00EB745E" w:rsidRPr="00687B88">
        <w:rPr>
          <w:rFonts w:ascii="Arial" w:hAnsi="Arial" w:cs="Arial"/>
        </w:rPr>
        <w:fldChar w:fldCharType="begin" w:fldLock="1"/>
      </w:r>
      <w:r w:rsidR="00687D21" w:rsidRPr="00687B88">
        <w:rPr>
          <w:rFonts w:ascii="Arial" w:hAnsi="Arial" w:cs="Arial"/>
        </w:rPr>
        <w:instrText>ADDIN CSL_CITATION {"citationItems":[{"id":"ITEM-1","itemData":{"DOI":"10.1513/AnnalsATS.201509-586FR","ISSN":"2329-6933","PMID":"27144796","abstract":"Early mobilization of patients in the intensive care unit (ICU) is safe, feasible, and beneficial. However, implementation of early mobility as part of routine clinical care can be challenging. The objective of this review is to identify barriers to early mobilization and discuss strategies to overcome such barriers. Based on a literature search, we synthesize data from 40 studies reporting 28 unique barriers to early mobility, of which 14 (50{%}) were patient-related, 5 (18{%}) structural, 5 (18{%}) ICU cultural, and 4 (14{%}) process-related barriers. These barriers varied across ICUs and within disciplines, depending on the ICU patient population, setting, attitude, and ICU culture. To overcome the identified barriers, over 70 strategies were reported and are synthesized in this review, including: implementation of safety guidelines; use of mobility protocols; interprofessional training, education, and rounds; and involvement of physician champions. Systematic efforts to change ICU culture to prioritize early mobilization using an interprofessional approach and multiple targeted strategies are important components of successfully implementing early mobility in clinical practice.","author":[{"dropping-particle":"","family":"Dubb","given":"Rolf","non-dropping-particle":"","parse-names":false,"suffix":""},{"dropping-particle":"","family":"Nydahl","given":"Peter","non-dropping-particle":"","parse-names":false,"suffix":""},{"dropping-particle":"","family":"Hermes","given":"Carsten","non-dropping-particle":"","parse-names":false,"suffix":""},{"dropping-particle":"","family":"Schwabbauer","given":"Norbert","non-dropping-particle":"","parse-names":false,"suffix":""},{"dropping-particle":"","family":"Toonstra","given":"Amy","non-dropping-particle":"","parse-names":false,"suffix":""},{"dropping-particle":"","family":"Parker","given":"Ann M","non-dropping-particle":"","parse-names":false,"suffix":""},{"dropping-particle":"","family":"Kaltwasser","given":"Arnold","non-dropping-particle":"","parse-names":false,"suffix":""},{"dropping-particle":"","family":"Needham","given":"Dale M","non-dropping-particle":"","parse-names":false,"suffix":""}],"container-title":"Annals of the American Thoracic Society","id":"ITEM-1","issue":"5","issued":{"date-parts":[["2016","2"]]},"page":"AnnalsATS.201509--586FR","title":"Barriers and Strategies for Early Mobilization of Patients in Intensive Care Units","type":"article-journal","volume":"13"},"uris":["http://www.mendeley.com/documents/?uuid=f77d1cee-d12d-48ee-ab5e-83edacf796c0"]},{"id":"ITEM-2","itemData":{"DOI":"10.1186/s13613-016-0184-y","ISSN":"21105820","abstract":"Background: Early mobilization in critically ill patients has been shown to prevent bed-rest-associated morbidity. Reported reasons for not mobilizing patients, thereby excluding or delaying such intervention, are diverse and comprise safety considerations for high-risk critically ill patients with multiple organ support systems. This study sought to demonstrate that early mobilization performed within the first 24 h of ICU admission proves to be feasible and well tolerated in the vast majority of critically ill patients. Results: General practice data were collected for 171 consecutive admissions to our ICU over a 2-month period according to a local, standardized, early mobilization protocol. The total period covered 731 patient-days, 22 (3 %) of which met our local exclusion criteria for mobilization. Of the remaining 709 patient-days, early mobilization was achieved on 86 % of them, bed-to-chair transfer on 74 %, and at least one physical therapy session on 59 %. Median time interval from ICU admission to the first early mobilization activity was 19 h (IQR = 15–23). In patients on mechanical ventilation (51 %), accounting for 46 % of patient-days, 35 % were administered vasopressors and 11 % continuous renal replacement therapy. Within this group, bed-to-chair transfer was achieved on 68 % of patient-days and at least one early mobilization activity on 80 %. Limiting factors to start early mobilization included restricted staffing capacities, diagnostic or surgical procedures, patients’ refusal, as well as severe hemodynamic instability. Hemodynamic parameters were rarely affected during mobilization, causing interruption in only 0.8 % of all activities, primarily due to reversible hypotension or arrhythmia. In general, all activities were well tolerated, while patients were able to self-regulate their active early mobilization. Patients’ subjective perception of physical therapy was reported to be enjoyable. Conclusions: Mobilization within the first 24 h of ICU admission is achievable in the majority of critical ill patients, in spite of mechanical ventilation, vasopressor administration, or renal replacement therapy.","author":[{"dropping-particle":"","family":"Hickmann","given":"Cheryl Elizabeth","non-dropping-particle":"","parse-names":false,"suffix":""},{"dropping-particle":"","family":"Castanares-Zapatero","given":"Diego","non-dropping-particle":"","parse-names":false,"suffix":""},{"dropping-particle":"","family":"Bialais","given":"Emilie","non-dropping-particle":"","parse-names":false,"suffix":""},{"dropping-particle":"","family":"Dugernier","given":"Jonathan","non-dropping-particle":"","parse-names":false,"suffix":""},{"dropping-particle":"","family":"Tordeur","given":"Antoine","non-dropping-particle":"","parse-names":false,"suffix":""},{"dropping-particle":"","family":"Colmant","given":"Lise","non-dropping-particle":"","parse-names":false,"suffix":""},{"dropping-particle":"","family":"Wittebole","given":"Xavier","non-dropping-particle":"","parse-names":false,"suffix":""},{"dropping-particle":"","family":"Tirone","given":"Giuseppe","non-dropping-particle":"","parse-names":false,"suffix":""},{"dropping-particle":"","family":"Roeseler","given":"Jean","non-dropping-particle":"","parse-names":false,"suffix":""},{"dropping-particle":"","family":"Laterre","given":"Pierre François","non-dropping-particle":"","parse-names":false,"suffix":""}],"container-title":"Annals of Intensive Care","id":"ITEM-2","issue":"1","issued":{"date-parts":[["2016"]]},"publisher":"Springer Paris","title":"Teamwork enables high level of early mobilization in critically ill patients","type":"article-journal","volume":"6"},"uris":["http://www.mendeley.com/documents/?uuid=44c24ab3-ee1f-4244-9a67-a8e21a22eea5"]}],"mendeley":{"formattedCitation":"[14,38]","plainTextFormattedCitation":"[14,38]","previouslyFormattedCitation":"[14,37]"},"properties":{"noteIndex":0},"schema":"https://github.com/citation-style-language/schema/raw/master/csl-citation.json"}</w:instrText>
      </w:r>
      <w:r w:rsidR="00EB745E" w:rsidRPr="00687B88">
        <w:rPr>
          <w:rFonts w:ascii="Arial" w:hAnsi="Arial" w:cs="Arial"/>
        </w:rPr>
        <w:fldChar w:fldCharType="separate"/>
      </w:r>
      <w:r w:rsidR="00687D21" w:rsidRPr="00687B88">
        <w:rPr>
          <w:rFonts w:ascii="Arial" w:hAnsi="Arial" w:cs="Arial"/>
          <w:noProof/>
        </w:rPr>
        <w:t>[14,38]</w:t>
      </w:r>
      <w:r w:rsidR="00EB745E" w:rsidRPr="00687B88">
        <w:rPr>
          <w:rFonts w:ascii="Arial" w:hAnsi="Arial" w:cs="Arial"/>
        </w:rPr>
        <w:fldChar w:fldCharType="end"/>
      </w:r>
      <w:r w:rsidRPr="00687B88">
        <w:rPr>
          <w:rFonts w:ascii="Arial" w:hAnsi="Arial" w:cs="Arial"/>
        </w:rPr>
        <w:t xml:space="preserve">. </w:t>
      </w:r>
    </w:p>
    <w:p w14:paraId="4E66B2C3" w14:textId="77777777" w:rsidR="00DF3ED2" w:rsidRPr="00687B88" w:rsidRDefault="00DF3ED2" w:rsidP="00687B88">
      <w:pPr>
        <w:spacing w:line="480" w:lineRule="auto"/>
        <w:rPr>
          <w:rFonts w:ascii="Arial" w:hAnsi="Arial" w:cs="Arial"/>
        </w:rPr>
      </w:pPr>
    </w:p>
    <w:p w14:paraId="3B1B941C" w14:textId="0DE648D5" w:rsidR="0076165A" w:rsidRPr="00687B88" w:rsidRDefault="0076165A" w:rsidP="00687B88">
      <w:pPr>
        <w:spacing w:line="480" w:lineRule="auto"/>
        <w:rPr>
          <w:rFonts w:ascii="Arial" w:hAnsi="Arial" w:cs="Arial"/>
          <w:b/>
        </w:rPr>
      </w:pPr>
      <w:r w:rsidRPr="00687B88">
        <w:rPr>
          <w:rFonts w:ascii="Arial" w:hAnsi="Arial" w:cs="Arial"/>
          <w:b/>
        </w:rPr>
        <w:t>Limitaciones</w:t>
      </w:r>
    </w:p>
    <w:p w14:paraId="66238CF5" w14:textId="7310F677" w:rsidR="00E70467" w:rsidRPr="00687B88" w:rsidRDefault="006164C3" w:rsidP="00687B88">
      <w:pPr>
        <w:spacing w:line="480" w:lineRule="auto"/>
        <w:rPr>
          <w:rFonts w:ascii="Arial" w:hAnsi="Arial" w:cs="Arial"/>
        </w:rPr>
      </w:pPr>
      <w:r w:rsidRPr="00687B88">
        <w:rPr>
          <w:rFonts w:ascii="Arial" w:hAnsi="Arial" w:cs="Arial"/>
        </w:rPr>
        <w:t xml:space="preserve">Una de las principales limitaciones, es la no identificación y registro </w:t>
      </w:r>
      <w:r w:rsidR="00FE6AA7" w:rsidRPr="00687B88">
        <w:rPr>
          <w:rFonts w:ascii="Arial" w:hAnsi="Arial" w:cs="Arial"/>
        </w:rPr>
        <w:t xml:space="preserve">complementario de las actividades </w:t>
      </w:r>
      <w:r w:rsidR="0044219F" w:rsidRPr="00687B88">
        <w:rPr>
          <w:rFonts w:ascii="Arial" w:hAnsi="Arial" w:cs="Arial"/>
        </w:rPr>
        <w:t>(</w:t>
      </w:r>
      <w:r w:rsidRPr="00687B88">
        <w:rPr>
          <w:rFonts w:ascii="Arial" w:hAnsi="Arial" w:cs="Arial"/>
        </w:rPr>
        <w:t xml:space="preserve">como </w:t>
      </w:r>
      <w:r w:rsidR="0044219F" w:rsidRPr="00687B88">
        <w:rPr>
          <w:rFonts w:ascii="Arial" w:hAnsi="Arial" w:cs="Arial"/>
        </w:rPr>
        <w:t xml:space="preserve">intervenciones terapéuticas o no terapéuticas) </w:t>
      </w:r>
      <w:r w:rsidR="00FE6AA7" w:rsidRPr="00687B88">
        <w:rPr>
          <w:rFonts w:ascii="Arial" w:hAnsi="Arial" w:cs="Arial"/>
        </w:rPr>
        <w:t>que podrían generar quiebres de inactividad de mayor o menor tiempo y en horarios específicos</w:t>
      </w:r>
      <w:r w:rsidR="00746EC1" w:rsidRPr="00687B88">
        <w:rPr>
          <w:rFonts w:ascii="Arial" w:hAnsi="Arial" w:cs="Arial"/>
        </w:rPr>
        <w:t>. E</w:t>
      </w:r>
      <w:r w:rsidR="00FE6AA7" w:rsidRPr="00687B88">
        <w:rPr>
          <w:rFonts w:ascii="Arial" w:hAnsi="Arial" w:cs="Arial"/>
        </w:rPr>
        <w:t>sta informació</w:t>
      </w:r>
      <w:r w:rsidR="00746EC1" w:rsidRPr="00687B88">
        <w:rPr>
          <w:rFonts w:ascii="Arial" w:hAnsi="Arial" w:cs="Arial"/>
        </w:rPr>
        <w:t>n</w:t>
      </w:r>
      <w:r w:rsidR="00FE6AA7" w:rsidRPr="00687B88">
        <w:rPr>
          <w:rFonts w:ascii="Arial" w:hAnsi="Arial" w:cs="Arial"/>
        </w:rPr>
        <w:t xml:space="preserve"> </w:t>
      </w:r>
      <w:r w:rsidR="00395456" w:rsidRPr="00687B88">
        <w:rPr>
          <w:rFonts w:ascii="Arial" w:hAnsi="Arial" w:cs="Arial"/>
        </w:rPr>
        <w:t xml:space="preserve">podría </w:t>
      </w:r>
      <w:r w:rsidR="00FE6AA7" w:rsidRPr="00687B88">
        <w:rPr>
          <w:rFonts w:ascii="Arial" w:hAnsi="Arial" w:cs="Arial"/>
        </w:rPr>
        <w:t xml:space="preserve">ayudar a </w:t>
      </w:r>
      <w:r w:rsidR="00E70467" w:rsidRPr="00687B88">
        <w:rPr>
          <w:rFonts w:ascii="Arial" w:hAnsi="Arial" w:cs="Arial"/>
        </w:rPr>
        <w:t xml:space="preserve">describir </w:t>
      </w:r>
      <w:r w:rsidR="00395456" w:rsidRPr="00687B88">
        <w:rPr>
          <w:rFonts w:ascii="Arial" w:hAnsi="Arial" w:cs="Arial"/>
        </w:rPr>
        <w:t xml:space="preserve">los </w:t>
      </w:r>
      <w:r w:rsidR="00E70467" w:rsidRPr="00687B88">
        <w:rPr>
          <w:rFonts w:ascii="Arial" w:hAnsi="Arial" w:cs="Arial"/>
        </w:rPr>
        <w:t>patrones de inactividad/actividad en UCI de manera más completa. Por otra parte,</w:t>
      </w:r>
      <w:r w:rsidR="0044219F" w:rsidRPr="00687B88">
        <w:rPr>
          <w:rFonts w:ascii="Arial" w:hAnsi="Arial" w:cs="Arial"/>
        </w:rPr>
        <w:t xml:space="preserve"> </w:t>
      </w:r>
      <w:r w:rsidR="00E70467" w:rsidRPr="00687B88">
        <w:rPr>
          <w:rFonts w:ascii="Arial" w:hAnsi="Arial" w:cs="Arial"/>
        </w:rPr>
        <w:t xml:space="preserve">a pesar </w:t>
      </w:r>
      <w:r w:rsidR="00746EC1" w:rsidRPr="00687B88">
        <w:rPr>
          <w:rFonts w:ascii="Arial" w:hAnsi="Arial" w:cs="Arial"/>
        </w:rPr>
        <w:t xml:space="preserve">de que </w:t>
      </w:r>
      <w:r w:rsidR="00E70467" w:rsidRPr="00687B88">
        <w:rPr>
          <w:rFonts w:ascii="Arial" w:hAnsi="Arial" w:cs="Arial"/>
        </w:rPr>
        <w:t>el uso de actigrafía es factible en la UCI, utiliza</w:t>
      </w:r>
      <w:r w:rsidR="00395456" w:rsidRPr="00687B88">
        <w:rPr>
          <w:rFonts w:ascii="Arial" w:hAnsi="Arial" w:cs="Arial"/>
        </w:rPr>
        <w:t>mos</w:t>
      </w:r>
      <w:r w:rsidR="00E70467" w:rsidRPr="00687B88">
        <w:rPr>
          <w:rFonts w:ascii="Arial" w:hAnsi="Arial" w:cs="Arial"/>
        </w:rPr>
        <w:t xml:space="preserve"> un algoritmo de actigrafía</w:t>
      </w:r>
      <w:r w:rsidR="00805668" w:rsidRPr="00687B88">
        <w:rPr>
          <w:rFonts w:ascii="Arial" w:hAnsi="Arial" w:cs="Arial"/>
        </w:rPr>
        <w:t xml:space="preserve"> para adultos</w:t>
      </w:r>
      <w:r w:rsidR="00E70467" w:rsidRPr="00687B88">
        <w:rPr>
          <w:rFonts w:ascii="Arial" w:hAnsi="Arial" w:cs="Arial"/>
        </w:rPr>
        <w:t xml:space="preserve"> que </w:t>
      </w:r>
      <w:r w:rsidR="0044219F" w:rsidRPr="00687B88">
        <w:rPr>
          <w:rFonts w:ascii="Arial" w:hAnsi="Arial" w:cs="Arial"/>
        </w:rPr>
        <w:t>no necesariamente es r</w:t>
      </w:r>
      <w:r w:rsidR="00E70467" w:rsidRPr="00687B88">
        <w:rPr>
          <w:rFonts w:ascii="Arial" w:hAnsi="Arial" w:cs="Arial"/>
        </w:rPr>
        <w:t>e</w:t>
      </w:r>
      <w:r w:rsidR="0044219F" w:rsidRPr="00687B88">
        <w:rPr>
          <w:rFonts w:ascii="Arial" w:hAnsi="Arial" w:cs="Arial"/>
        </w:rPr>
        <w:t>presentativa</w:t>
      </w:r>
      <w:r w:rsidR="00E70467" w:rsidRPr="00687B88">
        <w:rPr>
          <w:rFonts w:ascii="Arial" w:hAnsi="Arial" w:cs="Arial"/>
        </w:rPr>
        <w:t xml:space="preserve"> a los pacientes </w:t>
      </w:r>
      <w:r w:rsidR="00395456" w:rsidRPr="00687B88">
        <w:rPr>
          <w:rFonts w:ascii="Arial" w:hAnsi="Arial" w:cs="Arial"/>
        </w:rPr>
        <w:t>críticos</w:t>
      </w:r>
      <w:r w:rsidR="00E70467" w:rsidRPr="00687B88">
        <w:rPr>
          <w:rFonts w:ascii="Arial" w:hAnsi="Arial" w:cs="Arial"/>
        </w:rPr>
        <w:t xml:space="preserve">. </w:t>
      </w:r>
      <w:r w:rsidRPr="00687B88">
        <w:rPr>
          <w:rFonts w:ascii="Arial" w:hAnsi="Arial" w:cs="Arial"/>
        </w:rPr>
        <w:t>Además, d</w:t>
      </w:r>
      <w:r w:rsidR="0044219F" w:rsidRPr="00687B88">
        <w:rPr>
          <w:rFonts w:ascii="Arial" w:hAnsi="Arial" w:cs="Arial"/>
        </w:rPr>
        <w:t>ad</w:t>
      </w:r>
      <w:r w:rsidR="00395456" w:rsidRPr="00687B88">
        <w:rPr>
          <w:rFonts w:ascii="Arial" w:hAnsi="Arial" w:cs="Arial"/>
        </w:rPr>
        <w:t>as</w:t>
      </w:r>
      <w:r w:rsidR="0044219F" w:rsidRPr="00687B88">
        <w:rPr>
          <w:rFonts w:ascii="Arial" w:hAnsi="Arial" w:cs="Arial"/>
        </w:rPr>
        <w:t xml:space="preserve"> las características del estudio, </w:t>
      </w:r>
      <w:r w:rsidRPr="00687B88">
        <w:rPr>
          <w:rFonts w:ascii="Arial" w:hAnsi="Arial" w:cs="Arial"/>
        </w:rPr>
        <w:t xml:space="preserve">no se puede </w:t>
      </w:r>
      <w:r w:rsidR="00D55ECA">
        <w:rPr>
          <w:rFonts w:ascii="Arial" w:hAnsi="Arial" w:cs="Arial"/>
        </w:rPr>
        <w:t xml:space="preserve">encontrar </w:t>
      </w:r>
      <w:r w:rsidR="0017526F" w:rsidRPr="00687B88">
        <w:rPr>
          <w:rFonts w:ascii="Arial" w:hAnsi="Arial" w:cs="Arial"/>
        </w:rPr>
        <w:t>asociación</w:t>
      </w:r>
      <w:r w:rsidRPr="00687B88">
        <w:rPr>
          <w:rFonts w:ascii="Arial" w:hAnsi="Arial" w:cs="Arial"/>
        </w:rPr>
        <w:t xml:space="preserve"> entre </w:t>
      </w:r>
      <w:r w:rsidR="00395456" w:rsidRPr="00687B88">
        <w:rPr>
          <w:rFonts w:ascii="Arial" w:hAnsi="Arial" w:cs="Arial"/>
        </w:rPr>
        <w:t xml:space="preserve">los </w:t>
      </w:r>
      <w:r w:rsidRPr="00687B88">
        <w:rPr>
          <w:rFonts w:ascii="Arial" w:hAnsi="Arial" w:cs="Arial"/>
        </w:rPr>
        <w:t xml:space="preserve">quiebres de inactividad física y </w:t>
      </w:r>
      <w:r w:rsidR="00395456" w:rsidRPr="00687B88">
        <w:rPr>
          <w:rFonts w:ascii="Arial" w:hAnsi="Arial" w:cs="Arial"/>
        </w:rPr>
        <w:t xml:space="preserve">los </w:t>
      </w:r>
      <w:r w:rsidRPr="00687B88">
        <w:rPr>
          <w:rFonts w:ascii="Arial" w:hAnsi="Arial" w:cs="Arial"/>
        </w:rPr>
        <w:t xml:space="preserve">resultados de fuerza muscular y movilidad al egreso de la UCI. Por último, los pacientes de este estudio pertenecían a una UCI médico-quirúrgica, disminuyendo la generalización de los hallazgos a los pacientes críticos </w:t>
      </w:r>
      <w:r w:rsidR="00395456" w:rsidRPr="00687B88">
        <w:rPr>
          <w:rFonts w:ascii="Arial" w:hAnsi="Arial" w:cs="Arial"/>
        </w:rPr>
        <w:t>con otras condiciones o diagnóstico de ingreso</w:t>
      </w:r>
      <w:r w:rsidRPr="00687B88">
        <w:rPr>
          <w:rFonts w:ascii="Arial" w:hAnsi="Arial" w:cs="Arial"/>
        </w:rPr>
        <w:t>.</w:t>
      </w:r>
    </w:p>
    <w:p w14:paraId="71F103CC" w14:textId="7B8B5A18" w:rsidR="0076165A" w:rsidRPr="00114D71" w:rsidRDefault="00114D71" w:rsidP="00114D71">
      <w:pPr>
        <w:tabs>
          <w:tab w:val="left" w:pos="3103"/>
        </w:tabs>
        <w:spacing w:line="480" w:lineRule="auto"/>
        <w:jc w:val="center"/>
        <w:rPr>
          <w:rFonts w:ascii="Arial" w:hAnsi="Arial" w:cs="Arial"/>
          <w:color w:val="808080" w:themeColor="background1" w:themeShade="80"/>
        </w:rPr>
      </w:pPr>
      <w:r w:rsidRPr="00114D71">
        <w:rPr>
          <w:rFonts w:ascii="Arial" w:hAnsi="Arial" w:cs="Arial"/>
          <w:color w:val="808080" w:themeColor="background1" w:themeShade="80"/>
        </w:rPr>
        <w:t>13</w:t>
      </w:r>
    </w:p>
    <w:p w14:paraId="0482ED1C" w14:textId="77777777" w:rsidR="00B91CAE" w:rsidRPr="00687B88" w:rsidRDefault="00B91CAE" w:rsidP="00687B88">
      <w:pPr>
        <w:spacing w:line="480" w:lineRule="auto"/>
        <w:rPr>
          <w:rFonts w:ascii="Arial" w:hAnsi="Arial" w:cs="Arial"/>
          <w:b/>
          <w:bCs/>
          <w:color w:val="000000" w:themeColor="text1"/>
        </w:rPr>
      </w:pPr>
      <w:r w:rsidRPr="00687B88">
        <w:rPr>
          <w:rFonts w:ascii="Arial" w:hAnsi="Arial" w:cs="Arial"/>
          <w:b/>
          <w:bCs/>
          <w:color w:val="000000" w:themeColor="text1"/>
        </w:rPr>
        <w:t>Conclusiones</w:t>
      </w:r>
    </w:p>
    <w:p w14:paraId="70693D0C" w14:textId="77777777" w:rsidR="00114D71" w:rsidRDefault="0017526F" w:rsidP="00687B88">
      <w:pPr>
        <w:spacing w:line="480" w:lineRule="auto"/>
        <w:rPr>
          <w:rFonts w:ascii="Arial" w:hAnsi="Arial" w:cs="Arial"/>
          <w:color w:val="000000" w:themeColor="text1"/>
        </w:rPr>
      </w:pPr>
      <w:r w:rsidRPr="00687B88">
        <w:rPr>
          <w:rFonts w:ascii="Arial" w:hAnsi="Arial" w:cs="Arial"/>
          <w:color w:val="000000" w:themeColor="text1"/>
        </w:rPr>
        <w:t xml:space="preserve">El uso del concepto de quiebres de inactividad mediante actigrafía es factible en el entorno de la UCI, </w:t>
      </w:r>
      <w:r w:rsidR="00F376FA" w:rsidRPr="00687B88">
        <w:rPr>
          <w:rFonts w:ascii="Arial" w:hAnsi="Arial" w:cs="Arial"/>
          <w:color w:val="000000" w:themeColor="text1"/>
        </w:rPr>
        <w:t>caracteriza</w:t>
      </w:r>
      <w:r w:rsidR="008007B0" w:rsidRPr="00687B88">
        <w:rPr>
          <w:rFonts w:ascii="Arial" w:hAnsi="Arial" w:cs="Arial"/>
          <w:color w:val="000000" w:themeColor="text1"/>
        </w:rPr>
        <w:t>ndo</w:t>
      </w:r>
      <w:r w:rsidR="00F376FA" w:rsidRPr="00687B88">
        <w:rPr>
          <w:rFonts w:ascii="Arial" w:hAnsi="Arial" w:cs="Arial"/>
          <w:color w:val="000000" w:themeColor="text1"/>
        </w:rPr>
        <w:t xml:space="preserve"> </w:t>
      </w:r>
      <w:r w:rsidR="008007B0" w:rsidRPr="00687B88">
        <w:rPr>
          <w:rFonts w:ascii="Arial" w:hAnsi="Arial" w:cs="Arial"/>
          <w:color w:val="000000" w:themeColor="text1"/>
        </w:rPr>
        <w:t xml:space="preserve">objetivamente los </w:t>
      </w:r>
      <w:r w:rsidR="00F376FA" w:rsidRPr="00687B88">
        <w:rPr>
          <w:rFonts w:ascii="Arial" w:hAnsi="Arial" w:cs="Arial"/>
          <w:color w:val="000000" w:themeColor="text1"/>
        </w:rPr>
        <w:t xml:space="preserve">patrones de movimiento del paciente </w:t>
      </w:r>
      <w:r w:rsidR="008007B0" w:rsidRPr="00687B88">
        <w:rPr>
          <w:rFonts w:ascii="Arial" w:hAnsi="Arial" w:cs="Arial"/>
          <w:color w:val="000000" w:themeColor="text1"/>
        </w:rPr>
        <w:t>crítico</w:t>
      </w:r>
      <w:r w:rsidR="00F376FA" w:rsidRPr="00687B88">
        <w:rPr>
          <w:rFonts w:ascii="Arial" w:hAnsi="Arial" w:cs="Arial"/>
          <w:color w:val="000000" w:themeColor="text1"/>
        </w:rPr>
        <w:t xml:space="preserve">. </w:t>
      </w:r>
      <w:r w:rsidR="00B91CAE" w:rsidRPr="00687B88">
        <w:rPr>
          <w:rFonts w:ascii="Arial" w:hAnsi="Arial" w:cs="Arial"/>
          <w:color w:val="000000" w:themeColor="text1"/>
        </w:rPr>
        <w:t xml:space="preserve">En este estudio </w:t>
      </w:r>
      <w:r w:rsidR="00EA755B" w:rsidRPr="00687B88">
        <w:rPr>
          <w:rFonts w:ascii="Arial" w:hAnsi="Arial" w:cs="Arial"/>
          <w:color w:val="000000" w:themeColor="text1"/>
        </w:rPr>
        <w:t xml:space="preserve">de dos pacientes mecánicamente ventilados con larga estadía en la UCI </w:t>
      </w:r>
      <w:r w:rsidR="00B91CAE" w:rsidRPr="00687B88">
        <w:rPr>
          <w:rFonts w:ascii="Arial" w:hAnsi="Arial" w:cs="Arial"/>
          <w:color w:val="000000" w:themeColor="text1"/>
        </w:rPr>
        <w:t xml:space="preserve">se </w:t>
      </w:r>
      <w:r w:rsidR="008007B0" w:rsidRPr="00687B88">
        <w:rPr>
          <w:rFonts w:ascii="Arial" w:hAnsi="Arial" w:cs="Arial"/>
          <w:color w:val="000000" w:themeColor="text1"/>
        </w:rPr>
        <w:t>fue posible</w:t>
      </w:r>
      <w:r w:rsidR="00B91CAE" w:rsidRPr="00687B88">
        <w:rPr>
          <w:rFonts w:ascii="Arial" w:hAnsi="Arial" w:cs="Arial"/>
          <w:color w:val="000000" w:themeColor="text1"/>
        </w:rPr>
        <w:t xml:space="preserve"> medir los quiebres de inactividad</w:t>
      </w:r>
      <w:r w:rsidR="00F376FA" w:rsidRPr="00687B88">
        <w:rPr>
          <w:rFonts w:ascii="Arial" w:hAnsi="Arial" w:cs="Arial"/>
          <w:color w:val="000000" w:themeColor="text1"/>
        </w:rPr>
        <w:t xml:space="preserve"> y caracterizar patrones de número de quiebres y tiempos de duración de </w:t>
      </w:r>
      <w:proofErr w:type="gramStart"/>
      <w:r w:rsidR="00F376FA" w:rsidRPr="00687B88">
        <w:rPr>
          <w:rFonts w:ascii="Arial" w:hAnsi="Arial" w:cs="Arial"/>
          <w:color w:val="000000" w:themeColor="text1"/>
        </w:rPr>
        <w:t>los mismos</w:t>
      </w:r>
      <w:proofErr w:type="gramEnd"/>
      <w:r w:rsidR="00F376FA" w:rsidRPr="00687B88">
        <w:rPr>
          <w:rFonts w:ascii="Arial" w:hAnsi="Arial" w:cs="Arial"/>
          <w:color w:val="000000" w:themeColor="text1"/>
        </w:rPr>
        <w:t xml:space="preserve">. Se encontró </w:t>
      </w:r>
      <w:r w:rsidR="002E3665" w:rsidRPr="00687B88">
        <w:rPr>
          <w:rFonts w:ascii="Arial" w:hAnsi="Arial" w:cs="Arial"/>
          <w:color w:val="000000" w:themeColor="text1"/>
        </w:rPr>
        <w:t xml:space="preserve">que </w:t>
      </w:r>
      <w:r w:rsidR="00F376FA" w:rsidRPr="00687B88">
        <w:rPr>
          <w:rFonts w:ascii="Arial" w:hAnsi="Arial" w:cs="Arial"/>
          <w:color w:val="000000" w:themeColor="text1"/>
        </w:rPr>
        <w:t xml:space="preserve">quiebres de inactividad de mayor duración y cantidad </w:t>
      </w:r>
      <w:r w:rsidR="002E3665" w:rsidRPr="00687B88">
        <w:rPr>
          <w:rFonts w:ascii="Arial" w:hAnsi="Arial" w:cs="Arial"/>
          <w:color w:val="000000" w:themeColor="text1"/>
        </w:rPr>
        <w:t>tiene</w:t>
      </w:r>
      <w:r w:rsidR="00F376FA" w:rsidRPr="00687B88">
        <w:rPr>
          <w:rFonts w:ascii="Arial" w:hAnsi="Arial" w:cs="Arial"/>
          <w:color w:val="000000" w:themeColor="text1"/>
        </w:rPr>
        <w:t xml:space="preserve"> mejores resultados </w:t>
      </w:r>
      <w:r w:rsidR="008007B0" w:rsidRPr="00687B88">
        <w:rPr>
          <w:rFonts w:ascii="Arial" w:hAnsi="Arial" w:cs="Arial"/>
          <w:color w:val="000000" w:themeColor="text1"/>
        </w:rPr>
        <w:t>funcionales</w:t>
      </w:r>
      <w:r w:rsidR="00F376FA" w:rsidRPr="00687B88">
        <w:rPr>
          <w:rFonts w:ascii="Arial" w:hAnsi="Arial" w:cs="Arial"/>
          <w:color w:val="000000" w:themeColor="text1"/>
        </w:rPr>
        <w:t xml:space="preserve"> al egreso de la UCI que debe</w:t>
      </w:r>
      <w:r w:rsidR="008007B0" w:rsidRPr="00687B88">
        <w:rPr>
          <w:rFonts w:ascii="Arial" w:hAnsi="Arial" w:cs="Arial"/>
          <w:color w:val="000000" w:themeColor="text1"/>
        </w:rPr>
        <w:t>rían</w:t>
      </w:r>
      <w:r w:rsidR="00F376FA" w:rsidRPr="00687B88">
        <w:rPr>
          <w:rFonts w:ascii="Arial" w:hAnsi="Arial" w:cs="Arial"/>
          <w:color w:val="000000" w:themeColor="text1"/>
        </w:rPr>
        <w:t xml:space="preserve"> ser explorados en </w:t>
      </w:r>
      <w:r w:rsidR="008007B0" w:rsidRPr="00687B88">
        <w:rPr>
          <w:rFonts w:ascii="Arial" w:hAnsi="Arial" w:cs="Arial"/>
          <w:color w:val="000000" w:themeColor="text1"/>
        </w:rPr>
        <w:t>futuros</w:t>
      </w:r>
      <w:r w:rsidR="00F376FA" w:rsidRPr="00687B88">
        <w:rPr>
          <w:rFonts w:ascii="Arial" w:hAnsi="Arial" w:cs="Arial"/>
          <w:color w:val="000000" w:themeColor="text1"/>
        </w:rPr>
        <w:t xml:space="preserve"> estudios para </w:t>
      </w:r>
      <w:r w:rsidR="008007B0" w:rsidRPr="00687B88">
        <w:rPr>
          <w:rFonts w:ascii="Arial" w:hAnsi="Arial" w:cs="Arial"/>
          <w:color w:val="000000" w:themeColor="text1"/>
        </w:rPr>
        <w:t>identificar</w:t>
      </w:r>
      <w:r w:rsidR="00F376FA" w:rsidRPr="00687B88">
        <w:rPr>
          <w:rFonts w:ascii="Arial" w:hAnsi="Arial" w:cs="Arial"/>
          <w:color w:val="000000" w:themeColor="text1"/>
        </w:rPr>
        <w:t xml:space="preserve"> la asociación causal de estas variables. Esta información </w:t>
      </w:r>
      <w:r w:rsidR="002E3665" w:rsidRPr="00687B88">
        <w:rPr>
          <w:rFonts w:ascii="Arial" w:hAnsi="Arial" w:cs="Arial"/>
          <w:color w:val="000000" w:themeColor="text1"/>
        </w:rPr>
        <w:t xml:space="preserve">obtenida por actigrafía </w:t>
      </w:r>
      <w:r w:rsidR="00F376FA" w:rsidRPr="00687B88">
        <w:rPr>
          <w:rFonts w:ascii="Arial" w:hAnsi="Arial" w:cs="Arial"/>
          <w:color w:val="000000" w:themeColor="text1"/>
        </w:rPr>
        <w:t>podría ser relevante en la toma de decisi</w:t>
      </w:r>
      <w:r w:rsidR="008007B0" w:rsidRPr="00687B88">
        <w:rPr>
          <w:rFonts w:ascii="Arial" w:hAnsi="Arial" w:cs="Arial"/>
          <w:color w:val="000000" w:themeColor="text1"/>
        </w:rPr>
        <w:t>ón</w:t>
      </w:r>
      <w:r w:rsidR="00F376FA" w:rsidRPr="00687B88">
        <w:rPr>
          <w:rFonts w:ascii="Arial" w:hAnsi="Arial" w:cs="Arial"/>
          <w:color w:val="000000" w:themeColor="text1"/>
        </w:rPr>
        <w:t xml:space="preserve"> </w:t>
      </w:r>
      <w:r w:rsidR="008007B0" w:rsidRPr="00687B88">
        <w:rPr>
          <w:rFonts w:ascii="Arial" w:hAnsi="Arial" w:cs="Arial"/>
          <w:color w:val="000000" w:themeColor="text1"/>
        </w:rPr>
        <w:t>de la prescripción de</w:t>
      </w:r>
      <w:r w:rsidR="00F376FA" w:rsidRPr="00687B88">
        <w:rPr>
          <w:rFonts w:ascii="Arial" w:hAnsi="Arial" w:cs="Arial"/>
          <w:color w:val="000000" w:themeColor="text1"/>
        </w:rPr>
        <w:t xml:space="preserve"> movilización de los pacientes críticos.</w:t>
      </w:r>
    </w:p>
    <w:p w14:paraId="14D6FC24" w14:textId="77777777" w:rsidR="00114D71" w:rsidRDefault="00114D71" w:rsidP="00687B88">
      <w:pPr>
        <w:spacing w:line="480" w:lineRule="auto"/>
        <w:rPr>
          <w:rFonts w:ascii="Times New Roman" w:hAnsi="Times New Roman" w:cs="Times New Roman"/>
          <w:color w:val="000000" w:themeColor="text1"/>
        </w:rPr>
      </w:pPr>
    </w:p>
    <w:p w14:paraId="39E8C414" w14:textId="77777777" w:rsidR="00114D71" w:rsidRDefault="00114D71" w:rsidP="00687B88">
      <w:pPr>
        <w:spacing w:line="480" w:lineRule="auto"/>
        <w:rPr>
          <w:rFonts w:ascii="Times New Roman" w:hAnsi="Times New Roman" w:cs="Times New Roman"/>
          <w:color w:val="000000" w:themeColor="text1"/>
        </w:rPr>
      </w:pPr>
    </w:p>
    <w:p w14:paraId="52D2A0C5" w14:textId="77777777" w:rsidR="00114D71" w:rsidRDefault="00114D71" w:rsidP="00687B88">
      <w:pPr>
        <w:spacing w:line="480" w:lineRule="auto"/>
        <w:rPr>
          <w:rFonts w:ascii="Times New Roman" w:hAnsi="Times New Roman" w:cs="Times New Roman"/>
          <w:color w:val="000000" w:themeColor="text1"/>
        </w:rPr>
      </w:pPr>
    </w:p>
    <w:p w14:paraId="2BC422D3" w14:textId="77777777" w:rsidR="00114D71" w:rsidRDefault="00114D71" w:rsidP="00687B88">
      <w:pPr>
        <w:spacing w:line="480" w:lineRule="auto"/>
        <w:rPr>
          <w:rFonts w:ascii="Times New Roman" w:hAnsi="Times New Roman" w:cs="Times New Roman"/>
          <w:color w:val="000000" w:themeColor="text1"/>
        </w:rPr>
      </w:pPr>
    </w:p>
    <w:p w14:paraId="1A305478" w14:textId="77777777" w:rsidR="00114D71" w:rsidRDefault="00114D71" w:rsidP="00687B88">
      <w:pPr>
        <w:spacing w:line="480" w:lineRule="auto"/>
        <w:rPr>
          <w:rFonts w:ascii="Times New Roman" w:hAnsi="Times New Roman" w:cs="Times New Roman"/>
          <w:color w:val="000000" w:themeColor="text1"/>
        </w:rPr>
      </w:pPr>
    </w:p>
    <w:p w14:paraId="6DC603F7" w14:textId="77777777" w:rsidR="00114D71" w:rsidRDefault="00114D71" w:rsidP="00687B88">
      <w:pPr>
        <w:spacing w:line="480" w:lineRule="auto"/>
        <w:rPr>
          <w:rFonts w:ascii="Times New Roman" w:hAnsi="Times New Roman" w:cs="Times New Roman"/>
          <w:color w:val="000000" w:themeColor="text1"/>
        </w:rPr>
      </w:pPr>
    </w:p>
    <w:p w14:paraId="0654D663" w14:textId="77777777" w:rsidR="00114D71" w:rsidRDefault="00114D71" w:rsidP="00687B88">
      <w:pPr>
        <w:spacing w:line="480" w:lineRule="auto"/>
        <w:rPr>
          <w:rFonts w:ascii="Times New Roman" w:hAnsi="Times New Roman" w:cs="Times New Roman"/>
          <w:color w:val="000000" w:themeColor="text1"/>
        </w:rPr>
      </w:pPr>
    </w:p>
    <w:p w14:paraId="4D2E8152" w14:textId="77777777" w:rsidR="00114D71" w:rsidRDefault="00114D71" w:rsidP="00687B88">
      <w:pPr>
        <w:spacing w:line="480" w:lineRule="auto"/>
        <w:rPr>
          <w:rFonts w:ascii="Times New Roman" w:hAnsi="Times New Roman" w:cs="Times New Roman"/>
          <w:color w:val="000000" w:themeColor="text1"/>
        </w:rPr>
      </w:pPr>
    </w:p>
    <w:p w14:paraId="5BD176D1" w14:textId="77777777" w:rsidR="00114D71" w:rsidRDefault="00114D71" w:rsidP="00687B88">
      <w:pPr>
        <w:spacing w:line="480" w:lineRule="auto"/>
        <w:rPr>
          <w:rFonts w:ascii="Times New Roman" w:hAnsi="Times New Roman" w:cs="Times New Roman"/>
          <w:color w:val="000000" w:themeColor="text1"/>
        </w:rPr>
      </w:pPr>
    </w:p>
    <w:p w14:paraId="0C104D4C" w14:textId="4D56BF72" w:rsidR="00812B6A" w:rsidRPr="00114D71" w:rsidRDefault="00114D71" w:rsidP="00114D71">
      <w:pPr>
        <w:spacing w:line="480" w:lineRule="auto"/>
        <w:jc w:val="center"/>
        <w:rPr>
          <w:rFonts w:ascii="Arial" w:hAnsi="Arial" w:cs="Arial"/>
          <w:color w:val="000000" w:themeColor="text1"/>
        </w:rPr>
      </w:pPr>
      <w:r w:rsidRPr="00114D71">
        <w:rPr>
          <w:rFonts w:ascii="Arial" w:hAnsi="Arial" w:cs="Arial"/>
          <w:color w:val="808080" w:themeColor="background1" w:themeShade="80"/>
        </w:rPr>
        <w:t>14</w:t>
      </w:r>
      <w:r w:rsidR="00812B6A" w:rsidRPr="00114D71">
        <w:rPr>
          <w:rFonts w:ascii="Arial" w:hAnsi="Arial" w:cs="Arial"/>
          <w:color w:val="000000" w:themeColor="text1"/>
        </w:rPr>
        <w:br w:type="page"/>
      </w:r>
    </w:p>
    <w:p w14:paraId="38A93EF6" w14:textId="412C3382" w:rsidR="004A116A" w:rsidRPr="00D6481C" w:rsidRDefault="00812B6A" w:rsidP="00D6481C">
      <w:pPr>
        <w:spacing w:line="480" w:lineRule="auto"/>
        <w:rPr>
          <w:rFonts w:ascii="Arial" w:hAnsi="Arial" w:cs="Arial"/>
          <w:b/>
        </w:rPr>
      </w:pPr>
      <w:r w:rsidRPr="00D6481C">
        <w:rPr>
          <w:rFonts w:ascii="Arial" w:hAnsi="Arial" w:cs="Arial"/>
          <w:b/>
        </w:rPr>
        <w:t>Figuras</w:t>
      </w:r>
    </w:p>
    <w:p w14:paraId="37E6DF0B" w14:textId="6ABD947A" w:rsidR="00812B6A" w:rsidRPr="00812B6A" w:rsidRDefault="00812B6A" w:rsidP="00D6481C">
      <w:pPr>
        <w:spacing w:line="480" w:lineRule="auto"/>
        <w:rPr>
          <w:rFonts w:ascii="Times New Roman" w:hAnsi="Times New Roman" w:cs="Times New Roman"/>
        </w:rPr>
      </w:pPr>
      <w:r w:rsidRPr="00D6481C">
        <w:rPr>
          <w:rFonts w:ascii="Arial" w:hAnsi="Arial" w:cs="Arial"/>
          <w:b/>
        </w:rPr>
        <w:t>Figura 1.</w:t>
      </w:r>
      <w:r w:rsidRPr="00D6481C">
        <w:rPr>
          <w:rFonts w:ascii="Arial" w:hAnsi="Arial" w:cs="Arial"/>
        </w:rPr>
        <w:t xml:space="preserve"> </w:t>
      </w:r>
      <w:r w:rsidR="006A73F5" w:rsidRPr="00D6481C">
        <w:rPr>
          <w:rFonts w:ascii="Arial" w:hAnsi="Arial" w:cs="Arial"/>
        </w:rPr>
        <w:t xml:space="preserve">Definición </w:t>
      </w:r>
      <w:r w:rsidR="00194EA3" w:rsidRPr="00D6481C">
        <w:rPr>
          <w:rFonts w:ascii="Arial" w:hAnsi="Arial" w:cs="Arial"/>
        </w:rPr>
        <w:t xml:space="preserve">de </w:t>
      </w:r>
      <w:r w:rsidR="006A73F5" w:rsidRPr="00D6481C">
        <w:rPr>
          <w:rFonts w:ascii="Arial" w:hAnsi="Arial" w:cs="Arial"/>
        </w:rPr>
        <w:t xml:space="preserve">los </w:t>
      </w:r>
      <w:r w:rsidR="00194EA3" w:rsidRPr="00D6481C">
        <w:rPr>
          <w:rFonts w:ascii="Arial" w:hAnsi="Arial" w:cs="Arial"/>
        </w:rPr>
        <w:t xml:space="preserve">quiebres de inactividad durante </w:t>
      </w:r>
      <w:r w:rsidR="006A73F5" w:rsidRPr="00D6481C">
        <w:rPr>
          <w:rFonts w:ascii="Arial" w:hAnsi="Arial" w:cs="Arial"/>
        </w:rPr>
        <w:t xml:space="preserve">la </w:t>
      </w:r>
      <w:r w:rsidR="00194EA3" w:rsidRPr="00D6481C">
        <w:rPr>
          <w:rFonts w:ascii="Arial" w:hAnsi="Arial" w:cs="Arial"/>
        </w:rPr>
        <w:t xml:space="preserve">monitorización de actigrafía en </w:t>
      </w:r>
      <w:r w:rsidR="006A73F5" w:rsidRPr="00D6481C">
        <w:rPr>
          <w:rFonts w:ascii="Arial" w:hAnsi="Arial" w:cs="Arial"/>
        </w:rPr>
        <w:t xml:space="preserve">la </w:t>
      </w:r>
      <w:r w:rsidR="00194EA3" w:rsidRPr="00D6481C">
        <w:rPr>
          <w:rFonts w:ascii="Arial" w:hAnsi="Arial" w:cs="Arial"/>
        </w:rPr>
        <w:t xml:space="preserve">UCI. </w:t>
      </w:r>
      <w:r w:rsidR="00075594">
        <w:rPr>
          <w:rFonts w:ascii="Times New Roman" w:hAnsi="Times New Roman" w:cs="Times New Roman"/>
          <w:noProof/>
        </w:rPr>
        <w:drawing>
          <wp:inline distT="0" distB="0" distL="0" distR="0" wp14:anchorId="78036F7E" wp14:editId="282CBA52">
            <wp:extent cx="5612130" cy="4204970"/>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23-07-10 a la(s) 14.20.13.png"/>
                    <pic:cNvPicPr/>
                  </pic:nvPicPr>
                  <pic:blipFill>
                    <a:blip r:embed="rId13">
                      <a:extLst>
                        <a:ext uri="{28A0092B-C50C-407E-A947-70E740481C1C}">
                          <a14:useLocalDpi xmlns:a14="http://schemas.microsoft.com/office/drawing/2010/main" val="0"/>
                        </a:ext>
                      </a:extLst>
                    </a:blip>
                    <a:stretch>
                      <a:fillRect/>
                    </a:stretch>
                  </pic:blipFill>
                  <pic:spPr>
                    <a:xfrm>
                      <a:off x="0" y="0"/>
                      <a:ext cx="5612130" cy="4204970"/>
                    </a:xfrm>
                    <a:prstGeom prst="rect">
                      <a:avLst/>
                    </a:prstGeom>
                  </pic:spPr>
                </pic:pic>
              </a:graphicData>
            </a:graphic>
          </wp:inline>
        </w:drawing>
      </w:r>
    </w:p>
    <w:p w14:paraId="023574E0" w14:textId="1A33D0A1" w:rsidR="00956C03" w:rsidRPr="00D6481C" w:rsidRDefault="00956C03" w:rsidP="00D6481C">
      <w:pPr>
        <w:spacing w:line="480" w:lineRule="auto"/>
        <w:rPr>
          <w:rFonts w:ascii="Arial" w:hAnsi="Arial" w:cs="Arial"/>
        </w:rPr>
      </w:pPr>
      <w:r w:rsidRPr="00D6481C">
        <w:rPr>
          <w:rFonts w:ascii="Arial" w:hAnsi="Arial" w:cs="Arial"/>
        </w:rPr>
        <w:t xml:space="preserve">Fuente: elaborado por los autores a partir de los resultados del estudio. </w:t>
      </w:r>
    </w:p>
    <w:p w14:paraId="75B433A0" w14:textId="77777777" w:rsidR="00956C03" w:rsidRPr="00D6481C" w:rsidRDefault="00956C03" w:rsidP="00D6481C">
      <w:pPr>
        <w:spacing w:line="480" w:lineRule="auto"/>
        <w:rPr>
          <w:rFonts w:ascii="Arial" w:eastAsia="Times New Roman" w:hAnsi="Arial" w:cs="Arial"/>
          <w:lang w:eastAsia="es-ES_tradnl"/>
        </w:rPr>
      </w:pPr>
    </w:p>
    <w:p w14:paraId="4336478D" w14:textId="0434C2E0" w:rsidR="00D6481C" w:rsidRDefault="00956C03" w:rsidP="00D6481C">
      <w:pPr>
        <w:spacing w:line="480" w:lineRule="auto"/>
        <w:rPr>
          <w:rFonts w:ascii="Arial" w:hAnsi="Arial" w:cs="Arial"/>
        </w:rPr>
      </w:pPr>
      <w:r w:rsidRPr="00D6481C">
        <w:rPr>
          <w:rFonts w:ascii="Arial" w:hAnsi="Arial" w:cs="Arial"/>
        </w:rPr>
        <w:t xml:space="preserve">Durante la estadía en UCI, los puntos de tiempo de medición fueron el ingreso a la UCI (instalación del actígrafo), el despertar (momento en que se consideró al paciente como cooperador) y egreso de la UCI (retiro del actígrafo). Se analizaron los </w:t>
      </w:r>
      <w:r w:rsidR="00BD44BA" w:rsidRPr="00D6481C">
        <w:rPr>
          <w:rFonts w:ascii="Arial" w:hAnsi="Arial" w:cs="Arial"/>
        </w:rPr>
        <w:t>diez</w:t>
      </w:r>
      <w:r w:rsidRPr="00D6481C">
        <w:rPr>
          <w:rFonts w:ascii="Arial" w:hAnsi="Arial" w:cs="Arial"/>
        </w:rPr>
        <w:t xml:space="preserve"> primeros días desde el desperta</w:t>
      </w:r>
      <w:r w:rsidR="00016069" w:rsidRPr="00D6481C">
        <w:rPr>
          <w:rFonts w:ascii="Arial" w:hAnsi="Arial" w:cs="Arial"/>
        </w:rPr>
        <w:t xml:space="preserve">r en bloques de una hora, </w:t>
      </w:r>
    </w:p>
    <w:p w14:paraId="7724B242" w14:textId="4B05DA8E" w:rsidR="00D6481C" w:rsidRPr="00D6481C" w:rsidRDefault="00D6481C" w:rsidP="00D6481C">
      <w:pPr>
        <w:jc w:val="center"/>
        <w:rPr>
          <w:rFonts w:ascii="Arial" w:hAnsi="Arial" w:cs="Arial"/>
          <w:color w:val="808080" w:themeColor="background1" w:themeShade="80"/>
        </w:rPr>
      </w:pPr>
      <w:r w:rsidRPr="00D6481C">
        <w:rPr>
          <w:rFonts w:ascii="Arial" w:hAnsi="Arial" w:cs="Arial"/>
          <w:color w:val="808080" w:themeColor="background1" w:themeShade="80"/>
        </w:rPr>
        <w:t>15</w:t>
      </w:r>
    </w:p>
    <w:p w14:paraId="695D5276" w14:textId="77777777" w:rsidR="00D6481C" w:rsidRDefault="00016069" w:rsidP="00D6481C">
      <w:pPr>
        <w:spacing w:line="480" w:lineRule="auto"/>
        <w:rPr>
          <w:rFonts w:ascii="Times New Roman" w:hAnsi="Times New Roman" w:cs="Times New Roman"/>
        </w:rPr>
      </w:pPr>
      <w:r w:rsidRPr="00D6481C">
        <w:rPr>
          <w:rFonts w:ascii="Arial" w:hAnsi="Arial" w:cs="Arial"/>
        </w:rPr>
        <w:t>cada hora tiene un número de quiebres de inactividad (verde) y de inactividad (rojo</w:t>
      </w:r>
      <w:r w:rsidR="00BC70A4" w:rsidRPr="00D6481C">
        <w:rPr>
          <w:rFonts w:ascii="Arial" w:hAnsi="Arial" w:cs="Arial"/>
        </w:rPr>
        <w:t>)</w:t>
      </w:r>
      <w:r w:rsidRPr="00D6481C">
        <w:rPr>
          <w:rFonts w:ascii="Arial" w:hAnsi="Arial" w:cs="Arial"/>
          <w:i/>
        </w:rPr>
        <w:t xml:space="preserve">. </w:t>
      </w:r>
      <w:r w:rsidRPr="00D6481C">
        <w:rPr>
          <w:rFonts w:ascii="Arial" w:hAnsi="Arial" w:cs="Arial"/>
        </w:rPr>
        <w:t xml:space="preserve">La </w:t>
      </w:r>
      <w:r w:rsidR="00BD44BA" w:rsidRPr="00D6481C">
        <w:rPr>
          <w:rFonts w:ascii="Arial" w:hAnsi="Arial" w:cs="Arial"/>
        </w:rPr>
        <w:t>duración de los quiebres de inactividad corresponde a la suma del tiempo de cada quiebre de inactividad por hora.</w:t>
      </w:r>
      <w:r w:rsidR="00BD44BA">
        <w:rPr>
          <w:rFonts w:ascii="Times New Roman" w:hAnsi="Times New Roman" w:cs="Times New Roman"/>
        </w:rPr>
        <w:t xml:space="preserve"> </w:t>
      </w:r>
    </w:p>
    <w:p w14:paraId="50606053" w14:textId="77777777" w:rsidR="00D6481C" w:rsidRDefault="00D6481C" w:rsidP="00D6481C">
      <w:pPr>
        <w:spacing w:line="480" w:lineRule="auto"/>
        <w:rPr>
          <w:rFonts w:ascii="Times New Roman" w:hAnsi="Times New Roman" w:cs="Times New Roman"/>
          <w:b/>
        </w:rPr>
      </w:pPr>
    </w:p>
    <w:p w14:paraId="162B6DCD" w14:textId="77777777" w:rsidR="00D6481C" w:rsidRDefault="00D6481C" w:rsidP="00D6481C">
      <w:pPr>
        <w:spacing w:line="480" w:lineRule="auto"/>
        <w:rPr>
          <w:rFonts w:ascii="Times New Roman" w:hAnsi="Times New Roman" w:cs="Times New Roman"/>
          <w:b/>
        </w:rPr>
      </w:pPr>
    </w:p>
    <w:p w14:paraId="3A55E2D1" w14:textId="77777777" w:rsidR="00D6481C" w:rsidRDefault="00D6481C" w:rsidP="00D6481C">
      <w:pPr>
        <w:spacing w:line="480" w:lineRule="auto"/>
        <w:rPr>
          <w:rFonts w:ascii="Times New Roman" w:hAnsi="Times New Roman" w:cs="Times New Roman"/>
          <w:b/>
        </w:rPr>
      </w:pPr>
    </w:p>
    <w:p w14:paraId="58FD831C" w14:textId="77777777" w:rsidR="00D6481C" w:rsidRDefault="00D6481C" w:rsidP="00D6481C">
      <w:pPr>
        <w:spacing w:line="480" w:lineRule="auto"/>
        <w:rPr>
          <w:rFonts w:ascii="Times New Roman" w:hAnsi="Times New Roman" w:cs="Times New Roman"/>
          <w:b/>
        </w:rPr>
      </w:pPr>
    </w:p>
    <w:p w14:paraId="41363451" w14:textId="77777777" w:rsidR="00D6481C" w:rsidRDefault="00D6481C" w:rsidP="00D6481C">
      <w:pPr>
        <w:spacing w:line="480" w:lineRule="auto"/>
        <w:rPr>
          <w:rFonts w:ascii="Times New Roman" w:hAnsi="Times New Roman" w:cs="Times New Roman"/>
          <w:b/>
        </w:rPr>
      </w:pPr>
    </w:p>
    <w:p w14:paraId="2DF65081" w14:textId="77777777" w:rsidR="00D6481C" w:rsidRDefault="00D6481C" w:rsidP="00D6481C">
      <w:pPr>
        <w:spacing w:line="480" w:lineRule="auto"/>
        <w:rPr>
          <w:rFonts w:ascii="Times New Roman" w:hAnsi="Times New Roman" w:cs="Times New Roman"/>
          <w:b/>
        </w:rPr>
      </w:pPr>
    </w:p>
    <w:p w14:paraId="5A07C93F" w14:textId="77777777" w:rsidR="00D6481C" w:rsidRDefault="00D6481C" w:rsidP="00D6481C">
      <w:pPr>
        <w:spacing w:line="480" w:lineRule="auto"/>
        <w:rPr>
          <w:rFonts w:ascii="Times New Roman" w:hAnsi="Times New Roman" w:cs="Times New Roman"/>
          <w:b/>
        </w:rPr>
      </w:pPr>
    </w:p>
    <w:p w14:paraId="282F7F33" w14:textId="77777777" w:rsidR="00D6481C" w:rsidRDefault="00D6481C" w:rsidP="00D6481C">
      <w:pPr>
        <w:spacing w:line="480" w:lineRule="auto"/>
        <w:rPr>
          <w:rFonts w:ascii="Times New Roman" w:hAnsi="Times New Roman" w:cs="Times New Roman"/>
          <w:b/>
        </w:rPr>
      </w:pPr>
    </w:p>
    <w:p w14:paraId="5A293203" w14:textId="77777777" w:rsidR="00D6481C" w:rsidRDefault="00D6481C" w:rsidP="00D6481C">
      <w:pPr>
        <w:spacing w:line="480" w:lineRule="auto"/>
        <w:rPr>
          <w:rFonts w:ascii="Times New Roman" w:hAnsi="Times New Roman" w:cs="Times New Roman"/>
          <w:b/>
        </w:rPr>
      </w:pPr>
    </w:p>
    <w:p w14:paraId="6A3EDDC0" w14:textId="77777777" w:rsidR="00D6481C" w:rsidRDefault="00D6481C" w:rsidP="00D6481C">
      <w:pPr>
        <w:spacing w:line="480" w:lineRule="auto"/>
        <w:rPr>
          <w:rFonts w:ascii="Times New Roman" w:hAnsi="Times New Roman" w:cs="Times New Roman"/>
          <w:b/>
        </w:rPr>
      </w:pPr>
    </w:p>
    <w:p w14:paraId="64207850" w14:textId="77777777" w:rsidR="00D6481C" w:rsidRDefault="00D6481C" w:rsidP="00D6481C">
      <w:pPr>
        <w:spacing w:line="480" w:lineRule="auto"/>
        <w:rPr>
          <w:rFonts w:ascii="Times New Roman" w:hAnsi="Times New Roman" w:cs="Times New Roman"/>
          <w:b/>
        </w:rPr>
      </w:pPr>
    </w:p>
    <w:p w14:paraId="40FE265E" w14:textId="77777777" w:rsidR="00D6481C" w:rsidRDefault="00D6481C" w:rsidP="00D6481C">
      <w:pPr>
        <w:spacing w:line="480" w:lineRule="auto"/>
        <w:rPr>
          <w:rFonts w:ascii="Times New Roman" w:hAnsi="Times New Roman" w:cs="Times New Roman"/>
          <w:b/>
        </w:rPr>
      </w:pPr>
    </w:p>
    <w:p w14:paraId="74F2FCE4" w14:textId="77777777" w:rsidR="00D6481C" w:rsidRDefault="00D6481C" w:rsidP="00D6481C">
      <w:pPr>
        <w:spacing w:line="480" w:lineRule="auto"/>
        <w:rPr>
          <w:rFonts w:ascii="Times New Roman" w:hAnsi="Times New Roman" w:cs="Times New Roman"/>
          <w:b/>
        </w:rPr>
      </w:pPr>
    </w:p>
    <w:p w14:paraId="377A733D" w14:textId="77777777" w:rsidR="00D6481C" w:rsidRDefault="00D6481C" w:rsidP="00D6481C">
      <w:pPr>
        <w:spacing w:line="480" w:lineRule="auto"/>
        <w:rPr>
          <w:rFonts w:ascii="Times New Roman" w:hAnsi="Times New Roman" w:cs="Times New Roman"/>
          <w:b/>
        </w:rPr>
      </w:pPr>
    </w:p>
    <w:p w14:paraId="77F78C1C" w14:textId="77777777" w:rsidR="00D6481C" w:rsidRDefault="00D6481C" w:rsidP="00D6481C">
      <w:pPr>
        <w:spacing w:line="480" w:lineRule="auto"/>
        <w:rPr>
          <w:rFonts w:ascii="Times New Roman" w:hAnsi="Times New Roman" w:cs="Times New Roman"/>
          <w:b/>
        </w:rPr>
      </w:pPr>
    </w:p>
    <w:p w14:paraId="648815BE" w14:textId="77777777" w:rsidR="00D6481C" w:rsidRDefault="00D6481C" w:rsidP="00D6481C">
      <w:pPr>
        <w:spacing w:line="480" w:lineRule="auto"/>
        <w:rPr>
          <w:rFonts w:ascii="Times New Roman" w:hAnsi="Times New Roman" w:cs="Times New Roman"/>
          <w:b/>
        </w:rPr>
      </w:pPr>
    </w:p>
    <w:p w14:paraId="2F11DBCD" w14:textId="77777777" w:rsidR="00D6481C" w:rsidRDefault="00D6481C" w:rsidP="00D6481C">
      <w:pPr>
        <w:spacing w:line="480" w:lineRule="auto"/>
        <w:rPr>
          <w:rFonts w:ascii="Times New Roman" w:hAnsi="Times New Roman" w:cs="Times New Roman"/>
          <w:b/>
        </w:rPr>
      </w:pPr>
    </w:p>
    <w:p w14:paraId="7705717F" w14:textId="77777777" w:rsidR="00D6481C" w:rsidRDefault="00D6481C" w:rsidP="00D6481C">
      <w:pPr>
        <w:spacing w:line="480" w:lineRule="auto"/>
        <w:rPr>
          <w:rFonts w:ascii="Times New Roman" w:hAnsi="Times New Roman" w:cs="Times New Roman"/>
          <w:b/>
        </w:rPr>
      </w:pPr>
    </w:p>
    <w:p w14:paraId="7E43FE99" w14:textId="79EAE707" w:rsidR="00C44859" w:rsidRPr="00D6481C" w:rsidRDefault="00D6481C" w:rsidP="00D6481C">
      <w:pPr>
        <w:spacing w:line="480" w:lineRule="auto"/>
        <w:jc w:val="center"/>
        <w:rPr>
          <w:rFonts w:ascii="Times New Roman" w:hAnsi="Times New Roman" w:cs="Times New Roman"/>
        </w:rPr>
      </w:pPr>
      <w:r w:rsidRPr="00D6481C">
        <w:rPr>
          <w:rFonts w:ascii="Times New Roman" w:hAnsi="Times New Roman" w:cs="Times New Roman"/>
          <w:color w:val="808080" w:themeColor="background1" w:themeShade="80"/>
        </w:rPr>
        <w:t>16</w:t>
      </w:r>
      <w:r w:rsidR="00C44859" w:rsidRPr="00D6481C">
        <w:rPr>
          <w:rFonts w:ascii="Times New Roman" w:hAnsi="Times New Roman" w:cs="Times New Roman"/>
        </w:rPr>
        <w:br w:type="page"/>
      </w:r>
    </w:p>
    <w:p w14:paraId="2348E376" w14:textId="4957A913" w:rsidR="00C44859" w:rsidRPr="00D6481C" w:rsidRDefault="00C44859" w:rsidP="00D6481C">
      <w:pPr>
        <w:spacing w:line="480" w:lineRule="auto"/>
        <w:jc w:val="both"/>
        <w:rPr>
          <w:rFonts w:ascii="Arial" w:hAnsi="Arial" w:cs="Arial"/>
          <w:b/>
        </w:rPr>
      </w:pPr>
      <w:r w:rsidRPr="00D6481C">
        <w:rPr>
          <w:rFonts w:ascii="Arial" w:hAnsi="Arial" w:cs="Arial"/>
          <w:b/>
        </w:rPr>
        <w:t>Tablas</w:t>
      </w:r>
    </w:p>
    <w:p w14:paraId="792183DE" w14:textId="37B94741" w:rsidR="00C44859" w:rsidRPr="00D6481C" w:rsidRDefault="00C44859" w:rsidP="00D6481C">
      <w:pPr>
        <w:spacing w:line="480" w:lineRule="auto"/>
        <w:jc w:val="both"/>
        <w:rPr>
          <w:rFonts w:ascii="Arial" w:hAnsi="Arial" w:cs="Arial"/>
          <w:b/>
        </w:rPr>
      </w:pPr>
      <w:r w:rsidRPr="00D6481C">
        <w:rPr>
          <w:rFonts w:ascii="Arial" w:hAnsi="Arial" w:cs="Arial"/>
          <w:b/>
        </w:rPr>
        <w:t xml:space="preserve">Tabla 1. </w:t>
      </w:r>
      <w:r w:rsidRPr="00D6481C">
        <w:rPr>
          <w:rFonts w:ascii="Arial" w:hAnsi="Arial" w:cs="Arial"/>
          <w:bCs/>
        </w:rPr>
        <w:t xml:space="preserve">Características de los </w:t>
      </w:r>
      <w:r w:rsidR="00A76191" w:rsidRPr="00D6481C">
        <w:rPr>
          <w:rFonts w:ascii="Arial" w:hAnsi="Arial" w:cs="Arial"/>
          <w:bCs/>
        </w:rPr>
        <w:t>pacientes</w:t>
      </w:r>
    </w:p>
    <w:tbl>
      <w:tblPr>
        <w:tblStyle w:val="Tablaconcuadrcula"/>
        <w:tblW w:w="930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2415"/>
        <w:gridCol w:w="2070"/>
      </w:tblGrid>
      <w:tr w:rsidR="00C44859" w:rsidRPr="00D6481C" w14:paraId="72A2C8BD" w14:textId="77777777" w:rsidTr="00FB1E60">
        <w:tc>
          <w:tcPr>
            <w:tcW w:w="4815" w:type="dxa"/>
            <w:tcBorders>
              <w:top w:val="single" w:sz="4" w:space="0" w:color="auto"/>
              <w:bottom w:val="single" w:sz="4" w:space="0" w:color="auto"/>
            </w:tcBorders>
            <w:vAlign w:val="center"/>
          </w:tcPr>
          <w:p w14:paraId="15CCD52F" w14:textId="45185AD7" w:rsidR="00C44859" w:rsidRPr="00D6481C" w:rsidRDefault="00C44859" w:rsidP="00D6481C">
            <w:pPr>
              <w:spacing w:line="480" w:lineRule="auto"/>
              <w:rPr>
                <w:rFonts w:ascii="Arial" w:hAnsi="Arial" w:cs="Arial"/>
                <w:b/>
                <w:bCs/>
              </w:rPr>
            </w:pPr>
            <w:r w:rsidRPr="00D6481C">
              <w:rPr>
                <w:rFonts w:ascii="Arial" w:hAnsi="Arial" w:cs="Arial"/>
                <w:b/>
                <w:bCs/>
              </w:rPr>
              <w:t>Variables</w:t>
            </w:r>
          </w:p>
        </w:tc>
        <w:tc>
          <w:tcPr>
            <w:tcW w:w="2415" w:type="dxa"/>
            <w:tcBorders>
              <w:top w:val="single" w:sz="4" w:space="0" w:color="auto"/>
              <w:bottom w:val="single" w:sz="4" w:space="0" w:color="auto"/>
            </w:tcBorders>
            <w:vAlign w:val="center"/>
          </w:tcPr>
          <w:p w14:paraId="6E1B3786" w14:textId="1779B2D5" w:rsidR="00C44859" w:rsidRPr="00D6481C" w:rsidRDefault="00C44859" w:rsidP="00D6481C">
            <w:pPr>
              <w:spacing w:line="480" w:lineRule="auto"/>
              <w:jc w:val="center"/>
              <w:rPr>
                <w:rFonts w:ascii="Arial" w:hAnsi="Arial" w:cs="Arial"/>
                <w:b/>
                <w:bCs/>
              </w:rPr>
            </w:pPr>
            <w:r w:rsidRPr="00D6481C">
              <w:rPr>
                <w:rFonts w:ascii="Arial" w:hAnsi="Arial" w:cs="Arial"/>
                <w:b/>
                <w:bCs/>
              </w:rPr>
              <w:t>Paciente A</w:t>
            </w:r>
          </w:p>
        </w:tc>
        <w:tc>
          <w:tcPr>
            <w:tcW w:w="2070" w:type="dxa"/>
            <w:tcBorders>
              <w:top w:val="single" w:sz="4" w:space="0" w:color="auto"/>
              <w:bottom w:val="single" w:sz="4" w:space="0" w:color="auto"/>
            </w:tcBorders>
            <w:vAlign w:val="center"/>
          </w:tcPr>
          <w:p w14:paraId="252E0C83" w14:textId="685A490F" w:rsidR="00C44859" w:rsidRPr="00D6481C" w:rsidRDefault="00C44859" w:rsidP="00D6481C">
            <w:pPr>
              <w:spacing w:line="480" w:lineRule="auto"/>
              <w:jc w:val="center"/>
              <w:rPr>
                <w:rFonts w:ascii="Arial" w:hAnsi="Arial" w:cs="Arial"/>
                <w:b/>
                <w:bCs/>
              </w:rPr>
            </w:pPr>
            <w:r w:rsidRPr="00D6481C">
              <w:rPr>
                <w:rFonts w:ascii="Arial" w:hAnsi="Arial" w:cs="Arial"/>
                <w:b/>
                <w:bCs/>
              </w:rPr>
              <w:t>Paciente B</w:t>
            </w:r>
          </w:p>
        </w:tc>
      </w:tr>
      <w:tr w:rsidR="00C44859" w:rsidRPr="00D6481C" w14:paraId="076394AA" w14:textId="77777777" w:rsidTr="00FB1E60">
        <w:tc>
          <w:tcPr>
            <w:tcW w:w="4815" w:type="dxa"/>
            <w:tcBorders>
              <w:top w:val="single" w:sz="4" w:space="0" w:color="auto"/>
            </w:tcBorders>
          </w:tcPr>
          <w:p w14:paraId="03E4D5D3" w14:textId="63E21660" w:rsidR="00C44859" w:rsidRPr="00D6481C" w:rsidRDefault="00C44859" w:rsidP="00D6481C">
            <w:pPr>
              <w:spacing w:line="480" w:lineRule="auto"/>
              <w:jc w:val="both"/>
              <w:rPr>
                <w:rFonts w:ascii="Arial" w:hAnsi="Arial" w:cs="Arial"/>
              </w:rPr>
            </w:pPr>
            <w:r w:rsidRPr="00D6481C">
              <w:rPr>
                <w:rFonts w:ascii="Arial" w:hAnsi="Arial" w:cs="Arial"/>
              </w:rPr>
              <w:t>Edad, años</w:t>
            </w:r>
          </w:p>
        </w:tc>
        <w:tc>
          <w:tcPr>
            <w:tcW w:w="2415" w:type="dxa"/>
            <w:tcBorders>
              <w:top w:val="single" w:sz="4" w:space="0" w:color="auto"/>
            </w:tcBorders>
          </w:tcPr>
          <w:p w14:paraId="7CEBB8BF" w14:textId="77777777" w:rsidR="00C44859" w:rsidRPr="00D6481C" w:rsidRDefault="00C44859" w:rsidP="00D6481C">
            <w:pPr>
              <w:spacing w:line="480" w:lineRule="auto"/>
              <w:jc w:val="center"/>
              <w:rPr>
                <w:rFonts w:ascii="Arial" w:hAnsi="Arial" w:cs="Arial"/>
              </w:rPr>
            </w:pPr>
            <w:r w:rsidRPr="00D6481C">
              <w:rPr>
                <w:rFonts w:ascii="Arial" w:hAnsi="Arial" w:cs="Arial"/>
              </w:rPr>
              <w:t>66</w:t>
            </w:r>
          </w:p>
        </w:tc>
        <w:tc>
          <w:tcPr>
            <w:tcW w:w="2070" w:type="dxa"/>
            <w:tcBorders>
              <w:top w:val="single" w:sz="4" w:space="0" w:color="auto"/>
            </w:tcBorders>
          </w:tcPr>
          <w:p w14:paraId="7A1B60F5" w14:textId="77777777" w:rsidR="00C44859" w:rsidRPr="00D6481C" w:rsidRDefault="00C44859" w:rsidP="00D6481C">
            <w:pPr>
              <w:spacing w:line="480" w:lineRule="auto"/>
              <w:jc w:val="center"/>
              <w:rPr>
                <w:rFonts w:ascii="Arial" w:hAnsi="Arial" w:cs="Arial"/>
              </w:rPr>
            </w:pPr>
            <w:r w:rsidRPr="00D6481C">
              <w:rPr>
                <w:rFonts w:ascii="Arial" w:hAnsi="Arial" w:cs="Arial"/>
              </w:rPr>
              <w:t>65</w:t>
            </w:r>
          </w:p>
        </w:tc>
      </w:tr>
      <w:tr w:rsidR="00C44859" w:rsidRPr="00D6481C" w14:paraId="7BABD19E" w14:textId="77777777" w:rsidTr="00FB1E60">
        <w:tc>
          <w:tcPr>
            <w:tcW w:w="4815" w:type="dxa"/>
          </w:tcPr>
          <w:p w14:paraId="5DDC3613" w14:textId="3B451276" w:rsidR="00C44859" w:rsidRPr="00D6481C" w:rsidRDefault="00C44859" w:rsidP="00D6481C">
            <w:pPr>
              <w:spacing w:line="480" w:lineRule="auto"/>
              <w:jc w:val="both"/>
              <w:rPr>
                <w:rFonts w:ascii="Arial" w:hAnsi="Arial" w:cs="Arial"/>
              </w:rPr>
            </w:pPr>
            <w:r w:rsidRPr="00D6481C">
              <w:rPr>
                <w:rFonts w:ascii="Arial" w:hAnsi="Arial" w:cs="Arial"/>
              </w:rPr>
              <w:t>Índice de masa corporal, kg/m2</w:t>
            </w:r>
          </w:p>
        </w:tc>
        <w:tc>
          <w:tcPr>
            <w:tcW w:w="2415" w:type="dxa"/>
          </w:tcPr>
          <w:p w14:paraId="64135AA1" w14:textId="77777777" w:rsidR="00C44859" w:rsidRPr="00D6481C" w:rsidRDefault="00C44859" w:rsidP="00D6481C">
            <w:pPr>
              <w:spacing w:line="480" w:lineRule="auto"/>
              <w:jc w:val="center"/>
              <w:rPr>
                <w:rFonts w:ascii="Arial" w:hAnsi="Arial" w:cs="Arial"/>
              </w:rPr>
            </w:pPr>
            <w:r w:rsidRPr="00D6481C">
              <w:rPr>
                <w:rFonts w:ascii="Arial" w:hAnsi="Arial" w:cs="Arial"/>
              </w:rPr>
              <w:t>27</w:t>
            </w:r>
          </w:p>
        </w:tc>
        <w:tc>
          <w:tcPr>
            <w:tcW w:w="2070" w:type="dxa"/>
          </w:tcPr>
          <w:p w14:paraId="5588C9A0" w14:textId="77777777" w:rsidR="00C44859" w:rsidRPr="00D6481C" w:rsidRDefault="00C44859" w:rsidP="00D6481C">
            <w:pPr>
              <w:spacing w:line="480" w:lineRule="auto"/>
              <w:jc w:val="center"/>
              <w:rPr>
                <w:rFonts w:ascii="Arial" w:hAnsi="Arial" w:cs="Arial"/>
              </w:rPr>
            </w:pPr>
            <w:r w:rsidRPr="00D6481C">
              <w:rPr>
                <w:rFonts w:ascii="Arial" w:hAnsi="Arial" w:cs="Arial"/>
              </w:rPr>
              <w:t>22</w:t>
            </w:r>
          </w:p>
        </w:tc>
      </w:tr>
      <w:tr w:rsidR="00C44859" w:rsidRPr="00D6481C" w14:paraId="068598D8" w14:textId="77777777" w:rsidTr="00FB1E60">
        <w:tc>
          <w:tcPr>
            <w:tcW w:w="4815" w:type="dxa"/>
          </w:tcPr>
          <w:p w14:paraId="4B44B886" w14:textId="635126A9" w:rsidR="00C44859" w:rsidRPr="00D6481C" w:rsidRDefault="00C44859" w:rsidP="00D6481C">
            <w:pPr>
              <w:spacing w:line="480" w:lineRule="auto"/>
              <w:jc w:val="both"/>
              <w:rPr>
                <w:rFonts w:ascii="Arial" w:hAnsi="Arial" w:cs="Arial"/>
              </w:rPr>
            </w:pPr>
            <w:r w:rsidRPr="00D6481C">
              <w:rPr>
                <w:rFonts w:ascii="Arial" w:hAnsi="Arial" w:cs="Arial"/>
              </w:rPr>
              <w:t>Género</w:t>
            </w:r>
          </w:p>
        </w:tc>
        <w:tc>
          <w:tcPr>
            <w:tcW w:w="2415" w:type="dxa"/>
          </w:tcPr>
          <w:p w14:paraId="2667BC8E" w14:textId="5DB94075" w:rsidR="00C44859" w:rsidRPr="00D6481C" w:rsidRDefault="00C44859" w:rsidP="00D6481C">
            <w:pPr>
              <w:spacing w:line="480" w:lineRule="auto"/>
              <w:jc w:val="center"/>
              <w:rPr>
                <w:rFonts w:ascii="Arial" w:hAnsi="Arial" w:cs="Arial"/>
              </w:rPr>
            </w:pPr>
            <w:r w:rsidRPr="00D6481C">
              <w:rPr>
                <w:rFonts w:ascii="Arial" w:hAnsi="Arial" w:cs="Arial"/>
              </w:rPr>
              <w:t>Femenino</w:t>
            </w:r>
          </w:p>
        </w:tc>
        <w:tc>
          <w:tcPr>
            <w:tcW w:w="2070" w:type="dxa"/>
          </w:tcPr>
          <w:p w14:paraId="74B95F30" w14:textId="35625D7F" w:rsidR="00C44859" w:rsidRPr="00D6481C" w:rsidRDefault="00C44859" w:rsidP="00D6481C">
            <w:pPr>
              <w:spacing w:line="480" w:lineRule="auto"/>
              <w:jc w:val="center"/>
              <w:rPr>
                <w:rFonts w:ascii="Arial" w:hAnsi="Arial" w:cs="Arial"/>
              </w:rPr>
            </w:pPr>
            <w:r w:rsidRPr="00D6481C">
              <w:rPr>
                <w:rFonts w:ascii="Arial" w:hAnsi="Arial" w:cs="Arial"/>
              </w:rPr>
              <w:t>Masculino</w:t>
            </w:r>
          </w:p>
        </w:tc>
      </w:tr>
      <w:tr w:rsidR="00C44859" w:rsidRPr="00D6481C" w14:paraId="1711AA8C" w14:textId="77777777" w:rsidTr="00FB1E60">
        <w:tc>
          <w:tcPr>
            <w:tcW w:w="4815" w:type="dxa"/>
          </w:tcPr>
          <w:p w14:paraId="557D0034" w14:textId="47E6261E" w:rsidR="00C44859" w:rsidRPr="00D6481C" w:rsidRDefault="00C44859" w:rsidP="00D6481C">
            <w:pPr>
              <w:spacing w:line="480" w:lineRule="auto"/>
              <w:jc w:val="both"/>
              <w:rPr>
                <w:rFonts w:ascii="Arial" w:hAnsi="Arial" w:cs="Arial"/>
              </w:rPr>
            </w:pPr>
            <w:r w:rsidRPr="00D6481C">
              <w:rPr>
                <w:rFonts w:ascii="Arial" w:hAnsi="Arial" w:cs="Arial"/>
              </w:rPr>
              <w:t>APACHE II, puntaje</w:t>
            </w:r>
          </w:p>
        </w:tc>
        <w:tc>
          <w:tcPr>
            <w:tcW w:w="2415" w:type="dxa"/>
          </w:tcPr>
          <w:p w14:paraId="377DA794" w14:textId="77777777" w:rsidR="00C44859" w:rsidRPr="00D6481C" w:rsidRDefault="00C44859" w:rsidP="00D6481C">
            <w:pPr>
              <w:spacing w:line="480" w:lineRule="auto"/>
              <w:jc w:val="center"/>
              <w:rPr>
                <w:rFonts w:ascii="Arial" w:hAnsi="Arial" w:cs="Arial"/>
              </w:rPr>
            </w:pPr>
            <w:r w:rsidRPr="00D6481C">
              <w:rPr>
                <w:rFonts w:ascii="Arial" w:hAnsi="Arial" w:cs="Arial"/>
              </w:rPr>
              <w:t>26</w:t>
            </w:r>
          </w:p>
        </w:tc>
        <w:tc>
          <w:tcPr>
            <w:tcW w:w="2070" w:type="dxa"/>
          </w:tcPr>
          <w:p w14:paraId="6A92A6B0" w14:textId="77777777" w:rsidR="00C44859" w:rsidRPr="00D6481C" w:rsidRDefault="00C44859" w:rsidP="00D6481C">
            <w:pPr>
              <w:spacing w:line="480" w:lineRule="auto"/>
              <w:jc w:val="center"/>
              <w:rPr>
                <w:rFonts w:ascii="Arial" w:hAnsi="Arial" w:cs="Arial"/>
              </w:rPr>
            </w:pPr>
            <w:r w:rsidRPr="00D6481C">
              <w:rPr>
                <w:rFonts w:ascii="Arial" w:hAnsi="Arial" w:cs="Arial"/>
              </w:rPr>
              <w:t>18</w:t>
            </w:r>
          </w:p>
        </w:tc>
      </w:tr>
      <w:tr w:rsidR="00C44859" w:rsidRPr="00D6481C" w14:paraId="21E810D3" w14:textId="77777777" w:rsidTr="00FB1E60">
        <w:tc>
          <w:tcPr>
            <w:tcW w:w="4815" w:type="dxa"/>
          </w:tcPr>
          <w:p w14:paraId="73EF0063" w14:textId="67E7EFC4" w:rsidR="00C44859" w:rsidRPr="00D6481C" w:rsidRDefault="00C44859" w:rsidP="00D6481C">
            <w:pPr>
              <w:spacing w:line="480" w:lineRule="auto"/>
              <w:jc w:val="both"/>
              <w:rPr>
                <w:rFonts w:ascii="Arial" w:hAnsi="Arial" w:cs="Arial"/>
              </w:rPr>
            </w:pPr>
            <w:r w:rsidRPr="00D6481C">
              <w:rPr>
                <w:rFonts w:ascii="Arial" w:hAnsi="Arial" w:cs="Arial"/>
              </w:rPr>
              <w:t>Diagnostico de ingreso</w:t>
            </w:r>
          </w:p>
        </w:tc>
        <w:tc>
          <w:tcPr>
            <w:tcW w:w="2415" w:type="dxa"/>
          </w:tcPr>
          <w:p w14:paraId="32EEB892" w14:textId="7419CD8A" w:rsidR="00C44859" w:rsidRPr="00D6481C" w:rsidRDefault="00A76191" w:rsidP="00D6481C">
            <w:pPr>
              <w:spacing w:line="480" w:lineRule="auto"/>
              <w:jc w:val="center"/>
              <w:rPr>
                <w:rFonts w:ascii="Arial" w:hAnsi="Arial" w:cs="Arial"/>
              </w:rPr>
            </w:pPr>
            <w:r w:rsidRPr="00D6481C">
              <w:rPr>
                <w:rFonts w:ascii="Arial" w:hAnsi="Arial" w:cs="Arial"/>
              </w:rPr>
              <w:t>Leucemia mieloide aguda</w:t>
            </w:r>
          </w:p>
        </w:tc>
        <w:tc>
          <w:tcPr>
            <w:tcW w:w="2070" w:type="dxa"/>
          </w:tcPr>
          <w:p w14:paraId="0B2B9461" w14:textId="03720B75" w:rsidR="00C44859" w:rsidRPr="00D6481C" w:rsidRDefault="00A76191" w:rsidP="00D6481C">
            <w:pPr>
              <w:spacing w:line="480" w:lineRule="auto"/>
              <w:jc w:val="center"/>
              <w:rPr>
                <w:rFonts w:ascii="Arial" w:hAnsi="Arial" w:cs="Arial"/>
              </w:rPr>
            </w:pPr>
            <w:r w:rsidRPr="00D6481C">
              <w:rPr>
                <w:rFonts w:ascii="Arial" w:hAnsi="Arial" w:cs="Arial"/>
              </w:rPr>
              <w:t>Sepsis de foco intestinal</w:t>
            </w:r>
          </w:p>
        </w:tc>
      </w:tr>
      <w:tr w:rsidR="00C44859" w:rsidRPr="00D6481C" w14:paraId="62F2132D" w14:textId="77777777" w:rsidTr="00FB1E60">
        <w:tc>
          <w:tcPr>
            <w:tcW w:w="4815" w:type="dxa"/>
          </w:tcPr>
          <w:p w14:paraId="7630260C" w14:textId="6E9BBE7F" w:rsidR="00C44859" w:rsidRPr="00D6481C" w:rsidRDefault="00C44859" w:rsidP="00D6481C">
            <w:pPr>
              <w:spacing w:line="480" w:lineRule="auto"/>
              <w:jc w:val="both"/>
              <w:rPr>
                <w:rFonts w:ascii="Arial" w:hAnsi="Arial" w:cs="Arial"/>
              </w:rPr>
            </w:pPr>
            <w:r w:rsidRPr="00D6481C">
              <w:rPr>
                <w:rFonts w:ascii="Arial" w:hAnsi="Arial" w:cs="Arial"/>
              </w:rPr>
              <w:t>Duración de ventilación mecánica, días</w:t>
            </w:r>
          </w:p>
        </w:tc>
        <w:tc>
          <w:tcPr>
            <w:tcW w:w="2415" w:type="dxa"/>
          </w:tcPr>
          <w:p w14:paraId="303092C5" w14:textId="77777777" w:rsidR="00C44859" w:rsidRPr="00D6481C" w:rsidRDefault="00C44859" w:rsidP="00D6481C">
            <w:pPr>
              <w:spacing w:line="480" w:lineRule="auto"/>
              <w:jc w:val="center"/>
              <w:rPr>
                <w:rFonts w:ascii="Arial" w:hAnsi="Arial" w:cs="Arial"/>
              </w:rPr>
            </w:pPr>
            <w:r w:rsidRPr="00D6481C">
              <w:rPr>
                <w:rFonts w:ascii="Arial" w:hAnsi="Arial" w:cs="Arial"/>
              </w:rPr>
              <w:t>15</w:t>
            </w:r>
          </w:p>
        </w:tc>
        <w:tc>
          <w:tcPr>
            <w:tcW w:w="2070" w:type="dxa"/>
          </w:tcPr>
          <w:p w14:paraId="527B6582" w14:textId="77777777" w:rsidR="00C44859" w:rsidRPr="00D6481C" w:rsidRDefault="00C44859" w:rsidP="00D6481C">
            <w:pPr>
              <w:spacing w:line="480" w:lineRule="auto"/>
              <w:jc w:val="center"/>
              <w:rPr>
                <w:rFonts w:ascii="Arial" w:hAnsi="Arial" w:cs="Arial"/>
              </w:rPr>
            </w:pPr>
            <w:r w:rsidRPr="00D6481C">
              <w:rPr>
                <w:rFonts w:ascii="Arial" w:hAnsi="Arial" w:cs="Arial"/>
              </w:rPr>
              <w:t>12</w:t>
            </w:r>
          </w:p>
        </w:tc>
      </w:tr>
      <w:tr w:rsidR="00C44859" w:rsidRPr="00D6481C" w14:paraId="2258AB3E" w14:textId="77777777" w:rsidTr="00FB1E60">
        <w:tc>
          <w:tcPr>
            <w:tcW w:w="4815" w:type="dxa"/>
          </w:tcPr>
          <w:p w14:paraId="72274016" w14:textId="26D51B4D" w:rsidR="00C44859" w:rsidRPr="00D6481C" w:rsidRDefault="00C44859" w:rsidP="00D6481C">
            <w:pPr>
              <w:spacing w:line="480" w:lineRule="auto"/>
              <w:jc w:val="both"/>
              <w:rPr>
                <w:rFonts w:ascii="Arial" w:hAnsi="Arial" w:cs="Arial"/>
                <w:lang w:val="es-ES"/>
              </w:rPr>
            </w:pPr>
            <w:r w:rsidRPr="00D6481C">
              <w:rPr>
                <w:rFonts w:ascii="Arial" w:hAnsi="Arial" w:cs="Arial"/>
                <w:lang w:val="es-ES"/>
              </w:rPr>
              <w:t xml:space="preserve">Estadía en </w:t>
            </w:r>
            <w:r w:rsidR="00733C61" w:rsidRPr="00D6481C">
              <w:rPr>
                <w:rFonts w:ascii="Arial" w:hAnsi="Arial" w:cs="Arial"/>
                <w:lang w:val="es-ES"/>
              </w:rPr>
              <w:t xml:space="preserve">la </w:t>
            </w:r>
            <w:r w:rsidRPr="00D6481C">
              <w:rPr>
                <w:rFonts w:ascii="Arial" w:hAnsi="Arial" w:cs="Arial"/>
                <w:lang w:val="es-ES"/>
              </w:rPr>
              <w:t>UCI, días</w:t>
            </w:r>
          </w:p>
        </w:tc>
        <w:tc>
          <w:tcPr>
            <w:tcW w:w="2415" w:type="dxa"/>
          </w:tcPr>
          <w:p w14:paraId="66D2756A" w14:textId="77777777" w:rsidR="00C44859" w:rsidRPr="00D6481C" w:rsidRDefault="00C44859" w:rsidP="00D6481C">
            <w:pPr>
              <w:spacing w:line="480" w:lineRule="auto"/>
              <w:jc w:val="center"/>
              <w:rPr>
                <w:rFonts w:ascii="Arial" w:hAnsi="Arial" w:cs="Arial"/>
              </w:rPr>
            </w:pPr>
            <w:r w:rsidRPr="00D6481C">
              <w:rPr>
                <w:rFonts w:ascii="Arial" w:hAnsi="Arial" w:cs="Arial"/>
              </w:rPr>
              <w:t>30</w:t>
            </w:r>
          </w:p>
        </w:tc>
        <w:tc>
          <w:tcPr>
            <w:tcW w:w="2070" w:type="dxa"/>
          </w:tcPr>
          <w:p w14:paraId="32EF533A" w14:textId="77777777" w:rsidR="00C44859" w:rsidRPr="00D6481C" w:rsidRDefault="00C44859" w:rsidP="00D6481C">
            <w:pPr>
              <w:spacing w:line="480" w:lineRule="auto"/>
              <w:jc w:val="center"/>
              <w:rPr>
                <w:rFonts w:ascii="Arial" w:hAnsi="Arial" w:cs="Arial"/>
              </w:rPr>
            </w:pPr>
            <w:r w:rsidRPr="00D6481C">
              <w:rPr>
                <w:rFonts w:ascii="Arial" w:hAnsi="Arial" w:cs="Arial"/>
              </w:rPr>
              <w:t>35</w:t>
            </w:r>
          </w:p>
        </w:tc>
      </w:tr>
      <w:tr w:rsidR="00C44859" w:rsidRPr="00D6481C" w14:paraId="35F0830A" w14:textId="77777777" w:rsidTr="00FB1E60">
        <w:tc>
          <w:tcPr>
            <w:tcW w:w="4815" w:type="dxa"/>
          </w:tcPr>
          <w:p w14:paraId="3C2D718C" w14:textId="69477144" w:rsidR="00C44859" w:rsidRPr="00D6481C" w:rsidRDefault="00C44859" w:rsidP="00D6481C">
            <w:pPr>
              <w:spacing w:line="480" w:lineRule="auto"/>
              <w:jc w:val="both"/>
              <w:rPr>
                <w:rFonts w:ascii="Arial" w:hAnsi="Arial" w:cs="Arial"/>
              </w:rPr>
            </w:pPr>
            <w:r w:rsidRPr="00D6481C">
              <w:rPr>
                <w:rFonts w:ascii="Arial" w:hAnsi="Arial" w:cs="Arial"/>
              </w:rPr>
              <w:t>Tiempo desde despertar</w:t>
            </w:r>
            <w:r w:rsidRPr="00D6481C">
              <w:rPr>
                <w:rFonts w:ascii="Arial" w:hAnsi="Arial" w:cs="Arial"/>
                <w:vertAlign w:val="superscript"/>
              </w:rPr>
              <w:t xml:space="preserve">a </w:t>
            </w:r>
            <w:r w:rsidRPr="00D6481C">
              <w:rPr>
                <w:rFonts w:ascii="Arial" w:hAnsi="Arial" w:cs="Arial"/>
              </w:rPr>
              <w:t>hasta egreso</w:t>
            </w:r>
            <w:r w:rsidRPr="00D6481C">
              <w:rPr>
                <w:rFonts w:ascii="Arial" w:hAnsi="Arial" w:cs="Arial"/>
                <w:vertAlign w:val="superscript"/>
              </w:rPr>
              <w:t>b</w:t>
            </w:r>
            <w:r w:rsidRPr="00D6481C">
              <w:rPr>
                <w:rFonts w:ascii="Arial" w:hAnsi="Arial" w:cs="Arial"/>
              </w:rPr>
              <w:t>, días</w:t>
            </w:r>
          </w:p>
        </w:tc>
        <w:tc>
          <w:tcPr>
            <w:tcW w:w="2415" w:type="dxa"/>
          </w:tcPr>
          <w:p w14:paraId="3669DB1B" w14:textId="77777777" w:rsidR="00C44859" w:rsidRPr="00D6481C" w:rsidRDefault="00C44859" w:rsidP="00D6481C">
            <w:pPr>
              <w:spacing w:line="480" w:lineRule="auto"/>
              <w:jc w:val="center"/>
              <w:rPr>
                <w:rFonts w:ascii="Arial" w:hAnsi="Arial" w:cs="Arial"/>
              </w:rPr>
            </w:pPr>
            <w:r w:rsidRPr="00D6481C">
              <w:rPr>
                <w:rFonts w:ascii="Arial" w:hAnsi="Arial" w:cs="Arial"/>
              </w:rPr>
              <w:t>14</w:t>
            </w:r>
          </w:p>
        </w:tc>
        <w:tc>
          <w:tcPr>
            <w:tcW w:w="2070" w:type="dxa"/>
          </w:tcPr>
          <w:p w14:paraId="16076D15" w14:textId="77777777" w:rsidR="00C44859" w:rsidRPr="00D6481C" w:rsidRDefault="00C44859" w:rsidP="00D6481C">
            <w:pPr>
              <w:spacing w:line="480" w:lineRule="auto"/>
              <w:jc w:val="center"/>
              <w:rPr>
                <w:rFonts w:ascii="Arial" w:hAnsi="Arial" w:cs="Arial"/>
              </w:rPr>
            </w:pPr>
            <w:r w:rsidRPr="00D6481C">
              <w:rPr>
                <w:rFonts w:ascii="Arial" w:hAnsi="Arial" w:cs="Arial"/>
              </w:rPr>
              <w:t>18</w:t>
            </w:r>
          </w:p>
        </w:tc>
      </w:tr>
      <w:tr w:rsidR="00C44859" w:rsidRPr="00D6481C" w14:paraId="1A687523" w14:textId="77777777" w:rsidTr="00FB1E60">
        <w:tc>
          <w:tcPr>
            <w:tcW w:w="4815" w:type="dxa"/>
          </w:tcPr>
          <w:p w14:paraId="66DFEA40" w14:textId="1E0952BF" w:rsidR="00C44859" w:rsidRPr="00D6481C" w:rsidRDefault="00C44859" w:rsidP="00D6481C">
            <w:pPr>
              <w:spacing w:line="480" w:lineRule="auto"/>
              <w:jc w:val="both"/>
              <w:rPr>
                <w:rFonts w:ascii="Arial" w:hAnsi="Arial" w:cs="Arial"/>
              </w:rPr>
            </w:pPr>
            <w:r w:rsidRPr="00D6481C">
              <w:rPr>
                <w:rFonts w:ascii="Arial" w:hAnsi="Arial" w:cs="Arial"/>
              </w:rPr>
              <w:t>MRC-SS, puntaje total</w:t>
            </w:r>
          </w:p>
        </w:tc>
        <w:tc>
          <w:tcPr>
            <w:tcW w:w="2415" w:type="dxa"/>
          </w:tcPr>
          <w:p w14:paraId="372A8E5D" w14:textId="77777777" w:rsidR="00C44859" w:rsidRPr="00D6481C" w:rsidRDefault="00C44859" w:rsidP="00D6481C">
            <w:pPr>
              <w:spacing w:line="480" w:lineRule="auto"/>
              <w:jc w:val="center"/>
              <w:rPr>
                <w:rFonts w:ascii="Arial" w:hAnsi="Arial" w:cs="Arial"/>
              </w:rPr>
            </w:pPr>
          </w:p>
        </w:tc>
        <w:tc>
          <w:tcPr>
            <w:tcW w:w="2070" w:type="dxa"/>
          </w:tcPr>
          <w:p w14:paraId="76A45BF3" w14:textId="77777777" w:rsidR="00C44859" w:rsidRPr="00D6481C" w:rsidRDefault="00C44859" w:rsidP="00D6481C">
            <w:pPr>
              <w:spacing w:line="480" w:lineRule="auto"/>
              <w:jc w:val="center"/>
              <w:rPr>
                <w:rFonts w:ascii="Arial" w:hAnsi="Arial" w:cs="Arial"/>
              </w:rPr>
            </w:pPr>
          </w:p>
        </w:tc>
      </w:tr>
      <w:tr w:rsidR="00C44859" w:rsidRPr="00D6481C" w14:paraId="17058F6E" w14:textId="77777777" w:rsidTr="00FB1E60">
        <w:tc>
          <w:tcPr>
            <w:tcW w:w="4815" w:type="dxa"/>
          </w:tcPr>
          <w:p w14:paraId="34627CEF" w14:textId="1408B4B6" w:rsidR="00C44859" w:rsidRPr="00D6481C" w:rsidRDefault="00C44859" w:rsidP="00D6481C">
            <w:pPr>
              <w:spacing w:line="480" w:lineRule="auto"/>
              <w:jc w:val="both"/>
              <w:rPr>
                <w:rFonts w:ascii="Arial" w:hAnsi="Arial" w:cs="Arial"/>
                <w:vertAlign w:val="superscript"/>
              </w:rPr>
            </w:pPr>
            <w:r w:rsidRPr="00D6481C">
              <w:rPr>
                <w:rFonts w:ascii="Arial" w:hAnsi="Arial" w:cs="Arial"/>
              </w:rPr>
              <w:t xml:space="preserve">         Al despertar</w:t>
            </w:r>
            <w:r w:rsidRPr="00D6481C">
              <w:rPr>
                <w:rFonts w:ascii="Arial" w:hAnsi="Arial" w:cs="Arial"/>
                <w:vertAlign w:val="superscript"/>
              </w:rPr>
              <w:t>a</w:t>
            </w:r>
          </w:p>
          <w:p w14:paraId="0C7CF123" w14:textId="5878A79D" w:rsidR="00C44859" w:rsidRPr="00D6481C" w:rsidRDefault="00C44859" w:rsidP="00D6481C">
            <w:pPr>
              <w:spacing w:line="480" w:lineRule="auto"/>
              <w:jc w:val="both"/>
              <w:rPr>
                <w:rFonts w:ascii="Arial" w:hAnsi="Arial" w:cs="Arial"/>
                <w:vertAlign w:val="superscript"/>
              </w:rPr>
            </w:pPr>
            <w:r w:rsidRPr="00D6481C">
              <w:rPr>
                <w:rFonts w:ascii="Arial" w:hAnsi="Arial" w:cs="Arial"/>
              </w:rPr>
              <w:t xml:space="preserve">         Al egreso de UCI</w:t>
            </w:r>
            <w:r w:rsidRPr="00D6481C">
              <w:rPr>
                <w:rFonts w:ascii="Arial" w:hAnsi="Arial" w:cs="Arial"/>
                <w:vertAlign w:val="superscript"/>
              </w:rPr>
              <w:t>b</w:t>
            </w:r>
          </w:p>
        </w:tc>
        <w:tc>
          <w:tcPr>
            <w:tcW w:w="2415" w:type="dxa"/>
          </w:tcPr>
          <w:p w14:paraId="303B7DEB" w14:textId="77777777" w:rsidR="00C44859" w:rsidRPr="00D6481C" w:rsidRDefault="00C44859" w:rsidP="00D6481C">
            <w:pPr>
              <w:spacing w:line="480" w:lineRule="auto"/>
              <w:jc w:val="center"/>
              <w:rPr>
                <w:rFonts w:ascii="Arial" w:hAnsi="Arial" w:cs="Arial"/>
              </w:rPr>
            </w:pPr>
            <w:r w:rsidRPr="00D6481C">
              <w:rPr>
                <w:rFonts w:ascii="Arial" w:hAnsi="Arial" w:cs="Arial"/>
              </w:rPr>
              <w:t>35</w:t>
            </w:r>
          </w:p>
          <w:p w14:paraId="755A6EAB" w14:textId="77777777" w:rsidR="00C44859" w:rsidRPr="00D6481C" w:rsidRDefault="00C44859" w:rsidP="00D6481C">
            <w:pPr>
              <w:spacing w:line="480" w:lineRule="auto"/>
              <w:jc w:val="center"/>
              <w:rPr>
                <w:rFonts w:ascii="Arial" w:hAnsi="Arial" w:cs="Arial"/>
              </w:rPr>
            </w:pPr>
            <w:r w:rsidRPr="00D6481C">
              <w:rPr>
                <w:rFonts w:ascii="Arial" w:hAnsi="Arial" w:cs="Arial"/>
              </w:rPr>
              <w:t>56</w:t>
            </w:r>
          </w:p>
        </w:tc>
        <w:tc>
          <w:tcPr>
            <w:tcW w:w="2070" w:type="dxa"/>
          </w:tcPr>
          <w:p w14:paraId="29548F35" w14:textId="77777777" w:rsidR="00C44859" w:rsidRPr="00D6481C" w:rsidRDefault="00C44859" w:rsidP="00D6481C">
            <w:pPr>
              <w:spacing w:line="480" w:lineRule="auto"/>
              <w:jc w:val="center"/>
              <w:rPr>
                <w:rFonts w:ascii="Arial" w:hAnsi="Arial" w:cs="Arial"/>
              </w:rPr>
            </w:pPr>
            <w:r w:rsidRPr="00D6481C">
              <w:rPr>
                <w:rFonts w:ascii="Arial" w:hAnsi="Arial" w:cs="Arial"/>
              </w:rPr>
              <w:t>18</w:t>
            </w:r>
          </w:p>
          <w:p w14:paraId="2C06AC1D" w14:textId="77777777" w:rsidR="00C44859" w:rsidRPr="00D6481C" w:rsidRDefault="00C44859" w:rsidP="00D6481C">
            <w:pPr>
              <w:spacing w:line="480" w:lineRule="auto"/>
              <w:jc w:val="center"/>
              <w:rPr>
                <w:rFonts w:ascii="Arial" w:hAnsi="Arial" w:cs="Arial"/>
              </w:rPr>
            </w:pPr>
            <w:r w:rsidRPr="00D6481C">
              <w:rPr>
                <w:rFonts w:ascii="Arial" w:hAnsi="Arial" w:cs="Arial"/>
              </w:rPr>
              <w:t>18</w:t>
            </w:r>
          </w:p>
        </w:tc>
      </w:tr>
      <w:tr w:rsidR="00C44859" w:rsidRPr="00D6481C" w14:paraId="60ABD178" w14:textId="77777777" w:rsidTr="00FB1E60">
        <w:tc>
          <w:tcPr>
            <w:tcW w:w="4815" w:type="dxa"/>
          </w:tcPr>
          <w:p w14:paraId="4B5C3FF5" w14:textId="4EB7C4D4" w:rsidR="00C44859" w:rsidRPr="00D6481C" w:rsidRDefault="00C44859" w:rsidP="00D6481C">
            <w:pPr>
              <w:spacing w:line="480" w:lineRule="auto"/>
              <w:jc w:val="both"/>
              <w:rPr>
                <w:rFonts w:ascii="Arial" w:hAnsi="Arial" w:cs="Arial"/>
              </w:rPr>
            </w:pPr>
            <w:r w:rsidRPr="00D6481C">
              <w:rPr>
                <w:rFonts w:ascii="Arial" w:hAnsi="Arial" w:cs="Arial"/>
              </w:rPr>
              <w:t>FSS-ICU, puntaje total</w:t>
            </w:r>
          </w:p>
          <w:p w14:paraId="2D0E8168" w14:textId="0C7301D9" w:rsidR="00C44859" w:rsidRPr="00D6481C" w:rsidRDefault="00C44859" w:rsidP="00D6481C">
            <w:pPr>
              <w:spacing w:line="480" w:lineRule="auto"/>
              <w:jc w:val="both"/>
              <w:rPr>
                <w:rFonts w:ascii="Arial" w:hAnsi="Arial" w:cs="Arial"/>
                <w:vertAlign w:val="superscript"/>
              </w:rPr>
            </w:pPr>
            <w:r w:rsidRPr="00D6481C">
              <w:rPr>
                <w:rFonts w:ascii="Arial" w:hAnsi="Arial" w:cs="Arial"/>
              </w:rPr>
              <w:t xml:space="preserve">         Al despertar</w:t>
            </w:r>
            <w:r w:rsidRPr="00D6481C">
              <w:rPr>
                <w:rFonts w:ascii="Arial" w:hAnsi="Arial" w:cs="Arial"/>
                <w:vertAlign w:val="superscript"/>
              </w:rPr>
              <w:t>a</w:t>
            </w:r>
          </w:p>
          <w:p w14:paraId="7FA4D7AD" w14:textId="2E825160" w:rsidR="00C44859" w:rsidRPr="00D6481C" w:rsidRDefault="00C44859" w:rsidP="00D6481C">
            <w:pPr>
              <w:spacing w:line="480" w:lineRule="auto"/>
              <w:jc w:val="both"/>
              <w:rPr>
                <w:rFonts w:ascii="Arial" w:hAnsi="Arial" w:cs="Arial"/>
                <w:vertAlign w:val="superscript"/>
              </w:rPr>
            </w:pPr>
            <w:r w:rsidRPr="00D6481C">
              <w:rPr>
                <w:rFonts w:ascii="Arial" w:hAnsi="Arial" w:cs="Arial"/>
              </w:rPr>
              <w:t xml:space="preserve">         Al egreso de UCI</w:t>
            </w:r>
            <w:r w:rsidRPr="00D6481C">
              <w:rPr>
                <w:rFonts w:ascii="Arial" w:hAnsi="Arial" w:cs="Arial"/>
                <w:vertAlign w:val="superscript"/>
              </w:rPr>
              <w:t>b</w:t>
            </w:r>
          </w:p>
        </w:tc>
        <w:tc>
          <w:tcPr>
            <w:tcW w:w="2415" w:type="dxa"/>
          </w:tcPr>
          <w:p w14:paraId="71F2F384" w14:textId="77777777" w:rsidR="00C44859" w:rsidRPr="00D6481C" w:rsidRDefault="00C44859" w:rsidP="00D6481C">
            <w:pPr>
              <w:spacing w:line="480" w:lineRule="auto"/>
              <w:jc w:val="center"/>
              <w:rPr>
                <w:rFonts w:ascii="Arial" w:hAnsi="Arial" w:cs="Arial"/>
              </w:rPr>
            </w:pPr>
          </w:p>
          <w:p w14:paraId="10750FE8" w14:textId="77777777" w:rsidR="00C44859" w:rsidRPr="00D6481C" w:rsidRDefault="00C44859" w:rsidP="00D6481C">
            <w:pPr>
              <w:spacing w:line="480" w:lineRule="auto"/>
              <w:jc w:val="center"/>
              <w:rPr>
                <w:rFonts w:ascii="Arial" w:hAnsi="Arial" w:cs="Arial"/>
              </w:rPr>
            </w:pPr>
            <w:r w:rsidRPr="00D6481C">
              <w:rPr>
                <w:rFonts w:ascii="Arial" w:hAnsi="Arial" w:cs="Arial"/>
              </w:rPr>
              <w:t>10</w:t>
            </w:r>
          </w:p>
          <w:p w14:paraId="75F001FB" w14:textId="77777777" w:rsidR="00C44859" w:rsidRPr="00D6481C" w:rsidRDefault="00C44859" w:rsidP="00D6481C">
            <w:pPr>
              <w:spacing w:line="480" w:lineRule="auto"/>
              <w:jc w:val="center"/>
              <w:rPr>
                <w:rFonts w:ascii="Arial" w:hAnsi="Arial" w:cs="Arial"/>
              </w:rPr>
            </w:pPr>
            <w:r w:rsidRPr="00D6481C">
              <w:rPr>
                <w:rFonts w:ascii="Arial" w:hAnsi="Arial" w:cs="Arial"/>
              </w:rPr>
              <w:t>25</w:t>
            </w:r>
          </w:p>
        </w:tc>
        <w:tc>
          <w:tcPr>
            <w:tcW w:w="2070" w:type="dxa"/>
          </w:tcPr>
          <w:p w14:paraId="1388FE0F" w14:textId="77777777" w:rsidR="00C44859" w:rsidRPr="00D6481C" w:rsidRDefault="00C44859" w:rsidP="00D6481C">
            <w:pPr>
              <w:spacing w:line="480" w:lineRule="auto"/>
              <w:jc w:val="center"/>
              <w:rPr>
                <w:rFonts w:ascii="Arial" w:hAnsi="Arial" w:cs="Arial"/>
              </w:rPr>
            </w:pPr>
          </w:p>
          <w:p w14:paraId="0987534E" w14:textId="77777777" w:rsidR="00C44859" w:rsidRPr="00D6481C" w:rsidRDefault="00C44859" w:rsidP="00D6481C">
            <w:pPr>
              <w:spacing w:line="480" w:lineRule="auto"/>
              <w:jc w:val="center"/>
              <w:rPr>
                <w:rFonts w:ascii="Arial" w:hAnsi="Arial" w:cs="Arial"/>
              </w:rPr>
            </w:pPr>
            <w:r w:rsidRPr="00D6481C">
              <w:rPr>
                <w:rFonts w:ascii="Arial" w:hAnsi="Arial" w:cs="Arial"/>
              </w:rPr>
              <w:t>3</w:t>
            </w:r>
          </w:p>
          <w:p w14:paraId="27938040" w14:textId="77777777" w:rsidR="00C44859" w:rsidRPr="00D6481C" w:rsidRDefault="00C44859" w:rsidP="00D6481C">
            <w:pPr>
              <w:spacing w:line="480" w:lineRule="auto"/>
              <w:jc w:val="center"/>
              <w:rPr>
                <w:rFonts w:ascii="Arial" w:hAnsi="Arial" w:cs="Arial"/>
              </w:rPr>
            </w:pPr>
            <w:r w:rsidRPr="00D6481C">
              <w:rPr>
                <w:rFonts w:ascii="Arial" w:hAnsi="Arial" w:cs="Arial"/>
              </w:rPr>
              <w:t>8</w:t>
            </w:r>
          </w:p>
        </w:tc>
      </w:tr>
    </w:tbl>
    <w:p w14:paraId="01D5A548" w14:textId="77777777" w:rsidR="00D6481C" w:rsidRDefault="00C44859" w:rsidP="00D6481C">
      <w:pPr>
        <w:spacing w:line="480" w:lineRule="auto"/>
        <w:jc w:val="both"/>
        <w:rPr>
          <w:rFonts w:ascii="Arial" w:hAnsi="Arial" w:cs="Arial"/>
          <w:lang w:val="en-US"/>
        </w:rPr>
      </w:pPr>
      <w:r w:rsidRPr="00D6481C">
        <w:rPr>
          <w:rFonts w:ascii="Arial" w:hAnsi="Arial" w:cs="Arial"/>
          <w:lang w:val="en-US"/>
        </w:rPr>
        <w:t xml:space="preserve">APACHE II = Acute Physiology </w:t>
      </w:r>
      <w:proofErr w:type="gramStart"/>
      <w:r w:rsidRPr="00D6481C">
        <w:rPr>
          <w:rFonts w:ascii="Arial" w:hAnsi="Arial" w:cs="Arial"/>
          <w:lang w:val="en-US"/>
        </w:rPr>
        <w:t>And</w:t>
      </w:r>
      <w:proofErr w:type="gramEnd"/>
      <w:r w:rsidRPr="00D6481C">
        <w:rPr>
          <w:rFonts w:ascii="Arial" w:hAnsi="Arial" w:cs="Arial"/>
          <w:lang w:val="en-US"/>
        </w:rPr>
        <w:t xml:space="preserve"> Chronic Health Evaluation II, UCI = unidad de cuidados intensivos, MRC-SS = Medical Research Council Sum Score, </w:t>
      </w:r>
    </w:p>
    <w:p w14:paraId="356C32CB" w14:textId="2155D88D" w:rsidR="00D6481C" w:rsidRPr="00D6481C" w:rsidRDefault="00D6481C" w:rsidP="00D6481C">
      <w:pPr>
        <w:spacing w:line="480" w:lineRule="auto"/>
        <w:jc w:val="center"/>
        <w:rPr>
          <w:rFonts w:ascii="Arial" w:hAnsi="Arial" w:cs="Arial"/>
          <w:color w:val="808080" w:themeColor="background1" w:themeShade="80"/>
          <w:lang w:val="en-US"/>
        </w:rPr>
      </w:pPr>
      <w:r w:rsidRPr="00D6481C">
        <w:rPr>
          <w:rFonts w:ascii="Arial" w:hAnsi="Arial" w:cs="Arial"/>
          <w:color w:val="808080" w:themeColor="background1" w:themeShade="80"/>
          <w:lang w:val="en-US"/>
        </w:rPr>
        <w:t>16</w:t>
      </w:r>
    </w:p>
    <w:p w14:paraId="57236CB1" w14:textId="7C326C28" w:rsidR="00C44859" w:rsidRPr="00D6481C" w:rsidRDefault="00C44859" w:rsidP="00D6481C">
      <w:pPr>
        <w:spacing w:line="480" w:lineRule="auto"/>
        <w:jc w:val="both"/>
        <w:rPr>
          <w:rFonts w:ascii="Arial" w:hAnsi="Arial" w:cs="Arial"/>
          <w:lang w:val="en-US"/>
        </w:rPr>
      </w:pPr>
      <w:r w:rsidRPr="00D6481C">
        <w:rPr>
          <w:rFonts w:ascii="Arial" w:hAnsi="Arial" w:cs="Arial"/>
          <w:lang w:val="en-US"/>
        </w:rPr>
        <w:t xml:space="preserve">FSS-ICU = Functional Status Score for the Intensive Care Unit. </w:t>
      </w:r>
    </w:p>
    <w:p w14:paraId="050DA270" w14:textId="06D02D42" w:rsidR="00C44859" w:rsidRPr="00D6481C" w:rsidRDefault="00C44859" w:rsidP="00D6481C">
      <w:pPr>
        <w:spacing w:line="480" w:lineRule="auto"/>
        <w:jc w:val="both"/>
        <w:rPr>
          <w:rFonts w:ascii="Arial" w:hAnsi="Arial" w:cs="Arial"/>
        </w:rPr>
      </w:pPr>
      <w:proofErr w:type="gramStart"/>
      <w:r w:rsidRPr="00D6481C">
        <w:rPr>
          <w:rFonts w:ascii="Arial" w:hAnsi="Arial" w:cs="Arial"/>
          <w:vertAlign w:val="superscript"/>
        </w:rPr>
        <w:t>a</w:t>
      </w:r>
      <w:proofErr w:type="gramEnd"/>
      <w:r w:rsidRPr="00D6481C">
        <w:rPr>
          <w:rFonts w:ascii="Arial" w:hAnsi="Arial" w:cs="Arial"/>
        </w:rPr>
        <w:t xml:space="preserve"> Definido como: la primera vez que el paciente respondió cinco preguntas simples.</w:t>
      </w:r>
    </w:p>
    <w:p w14:paraId="63D2930E" w14:textId="09A96E52" w:rsidR="0004687D" w:rsidRPr="00D6481C" w:rsidRDefault="00C44859" w:rsidP="00D6481C">
      <w:pPr>
        <w:spacing w:line="480" w:lineRule="auto"/>
        <w:jc w:val="both"/>
        <w:rPr>
          <w:rFonts w:ascii="Arial" w:hAnsi="Arial" w:cs="Arial"/>
        </w:rPr>
      </w:pPr>
      <w:r w:rsidRPr="00D6481C">
        <w:rPr>
          <w:rFonts w:ascii="Arial" w:hAnsi="Arial" w:cs="Arial"/>
          <w:vertAlign w:val="superscript"/>
        </w:rPr>
        <w:t xml:space="preserve">b </w:t>
      </w:r>
      <w:r w:rsidRPr="00D6481C">
        <w:rPr>
          <w:rFonts w:ascii="Arial" w:hAnsi="Arial" w:cs="Arial"/>
        </w:rPr>
        <w:t>Definido como: alta médica de la unidad de cuidados intensivos.</w:t>
      </w:r>
    </w:p>
    <w:p w14:paraId="30DC76CC" w14:textId="77777777" w:rsidR="00D6481C" w:rsidRDefault="00D6481C">
      <w:pPr>
        <w:rPr>
          <w:rFonts w:ascii="Times New Roman" w:hAnsi="Times New Roman" w:cs="Times New Roman"/>
        </w:rPr>
      </w:pPr>
    </w:p>
    <w:p w14:paraId="160FC0F4" w14:textId="77777777" w:rsidR="00D6481C" w:rsidRDefault="00D6481C">
      <w:pPr>
        <w:rPr>
          <w:rFonts w:ascii="Times New Roman" w:hAnsi="Times New Roman" w:cs="Times New Roman"/>
        </w:rPr>
      </w:pPr>
    </w:p>
    <w:p w14:paraId="7F1B8558" w14:textId="77777777" w:rsidR="00D6481C" w:rsidRDefault="00D6481C">
      <w:pPr>
        <w:rPr>
          <w:rFonts w:ascii="Times New Roman" w:hAnsi="Times New Roman" w:cs="Times New Roman"/>
        </w:rPr>
      </w:pPr>
    </w:p>
    <w:p w14:paraId="2D66DF0C" w14:textId="77777777" w:rsidR="00D6481C" w:rsidRDefault="00D6481C">
      <w:pPr>
        <w:rPr>
          <w:rFonts w:ascii="Times New Roman" w:hAnsi="Times New Roman" w:cs="Times New Roman"/>
        </w:rPr>
      </w:pPr>
    </w:p>
    <w:p w14:paraId="11CCA53C" w14:textId="77777777" w:rsidR="00D6481C" w:rsidRDefault="00D6481C">
      <w:pPr>
        <w:rPr>
          <w:rFonts w:ascii="Times New Roman" w:hAnsi="Times New Roman" w:cs="Times New Roman"/>
        </w:rPr>
      </w:pPr>
    </w:p>
    <w:p w14:paraId="542A8FB2" w14:textId="77777777" w:rsidR="00D6481C" w:rsidRDefault="00D6481C">
      <w:pPr>
        <w:rPr>
          <w:rFonts w:ascii="Times New Roman" w:hAnsi="Times New Roman" w:cs="Times New Roman"/>
        </w:rPr>
      </w:pPr>
    </w:p>
    <w:p w14:paraId="0B0EFC80" w14:textId="77777777" w:rsidR="00D6481C" w:rsidRDefault="00D6481C">
      <w:pPr>
        <w:rPr>
          <w:rFonts w:ascii="Times New Roman" w:hAnsi="Times New Roman" w:cs="Times New Roman"/>
        </w:rPr>
      </w:pPr>
    </w:p>
    <w:p w14:paraId="75335386" w14:textId="77777777" w:rsidR="00D6481C" w:rsidRDefault="00D6481C">
      <w:pPr>
        <w:rPr>
          <w:rFonts w:ascii="Times New Roman" w:hAnsi="Times New Roman" w:cs="Times New Roman"/>
        </w:rPr>
      </w:pPr>
    </w:p>
    <w:p w14:paraId="32378775" w14:textId="77777777" w:rsidR="00D6481C" w:rsidRDefault="00D6481C">
      <w:pPr>
        <w:rPr>
          <w:rFonts w:ascii="Times New Roman" w:hAnsi="Times New Roman" w:cs="Times New Roman"/>
        </w:rPr>
      </w:pPr>
    </w:p>
    <w:p w14:paraId="1C61013D" w14:textId="77777777" w:rsidR="00D6481C" w:rsidRDefault="00D6481C">
      <w:pPr>
        <w:rPr>
          <w:rFonts w:ascii="Times New Roman" w:hAnsi="Times New Roman" w:cs="Times New Roman"/>
        </w:rPr>
      </w:pPr>
    </w:p>
    <w:p w14:paraId="579423FA" w14:textId="77777777" w:rsidR="00D6481C" w:rsidRDefault="00D6481C">
      <w:pPr>
        <w:rPr>
          <w:rFonts w:ascii="Times New Roman" w:hAnsi="Times New Roman" w:cs="Times New Roman"/>
        </w:rPr>
      </w:pPr>
    </w:p>
    <w:p w14:paraId="34427B3F" w14:textId="77777777" w:rsidR="00D6481C" w:rsidRDefault="00D6481C">
      <w:pPr>
        <w:rPr>
          <w:rFonts w:ascii="Times New Roman" w:hAnsi="Times New Roman" w:cs="Times New Roman"/>
        </w:rPr>
      </w:pPr>
    </w:p>
    <w:p w14:paraId="217BDA8C" w14:textId="77777777" w:rsidR="00D6481C" w:rsidRDefault="00D6481C">
      <w:pPr>
        <w:rPr>
          <w:rFonts w:ascii="Times New Roman" w:hAnsi="Times New Roman" w:cs="Times New Roman"/>
        </w:rPr>
      </w:pPr>
    </w:p>
    <w:p w14:paraId="5B451C45" w14:textId="77777777" w:rsidR="00D6481C" w:rsidRDefault="00D6481C">
      <w:pPr>
        <w:rPr>
          <w:rFonts w:ascii="Times New Roman" w:hAnsi="Times New Roman" w:cs="Times New Roman"/>
        </w:rPr>
      </w:pPr>
    </w:p>
    <w:p w14:paraId="764F0617" w14:textId="77777777" w:rsidR="00D6481C" w:rsidRDefault="00D6481C">
      <w:pPr>
        <w:rPr>
          <w:rFonts w:ascii="Times New Roman" w:hAnsi="Times New Roman" w:cs="Times New Roman"/>
        </w:rPr>
      </w:pPr>
    </w:p>
    <w:p w14:paraId="133445B9" w14:textId="77777777" w:rsidR="00D6481C" w:rsidRDefault="00D6481C">
      <w:pPr>
        <w:rPr>
          <w:rFonts w:ascii="Times New Roman" w:hAnsi="Times New Roman" w:cs="Times New Roman"/>
        </w:rPr>
      </w:pPr>
    </w:p>
    <w:p w14:paraId="1D6C64AC" w14:textId="77777777" w:rsidR="00D6481C" w:rsidRDefault="00D6481C">
      <w:pPr>
        <w:rPr>
          <w:rFonts w:ascii="Times New Roman" w:hAnsi="Times New Roman" w:cs="Times New Roman"/>
        </w:rPr>
      </w:pPr>
    </w:p>
    <w:p w14:paraId="6DB09E44" w14:textId="77777777" w:rsidR="00D6481C" w:rsidRDefault="00D6481C">
      <w:pPr>
        <w:rPr>
          <w:rFonts w:ascii="Times New Roman" w:hAnsi="Times New Roman" w:cs="Times New Roman"/>
        </w:rPr>
      </w:pPr>
    </w:p>
    <w:p w14:paraId="45FAA2E6" w14:textId="77777777" w:rsidR="00D6481C" w:rsidRDefault="00D6481C">
      <w:pPr>
        <w:rPr>
          <w:rFonts w:ascii="Times New Roman" w:hAnsi="Times New Roman" w:cs="Times New Roman"/>
        </w:rPr>
      </w:pPr>
    </w:p>
    <w:p w14:paraId="5A9BB487" w14:textId="77777777" w:rsidR="00D6481C" w:rsidRDefault="00D6481C">
      <w:pPr>
        <w:rPr>
          <w:rFonts w:ascii="Times New Roman" w:hAnsi="Times New Roman" w:cs="Times New Roman"/>
        </w:rPr>
      </w:pPr>
    </w:p>
    <w:p w14:paraId="430D2ABF" w14:textId="77777777" w:rsidR="00D6481C" w:rsidRDefault="00D6481C">
      <w:pPr>
        <w:rPr>
          <w:rFonts w:ascii="Times New Roman" w:hAnsi="Times New Roman" w:cs="Times New Roman"/>
        </w:rPr>
      </w:pPr>
    </w:p>
    <w:p w14:paraId="5717F359" w14:textId="77777777" w:rsidR="00D6481C" w:rsidRDefault="00D6481C">
      <w:pPr>
        <w:rPr>
          <w:rFonts w:ascii="Times New Roman" w:hAnsi="Times New Roman" w:cs="Times New Roman"/>
        </w:rPr>
      </w:pPr>
    </w:p>
    <w:p w14:paraId="3835B341" w14:textId="77777777" w:rsidR="00D6481C" w:rsidRDefault="00D6481C">
      <w:pPr>
        <w:rPr>
          <w:rFonts w:ascii="Times New Roman" w:hAnsi="Times New Roman" w:cs="Times New Roman"/>
        </w:rPr>
      </w:pPr>
    </w:p>
    <w:p w14:paraId="20C89CEB" w14:textId="77777777" w:rsidR="00D6481C" w:rsidRDefault="00D6481C">
      <w:pPr>
        <w:rPr>
          <w:rFonts w:ascii="Times New Roman" w:hAnsi="Times New Roman" w:cs="Times New Roman"/>
        </w:rPr>
      </w:pPr>
    </w:p>
    <w:p w14:paraId="58472EBD" w14:textId="77777777" w:rsidR="00D6481C" w:rsidRDefault="00D6481C">
      <w:pPr>
        <w:rPr>
          <w:rFonts w:ascii="Times New Roman" w:hAnsi="Times New Roman" w:cs="Times New Roman"/>
        </w:rPr>
      </w:pPr>
    </w:p>
    <w:p w14:paraId="4808310C" w14:textId="77777777" w:rsidR="00D6481C" w:rsidRDefault="00D6481C">
      <w:pPr>
        <w:rPr>
          <w:rFonts w:ascii="Times New Roman" w:hAnsi="Times New Roman" w:cs="Times New Roman"/>
        </w:rPr>
      </w:pPr>
    </w:p>
    <w:p w14:paraId="44A94894" w14:textId="77777777" w:rsidR="00D6481C" w:rsidRDefault="00D6481C">
      <w:pPr>
        <w:rPr>
          <w:rFonts w:ascii="Times New Roman" w:hAnsi="Times New Roman" w:cs="Times New Roman"/>
        </w:rPr>
      </w:pPr>
    </w:p>
    <w:p w14:paraId="4788817E" w14:textId="77777777" w:rsidR="00D6481C" w:rsidRDefault="00D6481C">
      <w:pPr>
        <w:rPr>
          <w:rFonts w:ascii="Times New Roman" w:hAnsi="Times New Roman" w:cs="Times New Roman"/>
        </w:rPr>
      </w:pPr>
    </w:p>
    <w:p w14:paraId="5EB1AFDB" w14:textId="77777777" w:rsidR="00D6481C" w:rsidRDefault="00D6481C">
      <w:pPr>
        <w:rPr>
          <w:rFonts w:ascii="Times New Roman" w:hAnsi="Times New Roman" w:cs="Times New Roman"/>
        </w:rPr>
      </w:pPr>
    </w:p>
    <w:p w14:paraId="5ED5722B" w14:textId="77777777" w:rsidR="00D6481C" w:rsidRDefault="00D6481C">
      <w:pPr>
        <w:rPr>
          <w:rFonts w:ascii="Times New Roman" w:hAnsi="Times New Roman" w:cs="Times New Roman"/>
        </w:rPr>
      </w:pPr>
    </w:p>
    <w:p w14:paraId="68D4EC96" w14:textId="77777777" w:rsidR="00D6481C" w:rsidRDefault="00D6481C">
      <w:pPr>
        <w:rPr>
          <w:rFonts w:ascii="Times New Roman" w:hAnsi="Times New Roman" w:cs="Times New Roman"/>
        </w:rPr>
      </w:pPr>
    </w:p>
    <w:p w14:paraId="4E2EB7C1" w14:textId="77777777" w:rsidR="00D6481C" w:rsidRDefault="00D6481C">
      <w:pPr>
        <w:rPr>
          <w:rFonts w:ascii="Times New Roman" w:hAnsi="Times New Roman" w:cs="Times New Roman"/>
        </w:rPr>
      </w:pPr>
    </w:p>
    <w:p w14:paraId="1405F218" w14:textId="77777777" w:rsidR="00D6481C" w:rsidRDefault="00D6481C">
      <w:pPr>
        <w:rPr>
          <w:rFonts w:ascii="Times New Roman" w:hAnsi="Times New Roman" w:cs="Times New Roman"/>
        </w:rPr>
      </w:pPr>
    </w:p>
    <w:p w14:paraId="0626E7A2" w14:textId="77777777" w:rsidR="00D6481C" w:rsidRPr="00D6481C" w:rsidRDefault="00D6481C">
      <w:pPr>
        <w:rPr>
          <w:rFonts w:ascii="Times New Roman" w:hAnsi="Times New Roman" w:cs="Times New Roman"/>
          <w:color w:val="808080" w:themeColor="background1" w:themeShade="80"/>
        </w:rPr>
      </w:pPr>
    </w:p>
    <w:p w14:paraId="49655EBD" w14:textId="59C3644F" w:rsidR="0004687D" w:rsidRDefault="00D6481C" w:rsidP="00D6481C">
      <w:pPr>
        <w:jc w:val="center"/>
        <w:rPr>
          <w:rFonts w:ascii="Times New Roman" w:hAnsi="Times New Roman" w:cs="Times New Roman"/>
        </w:rPr>
      </w:pPr>
      <w:r w:rsidRPr="00D6481C">
        <w:rPr>
          <w:rFonts w:ascii="Times New Roman" w:hAnsi="Times New Roman" w:cs="Times New Roman"/>
          <w:color w:val="808080" w:themeColor="background1" w:themeShade="80"/>
        </w:rPr>
        <w:t>17</w:t>
      </w:r>
      <w:r w:rsidR="0004687D">
        <w:rPr>
          <w:rFonts w:ascii="Times New Roman" w:hAnsi="Times New Roman" w:cs="Times New Roman"/>
        </w:rPr>
        <w:br w:type="page"/>
      </w:r>
    </w:p>
    <w:p w14:paraId="005E1DDB" w14:textId="0F58180D" w:rsidR="00A76191" w:rsidRPr="00D6481C" w:rsidRDefault="0004687D" w:rsidP="00D6481C">
      <w:pPr>
        <w:spacing w:line="480" w:lineRule="auto"/>
        <w:rPr>
          <w:rFonts w:ascii="Arial" w:hAnsi="Arial" w:cs="Arial"/>
        </w:rPr>
      </w:pPr>
      <w:r w:rsidRPr="00D6481C">
        <w:rPr>
          <w:rFonts w:ascii="Arial" w:hAnsi="Arial" w:cs="Arial"/>
          <w:b/>
        </w:rPr>
        <w:t>Tabla 2</w:t>
      </w:r>
      <w:r w:rsidR="00A76191" w:rsidRPr="00D6481C">
        <w:rPr>
          <w:rFonts w:ascii="Arial" w:hAnsi="Arial" w:cs="Arial"/>
        </w:rPr>
        <w:t>. Número de quiebres de inactividad según</w:t>
      </w:r>
      <w:r w:rsidR="00D55871" w:rsidRPr="00D6481C">
        <w:rPr>
          <w:rFonts w:ascii="Arial" w:hAnsi="Arial" w:cs="Arial"/>
        </w:rPr>
        <w:t xml:space="preserve"> </w:t>
      </w:r>
      <w:r w:rsidR="00A76191" w:rsidRPr="00D6481C">
        <w:rPr>
          <w:rFonts w:ascii="Arial" w:hAnsi="Arial" w:cs="Arial"/>
        </w:rPr>
        <w:t xml:space="preserve">duración durante los primeros diez días desde el despertar. </w:t>
      </w:r>
    </w:p>
    <w:tbl>
      <w:tblPr>
        <w:tblStyle w:val="Tablaconcuadrcula"/>
        <w:tblW w:w="9300" w:type="dxa"/>
        <w:tblInd w:w="-5" w:type="dxa"/>
        <w:tblLook w:val="04A0" w:firstRow="1" w:lastRow="0" w:firstColumn="1" w:lastColumn="0" w:noHBand="0" w:noVBand="1"/>
      </w:tblPr>
      <w:tblGrid>
        <w:gridCol w:w="5670"/>
        <w:gridCol w:w="1843"/>
        <w:gridCol w:w="1787"/>
      </w:tblGrid>
      <w:tr w:rsidR="0004687D" w:rsidRPr="00D6481C" w14:paraId="111587BE" w14:textId="77777777" w:rsidTr="0004687D">
        <w:tc>
          <w:tcPr>
            <w:tcW w:w="5670" w:type="dxa"/>
            <w:tcBorders>
              <w:top w:val="single" w:sz="4" w:space="0" w:color="auto"/>
              <w:left w:val="nil"/>
              <w:bottom w:val="single" w:sz="4" w:space="0" w:color="auto"/>
              <w:right w:val="nil"/>
            </w:tcBorders>
          </w:tcPr>
          <w:p w14:paraId="185DD147" w14:textId="44A8A40B" w:rsidR="0004687D" w:rsidRPr="00D6481C" w:rsidRDefault="0004687D" w:rsidP="00D6481C">
            <w:pPr>
              <w:spacing w:line="480" w:lineRule="auto"/>
              <w:rPr>
                <w:rFonts w:ascii="Arial" w:hAnsi="Arial" w:cs="Arial"/>
                <w:b/>
                <w:bCs/>
              </w:rPr>
            </w:pPr>
          </w:p>
        </w:tc>
        <w:tc>
          <w:tcPr>
            <w:tcW w:w="1843" w:type="dxa"/>
            <w:tcBorders>
              <w:top w:val="single" w:sz="4" w:space="0" w:color="auto"/>
              <w:left w:val="nil"/>
              <w:bottom w:val="single" w:sz="4" w:space="0" w:color="auto"/>
              <w:right w:val="nil"/>
            </w:tcBorders>
          </w:tcPr>
          <w:p w14:paraId="623249F6" w14:textId="77777777" w:rsidR="0004687D" w:rsidRPr="00D6481C" w:rsidRDefault="0004687D" w:rsidP="00D6481C">
            <w:pPr>
              <w:spacing w:line="480" w:lineRule="auto"/>
              <w:rPr>
                <w:rFonts w:ascii="Arial" w:hAnsi="Arial" w:cs="Arial"/>
                <w:b/>
                <w:bCs/>
              </w:rPr>
            </w:pPr>
            <w:r w:rsidRPr="00D6481C">
              <w:rPr>
                <w:rFonts w:ascii="Arial" w:hAnsi="Arial" w:cs="Arial"/>
                <w:b/>
                <w:bCs/>
              </w:rPr>
              <w:t>Paciente A</w:t>
            </w:r>
          </w:p>
        </w:tc>
        <w:tc>
          <w:tcPr>
            <w:tcW w:w="1787" w:type="dxa"/>
            <w:tcBorders>
              <w:top w:val="single" w:sz="4" w:space="0" w:color="auto"/>
              <w:left w:val="nil"/>
              <w:bottom w:val="single" w:sz="4" w:space="0" w:color="auto"/>
              <w:right w:val="nil"/>
            </w:tcBorders>
          </w:tcPr>
          <w:p w14:paraId="3E4C52E9" w14:textId="77777777" w:rsidR="0004687D" w:rsidRPr="00D6481C" w:rsidRDefault="0004687D" w:rsidP="00D6481C">
            <w:pPr>
              <w:spacing w:line="480" w:lineRule="auto"/>
              <w:rPr>
                <w:rFonts w:ascii="Arial" w:hAnsi="Arial" w:cs="Arial"/>
                <w:b/>
                <w:bCs/>
              </w:rPr>
            </w:pPr>
            <w:r w:rsidRPr="00D6481C">
              <w:rPr>
                <w:rFonts w:ascii="Arial" w:hAnsi="Arial" w:cs="Arial"/>
                <w:b/>
                <w:bCs/>
              </w:rPr>
              <w:t>Paciente B</w:t>
            </w:r>
          </w:p>
        </w:tc>
      </w:tr>
      <w:tr w:rsidR="0004687D" w:rsidRPr="00D6481C" w14:paraId="6CAE70A7" w14:textId="77777777" w:rsidTr="0004687D">
        <w:tblPrEx>
          <w:tblBorders>
            <w:left w:val="none" w:sz="0" w:space="0" w:color="auto"/>
            <w:right w:val="none" w:sz="0" w:space="0" w:color="auto"/>
            <w:insideH w:val="none" w:sz="0" w:space="0" w:color="auto"/>
            <w:insideV w:val="none" w:sz="0" w:space="0" w:color="auto"/>
          </w:tblBorders>
        </w:tblPrEx>
        <w:tc>
          <w:tcPr>
            <w:tcW w:w="5670" w:type="dxa"/>
            <w:tcBorders>
              <w:top w:val="single" w:sz="4" w:space="0" w:color="auto"/>
            </w:tcBorders>
          </w:tcPr>
          <w:p w14:paraId="38C38090" w14:textId="312B3D85" w:rsidR="0004687D" w:rsidRPr="00D6481C" w:rsidRDefault="0004687D" w:rsidP="00D6481C">
            <w:pPr>
              <w:spacing w:line="480" w:lineRule="auto"/>
              <w:rPr>
                <w:rFonts w:ascii="Arial" w:hAnsi="Arial" w:cs="Arial"/>
                <w:b/>
              </w:rPr>
            </w:pPr>
            <w:r w:rsidRPr="00D6481C">
              <w:rPr>
                <w:rFonts w:ascii="Arial" w:hAnsi="Arial" w:cs="Arial"/>
              </w:rPr>
              <w:t xml:space="preserve"> </w:t>
            </w:r>
            <w:r w:rsidR="000B0A75" w:rsidRPr="00D6481C">
              <w:rPr>
                <w:rFonts w:ascii="Arial" w:hAnsi="Arial" w:cs="Arial"/>
                <w:b/>
              </w:rPr>
              <w:t>Q</w:t>
            </w:r>
            <w:r w:rsidR="00A10D88" w:rsidRPr="00D6481C">
              <w:rPr>
                <w:rFonts w:ascii="Arial" w:hAnsi="Arial" w:cs="Arial"/>
                <w:b/>
              </w:rPr>
              <w:t>uiebres de inactividad</w:t>
            </w:r>
            <w:r w:rsidR="000B0A75" w:rsidRPr="00D6481C">
              <w:rPr>
                <w:rFonts w:ascii="Arial" w:hAnsi="Arial" w:cs="Arial"/>
                <w:b/>
              </w:rPr>
              <w:t xml:space="preserve"> según duración</w:t>
            </w:r>
          </w:p>
          <w:p w14:paraId="3F27D606" w14:textId="68DEFC13" w:rsidR="0004687D" w:rsidRPr="00D6481C" w:rsidRDefault="0004687D" w:rsidP="00D6481C">
            <w:pPr>
              <w:spacing w:line="480" w:lineRule="auto"/>
              <w:rPr>
                <w:rFonts w:ascii="Arial" w:hAnsi="Arial" w:cs="Arial"/>
                <w:vertAlign w:val="superscript"/>
              </w:rPr>
            </w:pPr>
            <w:r w:rsidRPr="00D6481C">
              <w:rPr>
                <w:rFonts w:ascii="Arial" w:hAnsi="Arial" w:cs="Arial"/>
              </w:rPr>
              <w:t xml:space="preserve">         &lt;1 minuto</w:t>
            </w:r>
          </w:p>
          <w:p w14:paraId="764A897B" w14:textId="77777777" w:rsidR="0004687D" w:rsidRPr="00D6481C" w:rsidRDefault="0004687D" w:rsidP="00D6481C">
            <w:pPr>
              <w:spacing w:line="480" w:lineRule="auto"/>
              <w:rPr>
                <w:rFonts w:ascii="Arial" w:hAnsi="Arial" w:cs="Arial"/>
              </w:rPr>
            </w:pPr>
            <w:r w:rsidRPr="00D6481C">
              <w:rPr>
                <w:rFonts w:ascii="Arial" w:hAnsi="Arial" w:cs="Arial"/>
              </w:rPr>
              <w:t xml:space="preserve">         1 – 4 minutos</w:t>
            </w:r>
          </w:p>
          <w:p w14:paraId="248923B4" w14:textId="77777777" w:rsidR="0004687D" w:rsidRPr="00D6481C" w:rsidRDefault="0004687D" w:rsidP="00D6481C">
            <w:pPr>
              <w:spacing w:line="480" w:lineRule="auto"/>
              <w:rPr>
                <w:rFonts w:ascii="Arial" w:hAnsi="Arial" w:cs="Arial"/>
              </w:rPr>
            </w:pPr>
            <w:r w:rsidRPr="00D6481C">
              <w:rPr>
                <w:rFonts w:ascii="Arial" w:hAnsi="Arial" w:cs="Arial"/>
              </w:rPr>
              <w:t xml:space="preserve">         5 – 9 minutos</w:t>
            </w:r>
          </w:p>
          <w:p w14:paraId="3C2B7926" w14:textId="77777777" w:rsidR="0004687D" w:rsidRPr="00D6481C" w:rsidRDefault="0004687D" w:rsidP="00D6481C">
            <w:pPr>
              <w:spacing w:line="480" w:lineRule="auto"/>
              <w:rPr>
                <w:rFonts w:ascii="Arial" w:hAnsi="Arial" w:cs="Arial"/>
              </w:rPr>
            </w:pPr>
            <w:r w:rsidRPr="00D6481C">
              <w:rPr>
                <w:rFonts w:ascii="Arial" w:hAnsi="Arial" w:cs="Arial"/>
              </w:rPr>
              <w:t xml:space="preserve">         10 – 14 minutos</w:t>
            </w:r>
          </w:p>
          <w:p w14:paraId="6AD36897" w14:textId="77777777" w:rsidR="0004687D" w:rsidRPr="00D6481C" w:rsidRDefault="0004687D" w:rsidP="00D6481C">
            <w:pPr>
              <w:spacing w:line="480" w:lineRule="auto"/>
              <w:rPr>
                <w:rFonts w:ascii="Arial" w:hAnsi="Arial" w:cs="Arial"/>
              </w:rPr>
            </w:pPr>
            <w:r w:rsidRPr="00D6481C">
              <w:rPr>
                <w:rFonts w:ascii="Arial" w:hAnsi="Arial" w:cs="Arial"/>
              </w:rPr>
              <w:t xml:space="preserve">         15 – 29 minutos</w:t>
            </w:r>
          </w:p>
          <w:p w14:paraId="4B605520" w14:textId="77777777" w:rsidR="0004687D" w:rsidRPr="00D6481C" w:rsidRDefault="0004687D" w:rsidP="00D6481C">
            <w:pPr>
              <w:spacing w:line="480" w:lineRule="auto"/>
              <w:rPr>
                <w:rFonts w:ascii="Arial" w:hAnsi="Arial" w:cs="Arial"/>
              </w:rPr>
            </w:pPr>
            <w:r w:rsidRPr="00D6481C">
              <w:rPr>
                <w:rFonts w:ascii="Arial" w:hAnsi="Arial" w:cs="Arial"/>
              </w:rPr>
              <w:t xml:space="preserve">         </w:t>
            </w:r>
            <w:r w:rsidRPr="00D6481C">
              <w:rPr>
                <w:rFonts w:ascii="Arial" w:hAnsi="Arial" w:cs="Arial"/>
                <w:u w:val="single"/>
              </w:rPr>
              <w:t>&gt;</w:t>
            </w:r>
            <w:r w:rsidRPr="00D6481C">
              <w:rPr>
                <w:rFonts w:ascii="Arial" w:hAnsi="Arial" w:cs="Arial"/>
              </w:rPr>
              <w:t xml:space="preserve"> 30 minutos</w:t>
            </w:r>
          </w:p>
        </w:tc>
        <w:tc>
          <w:tcPr>
            <w:tcW w:w="1843" w:type="dxa"/>
            <w:tcBorders>
              <w:top w:val="single" w:sz="4" w:space="0" w:color="auto"/>
            </w:tcBorders>
          </w:tcPr>
          <w:p w14:paraId="49AE9899" w14:textId="361C4DB5" w:rsidR="0004687D" w:rsidRPr="00D6481C" w:rsidRDefault="0004687D" w:rsidP="00D6481C">
            <w:pPr>
              <w:spacing w:line="480" w:lineRule="auto"/>
              <w:rPr>
                <w:rFonts w:ascii="Arial" w:hAnsi="Arial" w:cs="Arial"/>
              </w:rPr>
            </w:pPr>
          </w:p>
          <w:p w14:paraId="4A20F59B" w14:textId="025EE924" w:rsidR="0004687D" w:rsidRPr="00D6481C" w:rsidRDefault="0004687D" w:rsidP="00D6481C">
            <w:pPr>
              <w:spacing w:line="480" w:lineRule="auto"/>
              <w:rPr>
                <w:rFonts w:ascii="Arial" w:hAnsi="Arial" w:cs="Arial"/>
              </w:rPr>
            </w:pPr>
            <w:r w:rsidRPr="00D6481C">
              <w:rPr>
                <w:rFonts w:ascii="Arial" w:hAnsi="Arial" w:cs="Arial"/>
              </w:rPr>
              <w:t>38</w:t>
            </w:r>
            <w:r w:rsidR="006144A4" w:rsidRPr="00D6481C">
              <w:rPr>
                <w:rFonts w:ascii="Arial" w:hAnsi="Arial" w:cs="Arial"/>
              </w:rPr>
              <w:t xml:space="preserve"> (16)</w:t>
            </w:r>
          </w:p>
          <w:p w14:paraId="6D7B14D8" w14:textId="6089CEEC" w:rsidR="0004687D" w:rsidRPr="00D6481C" w:rsidRDefault="0004687D" w:rsidP="00D6481C">
            <w:pPr>
              <w:spacing w:line="480" w:lineRule="auto"/>
              <w:rPr>
                <w:rFonts w:ascii="Arial" w:hAnsi="Arial" w:cs="Arial"/>
              </w:rPr>
            </w:pPr>
            <w:r w:rsidRPr="00D6481C">
              <w:rPr>
                <w:rFonts w:ascii="Arial" w:hAnsi="Arial" w:cs="Arial"/>
              </w:rPr>
              <w:t>14</w:t>
            </w:r>
            <w:r w:rsidR="006144A4" w:rsidRPr="00D6481C">
              <w:rPr>
                <w:rFonts w:ascii="Arial" w:hAnsi="Arial" w:cs="Arial"/>
              </w:rPr>
              <w:t xml:space="preserve"> (6)</w:t>
            </w:r>
          </w:p>
          <w:p w14:paraId="25DBA4FF" w14:textId="7E6A5D6D" w:rsidR="0004687D" w:rsidRPr="00D6481C" w:rsidRDefault="0004687D" w:rsidP="00D6481C">
            <w:pPr>
              <w:spacing w:line="480" w:lineRule="auto"/>
              <w:rPr>
                <w:rFonts w:ascii="Arial" w:hAnsi="Arial" w:cs="Arial"/>
              </w:rPr>
            </w:pPr>
            <w:r w:rsidRPr="00D6481C">
              <w:rPr>
                <w:rFonts w:ascii="Arial" w:hAnsi="Arial" w:cs="Arial"/>
              </w:rPr>
              <w:t>16</w:t>
            </w:r>
            <w:r w:rsidR="006144A4" w:rsidRPr="00D6481C">
              <w:rPr>
                <w:rFonts w:ascii="Arial" w:hAnsi="Arial" w:cs="Arial"/>
              </w:rPr>
              <w:t xml:space="preserve"> (7)</w:t>
            </w:r>
          </w:p>
          <w:p w14:paraId="76558E4B" w14:textId="2BD6243B" w:rsidR="0004687D" w:rsidRPr="00D6481C" w:rsidRDefault="0004687D" w:rsidP="00D6481C">
            <w:pPr>
              <w:spacing w:line="480" w:lineRule="auto"/>
              <w:rPr>
                <w:rFonts w:ascii="Arial" w:hAnsi="Arial" w:cs="Arial"/>
              </w:rPr>
            </w:pPr>
            <w:r w:rsidRPr="00D6481C">
              <w:rPr>
                <w:rFonts w:ascii="Arial" w:hAnsi="Arial" w:cs="Arial"/>
              </w:rPr>
              <w:t>15</w:t>
            </w:r>
            <w:r w:rsidR="006144A4" w:rsidRPr="00D6481C">
              <w:rPr>
                <w:rFonts w:ascii="Arial" w:hAnsi="Arial" w:cs="Arial"/>
              </w:rPr>
              <w:t xml:space="preserve"> (6)</w:t>
            </w:r>
          </w:p>
          <w:p w14:paraId="4B40D446" w14:textId="40179C51" w:rsidR="0004687D" w:rsidRPr="00D6481C" w:rsidRDefault="0004687D" w:rsidP="00D6481C">
            <w:pPr>
              <w:spacing w:line="480" w:lineRule="auto"/>
              <w:rPr>
                <w:rFonts w:ascii="Arial" w:hAnsi="Arial" w:cs="Arial"/>
              </w:rPr>
            </w:pPr>
            <w:r w:rsidRPr="00D6481C">
              <w:rPr>
                <w:rFonts w:ascii="Arial" w:hAnsi="Arial" w:cs="Arial"/>
              </w:rPr>
              <w:t>54</w:t>
            </w:r>
            <w:r w:rsidR="006144A4" w:rsidRPr="00D6481C">
              <w:rPr>
                <w:rFonts w:ascii="Arial" w:hAnsi="Arial" w:cs="Arial"/>
              </w:rPr>
              <w:t xml:space="preserve"> (23)</w:t>
            </w:r>
          </w:p>
          <w:p w14:paraId="111C532E" w14:textId="09B338C8" w:rsidR="0004687D" w:rsidRPr="00D6481C" w:rsidRDefault="0004687D" w:rsidP="00D6481C">
            <w:pPr>
              <w:spacing w:line="480" w:lineRule="auto"/>
              <w:rPr>
                <w:rFonts w:ascii="Arial" w:hAnsi="Arial" w:cs="Arial"/>
              </w:rPr>
            </w:pPr>
            <w:r w:rsidRPr="00D6481C">
              <w:rPr>
                <w:rFonts w:ascii="Arial" w:hAnsi="Arial" w:cs="Arial"/>
              </w:rPr>
              <w:t>103</w:t>
            </w:r>
            <w:r w:rsidR="006144A4" w:rsidRPr="00D6481C">
              <w:rPr>
                <w:rFonts w:ascii="Arial" w:hAnsi="Arial" w:cs="Arial"/>
              </w:rPr>
              <w:t xml:space="preserve"> (43)</w:t>
            </w:r>
          </w:p>
        </w:tc>
        <w:tc>
          <w:tcPr>
            <w:tcW w:w="1787" w:type="dxa"/>
            <w:tcBorders>
              <w:top w:val="single" w:sz="4" w:space="0" w:color="auto"/>
            </w:tcBorders>
          </w:tcPr>
          <w:p w14:paraId="06AFC5B6" w14:textId="77777777" w:rsidR="0004687D" w:rsidRPr="00D6481C" w:rsidRDefault="0004687D" w:rsidP="00D6481C">
            <w:pPr>
              <w:spacing w:line="480" w:lineRule="auto"/>
              <w:rPr>
                <w:rFonts w:ascii="Arial" w:hAnsi="Arial" w:cs="Arial"/>
              </w:rPr>
            </w:pPr>
          </w:p>
          <w:p w14:paraId="20407ADC" w14:textId="5309A379" w:rsidR="0004687D" w:rsidRPr="00D6481C" w:rsidRDefault="0004687D" w:rsidP="00D6481C">
            <w:pPr>
              <w:spacing w:line="480" w:lineRule="auto"/>
              <w:rPr>
                <w:rFonts w:ascii="Arial" w:hAnsi="Arial" w:cs="Arial"/>
              </w:rPr>
            </w:pPr>
            <w:r w:rsidRPr="00D6481C">
              <w:rPr>
                <w:rFonts w:ascii="Arial" w:hAnsi="Arial" w:cs="Arial"/>
              </w:rPr>
              <w:t>81</w:t>
            </w:r>
            <w:r w:rsidR="006144A4" w:rsidRPr="00D6481C">
              <w:rPr>
                <w:rFonts w:ascii="Arial" w:hAnsi="Arial" w:cs="Arial"/>
              </w:rPr>
              <w:t xml:space="preserve"> (34)</w:t>
            </w:r>
          </w:p>
          <w:p w14:paraId="64B6160C" w14:textId="4EC35B29" w:rsidR="0004687D" w:rsidRPr="00D6481C" w:rsidRDefault="0004687D" w:rsidP="00D6481C">
            <w:pPr>
              <w:spacing w:line="480" w:lineRule="auto"/>
              <w:rPr>
                <w:rFonts w:ascii="Arial" w:hAnsi="Arial" w:cs="Arial"/>
              </w:rPr>
            </w:pPr>
            <w:r w:rsidRPr="00D6481C">
              <w:rPr>
                <w:rFonts w:ascii="Arial" w:hAnsi="Arial" w:cs="Arial"/>
              </w:rPr>
              <w:t>22</w:t>
            </w:r>
            <w:r w:rsidR="006144A4" w:rsidRPr="00D6481C">
              <w:rPr>
                <w:rFonts w:ascii="Arial" w:hAnsi="Arial" w:cs="Arial"/>
              </w:rPr>
              <w:t xml:space="preserve"> (9)</w:t>
            </w:r>
          </w:p>
          <w:p w14:paraId="3878B92E" w14:textId="1AA9ED7B" w:rsidR="0004687D" w:rsidRPr="00D6481C" w:rsidRDefault="0004687D" w:rsidP="00D6481C">
            <w:pPr>
              <w:spacing w:line="480" w:lineRule="auto"/>
              <w:rPr>
                <w:rFonts w:ascii="Arial" w:hAnsi="Arial" w:cs="Arial"/>
              </w:rPr>
            </w:pPr>
            <w:r w:rsidRPr="00D6481C">
              <w:rPr>
                <w:rFonts w:ascii="Arial" w:hAnsi="Arial" w:cs="Arial"/>
              </w:rPr>
              <w:t>19</w:t>
            </w:r>
            <w:r w:rsidR="006144A4" w:rsidRPr="00D6481C">
              <w:rPr>
                <w:rFonts w:ascii="Arial" w:hAnsi="Arial" w:cs="Arial"/>
              </w:rPr>
              <w:t xml:space="preserve"> (8)</w:t>
            </w:r>
          </w:p>
          <w:p w14:paraId="0A64E5FE" w14:textId="22DBE1F9" w:rsidR="0004687D" w:rsidRPr="00D6481C" w:rsidRDefault="0004687D" w:rsidP="00D6481C">
            <w:pPr>
              <w:spacing w:line="480" w:lineRule="auto"/>
              <w:rPr>
                <w:rFonts w:ascii="Arial" w:hAnsi="Arial" w:cs="Arial"/>
              </w:rPr>
            </w:pPr>
            <w:r w:rsidRPr="00D6481C">
              <w:rPr>
                <w:rFonts w:ascii="Arial" w:hAnsi="Arial" w:cs="Arial"/>
              </w:rPr>
              <w:t>15</w:t>
            </w:r>
            <w:r w:rsidR="006144A4" w:rsidRPr="00D6481C">
              <w:rPr>
                <w:rFonts w:ascii="Arial" w:hAnsi="Arial" w:cs="Arial"/>
              </w:rPr>
              <w:t xml:space="preserve"> (6)</w:t>
            </w:r>
          </w:p>
          <w:p w14:paraId="5BD7F14D" w14:textId="3180684F" w:rsidR="0004687D" w:rsidRPr="00D6481C" w:rsidRDefault="0004687D" w:rsidP="00D6481C">
            <w:pPr>
              <w:spacing w:line="480" w:lineRule="auto"/>
              <w:rPr>
                <w:rFonts w:ascii="Arial" w:hAnsi="Arial" w:cs="Arial"/>
              </w:rPr>
            </w:pPr>
            <w:r w:rsidRPr="00D6481C">
              <w:rPr>
                <w:rFonts w:ascii="Arial" w:hAnsi="Arial" w:cs="Arial"/>
              </w:rPr>
              <w:t>53</w:t>
            </w:r>
            <w:r w:rsidR="006144A4" w:rsidRPr="00D6481C">
              <w:rPr>
                <w:rFonts w:ascii="Arial" w:hAnsi="Arial" w:cs="Arial"/>
              </w:rPr>
              <w:t xml:space="preserve"> (22)</w:t>
            </w:r>
          </w:p>
          <w:p w14:paraId="06510160" w14:textId="2EC7B078" w:rsidR="0004687D" w:rsidRPr="00D6481C" w:rsidRDefault="0004687D" w:rsidP="00D6481C">
            <w:pPr>
              <w:spacing w:line="480" w:lineRule="auto"/>
              <w:rPr>
                <w:rFonts w:ascii="Arial" w:hAnsi="Arial" w:cs="Arial"/>
              </w:rPr>
            </w:pPr>
            <w:r w:rsidRPr="00D6481C">
              <w:rPr>
                <w:rFonts w:ascii="Arial" w:hAnsi="Arial" w:cs="Arial"/>
              </w:rPr>
              <w:t>50</w:t>
            </w:r>
            <w:r w:rsidR="006144A4" w:rsidRPr="00D6481C">
              <w:rPr>
                <w:rFonts w:ascii="Arial" w:hAnsi="Arial" w:cs="Arial"/>
              </w:rPr>
              <w:t xml:space="preserve"> (21)</w:t>
            </w:r>
          </w:p>
        </w:tc>
      </w:tr>
    </w:tbl>
    <w:p w14:paraId="75C464CD" w14:textId="77777777" w:rsidR="00D6481C" w:rsidRDefault="006144A4" w:rsidP="00D6481C">
      <w:pPr>
        <w:spacing w:line="480" w:lineRule="auto"/>
        <w:rPr>
          <w:rFonts w:ascii="Arial" w:hAnsi="Arial" w:cs="Arial"/>
        </w:rPr>
      </w:pPr>
      <w:r w:rsidRPr="00D6481C">
        <w:rPr>
          <w:rFonts w:ascii="Arial" w:hAnsi="Arial" w:cs="Arial"/>
        </w:rPr>
        <w:t>Los datos son presentados en frecuencia absoluta (%).</w:t>
      </w:r>
    </w:p>
    <w:p w14:paraId="05A779E5" w14:textId="77777777" w:rsidR="00D6481C" w:rsidRDefault="00D6481C" w:rsidP="00D6481C">
      <w:pPr>
        <w:spacing w:line="480" w:lineRule="auto"/>
        <w:rPr>
          <w:rFonts w:ascii="Times New Roman" w:hAnsi="Times New Roman" w:cs="Times New Roman"/>
        </w:rPr>
      </w:pPr>
    </w:p>
    <w:p w14:paraId="529A3BCD" w14:textId="77777777" w:rsidR="00D6481C" w:rsidRDefault="00D6481C" w:rsidP="00D6481C">
      <w:pPr>
        <w:spacing w:line="480" w:lineRule="auto"/>
        <w:rPr>
          <w:rFonts w:ascii="Times New Roman" w:hAnsi="Times New Roman" w:cs="Times New Roman"/>
        </w:rPr>
      </w:pPr>
    </w:p>
    <w:p w14:paraId="2E6E552D" w14:textId="77777777" w:rsidR="00D6481C" w:rsidRDefault="00D6481C" w:rsidP="00D6481C">
      <w:pPr>
        <w:spacing w:line="480" w:lineRule="auto"/>
        <w:rPr>
          <w:rFonts w:ascii="Times New Roman" w:hAnsi="Times New Roman" w:cs="Times New Roman"/>
        </w:rPr>
      </w:pPr>
    </w:p>
    <w:p w14:paraId="2D29FA5D" w14:textId="77777777" w:rsidR="00D6481C" w:rsidRDefault="00D6481C" w:rsidP="00D6481C">
      <w:pPr>
        <w:spacing w:line="480" w:lineRule="auto"/>
        <w:rPr>
          <w:rFonts w:ascii="Times New Roman" w:hAnsi="Times New Roman" w:cs="Times New Roman"/>
        </w:rPr>
      </w:pPr>
    </w:p>
    <w:p w14:paraId="67CCD454" w14:textId="77777777" w:rsidR="00D6481C" w:rsidRDefault="00D6481C" w:rsidP="00D6481C">
      <w:pPr>
        <w:spacing w:line="480" w:lineRule="auto"/>
        <w:rPr>
          <w:rFonts w:ascii="Times New Roman" w:hAnsi="Times New Roman" w:cs="Times New Roman"/>
        </w:rPr>
      </w:pPr>
    </w:p>
    <w:p w14:paraId="21DAEFDE" w14:textId="77777777" w:rsidR="00D6481C" w:rsidRDefault="00D6481C" w:rsidP="00D6481C">
      <w:pPr>
        <w:spacing w:line="480" w:lineRule="auto"/>
        <w:rPr>
          <w:rFonts w:ascii="Times New Roman" w:hAnsi="Times New Roman" w:cs="Times New Roman"/>
        </w:rPr>
      </w:pPr>
    </w:p>
    <w:p w14:paraId="562C9973" w14:textId="77777777" w:rsidR="00D6481C" w:rsidRDefault="00D6481C" w:rsidP="00D6481C">
      <w:pPr>
        <w:spacing w:line="480" w:lineRule="auto"/>
        <w:rPr>
          <w:rFonts w:ascii="Times New Roman" w:hAnsi="Times New Roman" w:cs="Times New Roman"/>
        </w:rPr>
      </w:pPr>
    </w:p>
    <w:p w14:paraId="2CC117B0" w14:textId="77777777" w:rsidR="00D6481C" w:rsidRDefault="00D6481C" w:rsidP="00D6481C">
      <w:pPr>
        <w:spacing w:line="480" w:lineRule="auto"/>
        <w:rPr>
          <w:rFonts w:ascii="Times New Roman" w:hAnsi="Times New Roman" w:cs="Times New Roman"/>
        </w:rPr>
      </w:pPr>
    </w:p>
    <w:p w14:paraId="233D4193" w14:textId="77777777" w:rsidR="00D6481C" w:rsidRDefault="00D6481C" w:rsidP="00D6481C">
      <w:pPr>
        <w:spacing w:line="480" w:lineRule="auto"/>
        <w:rPr>
          <w:rFonts w:ascii="Times New Roman" w:hAnsi="Times New Roman" w:cs="Times New Roman"/>
        </w:rPr>
      </w:pPr>
    </w:p>
    <w:p w14:paraId="02F89358" w14:textId="77777777" w:rsidR="00D6481C" w:rsidRDefault="00D6481C" w:rsidP="00D6481C">
      <w:pPr>
        <w:spacing w:line="480" w:lineRule="auto"/>
        <w:rPr>
          <w:rFonts w:ascii="Times New Roman" w:hAnsi="Times New Roman" w:cs="Times New Roman"/>
        </w:rPr>
      </w:pPr>
    </w:p>
    <w:p w14:paraId="373B09AC" w14:textId="74D4EE82" w:rsidR="00C44859" w:rsidRPr="00C44859" w:rsidRDefault="00D6481C" w:rsidP="00D6481C">
      <w:pPr>
        <w:spacing w:line="480" w:lineRule="auto"/>
        <w:jc w:val="center"/>
        <w:rPr>
          <w:rFonts w:ascii="Times New Roman" w:hAnsi="Times New Roman" w:cs="Times New Roman"/>
        </w:rPr>
      </w:pPr>
      <w:r w:rsidRPr="00D6481C">
        <w:rPr>
          <w:rFonts w:ascii="Times New Roman" w:hAnsi="Times New Roman" w:cs="Times New Roman"/>
          <w:color w:val="808080" w:themeColor="background1" w:themeShade="80"/>
        </w:rPr>
        <w:t>18</w:t>
      </w:r>
      <w:r w:rsidR="00C44859" w:rsidRPr="00C44859">
        <w:rPr>
          <w:rFonts w:ascii="Times New Roman" w:hAnsi="Times New Roman" w:cs="Times New Roman"/>
        </w:rPr>
        <w:br w:type="page"/>
      </w:r>
    </w:p>
    <w:p w14:paraId="589930A7" w14:textId="458C461A" w:rsidR="009C2910" w:rsidRPr="00D6481C" w:rsidRDefault="00C44859" w:rsidP="00D6481C">
      <w:pPr>
        <w:spacing w:line="480" w:lineRule="auto"/>
        <w:rPr>
          <w:rFonts w:ascii="Arial" w:hAnsi="Arial" w:cs="Arial"/>
          <w:b/>
        </w:rPr>
      </w:pPr>
      <w:r w:rsidRPr="00D6481C">
        <w:rPr>
          <w:rFonts w:ascii="Arial" w:hAnsi="Arial" w:cs="Arial"/>
          <w:b/>
        </w:rPr>
        <w:t>Figur</w:t>
      </w:r>
      <w:r w:rsidR="00812B6A" w:rsidRPr="00D6481C">
        <w:rPr>
          <w:rFonts w:ascii="Arial" w:hAnsi="Arial" w:cs="Arial"/>
          <w:b/>
        </w:rPr>
        <w:t>a</w:t>
      </w:r>
      <w:r w:rsidRPr="00D6481C">
        <w:rPr>
          <w:rFonts w:ascii="Arial" w:hAnsi="Arial" w:cs="Arial"/>
          <w:b/>
        </w:rPr>
        <w:t xml:space="preserve"> </w:t>
      </w:r>
      <w:r w:rsidR="00521525" w:rsidRPr="00D6481C">
        <w:rPr>
          <w:rFonts w:ascii="Arial" w:hAnsi="Arial" w:cs="Arial"/>
          <w:b/>
        </w:rPr>
        <w:t>2</w:t>
      </w:r>
      <w:r w:rsidRPr="00D6481C">
        <w:rPr>
          <w:rFonts w:ascii="Arial" w:hAnsi="Arial" w:cs="Arial"/>
          <w:b/>
        </w:rPr>
        <w:t xml:space="preserve">. </w:t>
      </w:r>
      <w:r w:rsidR="00196D06" w:rsidRPr="00D6481C">
        <w:rPr>
          <w:rFonts w:ascii="Arial" w:hAnsi="Arial" w:cs="Arial"/>
        </w:rPr>
        <w:t>Número</w:t>
      </w:r>
      <w:r w:rsidR="008C3F19" w:rsidRPr="00D6481C">
        <w:rPr>
          <w:rFonts w:ascii="Arial" w:hAnsi="Arial" w:cs="Arial"/>
        </w:rPr>
        <w:t xml:space="preserve"> </w:t>
      </w:r>
      <w:r w:rsidR="00196D06" w:rsidRPr="00D6481C">
        <w:rPr>
          <w:rFonts w:ascii="Arial" w:hAnsi="Arial" w:cs="Arial"/>
        </w:rPr>
        <w:t xml:space="preserve">de quiebres de inactividad </w:t>
      </w:r>
      <w:r w:rsidR="008C3F19" w:rsidRPr="00D6481C">
        <w:rPr>
          <w:rFonts w:ascii="Arial" w:hAnsi="Arial" w:cs="Arial"/>
        </w:rPr>
        <w:t xml:space="preserve">según duración </w:t>
      </w:r>
      <w:r w:rsidR="00196D06" w:rsidRPr="00D6481C">
        <w:rPr>
          <w:rFonts w:ascii="Arial" w:hAnsi="Arial" w:cs="Arial"/>
        </w:rPr>
        <w:t xml:space="preserve">durante </w:t>
      </w:r>
      <w:r w:rsidR="008C3F19" w:rsidRPr="00D6481C">
        <w:rPr>
          <w:rFonts w:ascii="Arial" w:hAnsi="Arial" w:cs="Arial"/>
        </w:rPr>
        <w:t xml:space="preserve">los primeros </w:t>
      </w:r>
      <w:r w:rsidR="00501367" w:rsidRPr="00D6481C">
        <w:rPr>
          <w:rFonts w:ascii="Arial" w:hAnsi="Arial" w:cs="Arial"/>
        </w:rPr>
        <w:t>diez</w:t>
      </w:r>
      <w:r w:rsidR="008C3F19" w:rsidRPr="00D6481C">
        <w:rPr>
          <w:rFonts w:ascii="Arial" w:hAnsi="Arial" w:cs="Arial"/>
        </w:rPr>
        <w:t xml:space="preserve"> días desde el despertar</w:t>
      </w:r>
      <w:r w:rsidR="00196D06" w:rsidRPr="00D6481C">
        <w:rPr>
          <w:rFonts w:ascii="Arial" w:hAnsi="Arial" w:cs="Arial"/>
        </w:rPr>
        <w:t xml:space="preserve"> del paciente A.</w:t>
      </w:r>
    </w:p>
    <w:p w14:paraId="32C053E3" w14:textId="7ED39C32" w:rsidR="00C44859" w:rsidRPr="00D6481C" w:rsidRDefault="00D6481C" w:rsidP="00D6481C">
      <w:pPr>
        <w:spacing w:line="480" w:lineRule="auto"/>
        <w:rPr>
          <w:rFonts w:ascii="Arial" w:hAnsi="Arial" w:cs="Arial"/>
        </w:rPr>
      </w:pPr>
      <w:r w:rsidRPr="00D6481C">
        <w:rPr>
          <w:rFonts w:ascii="Arial" w:hAnsi="Arial" w:cs="Arial"/>
          <w:noProof/>
        </w:rPr>
        <w:drawing>
          <wp:inline distT="0" distB="0" distL="0" distR="0" wp14:anchorId="171C390E" wp14:editId="105C4710">
            <wp:extent cx="5431790" cy="2701145"/>
            <wp:effectExtent l="0" t="0" r="381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23-06-26 a la(s) 19.14.18.png"/>
                    <pic:cNvPicPr/>
                  </pic:nvPicPr>
                  <pic:blipFill>
                    <a:blip r:embed="rId14">
                      <a:extLst>
                        <a:ext uri="{28A0092B-C50C-407E-A947-70E740481C1C}">
                          <a14:useLocalDpi xmlns:a14="http://schemas.microsoft.com/office/drawing/2010/main" val="0"/>
                        </a:ext>
                      </a:extLst>
                    </a:blip>
                    <a:stretch>
                      <a:fillRect/>
                    </a:stretch>
                  </pic:blipFill>
                  <pic:spPr>
                    <a:xfrm>
                      <a:off x="0" y="0"/>
                      <a:ext cx="5431790" cy="2701145"/>
                    </a:xfrm>
                    <a:prstGeom prst="rect">
                      <a:avLst/>
                    </a:prstGeom>
                  </pic:spPr>
                </pic:pic>
              </a:graphicData>
            </a:graphic>
          </wp:inline>
        </w:drawing>
      </w:r>
    </w:p>
    <w:p w14:paraId="3A2180BF" w14:textId="779F4158" w:rsidR="00956C03" w:rsidRPr="00D6481C" w:rsidRDefault="00956C03" w:rsidP="00D6481C">
      <w:pPr>
        <w:spacing w:line="480" w:lineRule="auto"/>
        <w:rPr>
          <w:rFonts w:ascii="Arial" w:hAnsi="Arial" w:cs="Arial"/>
        </w:rPr>
      </w:pPr>
      <w:r w:rsidRPr="00D6481C">
        <w:rPr>
          <w:rFonts w:ascii="Arial" w:hAnsi="Arial" w:cs="Arial"/>
        </w:rPr>
        <w:t xml:space="preserve">Fuente: elaborado por los autores a partir de los resultados del estudio. </w:t>
      </w:r>
    </w:p>
    <w:p w14:paraId="339AD02B" w14:textId="5530DD8F" w:rsidR="00016069" w:rsidRPr="00D6481C" w:rsidRDefault="00016069" w:rsidP="00D6481C">
      <w:pPr>
        <w:spacing w:line="480" w:lineRule="auto"/>
        <w:rPr>
          <w:rFonts w:ascii="Arial" w:hAnsi="Arial" w:cs="Arial"/>
        </w:rPr>
      </w:pPr>
    </w:p>
    <w:p w14:paraId="4EB08BEB" w14:textId="27CEE298" w:rsidR="00C33FF8" w:rsidRDefault="00016069" w:rsidP="00D6481C">
      <w:pPr>
        <w:spacing w:line="480" w:lineRule="auto"/>
        <w:rPr>
          <w:rFonts w:ascii="Arial" w:hAnsi="Arial" w:cs="Arial"/>
          <w:lang w:val="es-ES"/>
        </w:rPr>
      </w:pPr>
      <w:r w:rsidRPr="00D6481C">
        <w:rPr>
          <w:rFonts w:ascii="Arial" w:hAnsi="Arial" w:cs="Arial"/>
        </w:rPr>
        <w:t xml:space="preserve">Las barras de colores representan los seis intervalos de tiempo de los quiebres de inactividad: </w:t>
      </w:r>
      <w:r w:rsidRPr="00D6481C">
        <w:rPr>
          <w:rFonts w:ascii="Arial" w:hAnsi="Arial" w:cs="Arial"/>
          <w:lang w:val="es-ES"/>
        </w:rPr>
        <w:t xml:space="preserve">&lt;1 minuto, 1-4 minutos, 5-9 minutos, 10-14 minutos, 15-29 minutos, y ≥30 minutos. La línea punteada en verde representa </w:t>
      </w:r>
      <w:r w:rsidR="00C33FF8" w:rsidRPr="00D6481C">
        <w:rPr>
          <w:rFonts w:ascii="Arial" w:hAnsi="Arial" w:cs="Arial"/>
          <w:lang w:val="es-ES"/>
        </w:rPr>
        <w:t>la tendencia</w:t>
      </w:r>
      <w:r w:rsidRPr="00D6481C">
        <w:rPr>
          <w:rFonts w:ascii="Arial" w:hAnsi="Arial" w:cs="Arial"/>
          <w:lang w:val="es-ES"/>
        </w:rPr>
        <w:t xml:space="preserve"> de quiebres de inactividad de ≥30 minutos</w:t>
      </w:r>
      <w:r w:rsidR="00C33FF8" w:rsidRPr="00D6481C">
        <w:rPr>
          <w:rFonts w:ascii="Arial" w:hAnsi="Arial" w:cs="Arial"/>
          <w:lang w:val="es-ES"/>
        </w:rPr>
        <w:t xml:space="preserve"> y en rojo la tendencia de quiebres de inactividad de &lt;1 minuto, estos valores corresponden a un promedio de quiebres de inactividad recalculado cada día según la cantidad de días que ha pasado</w:t>
      </w:r>
      <w:r w:rsidR="0017526F" w:rsidRPr="00D6481C">
        <w:rPr>
          <w:rFonts w:ascii="Arial" w:hAnsi="Arial" w:cs="Arial"/>
          <w:lang w:val="es-ES"/>
        </w:rPr>
        <w:t xml:space="preserve"> (media móvil). </w:t>
      </w:r>
      <w:r w:rsidR="00C33FF8" w:rsidRPr="00D6481C">
        <w:rPr>
          <w:rFonts w:ascii="Arial" w:hAnsi="Arial" w:cs="Arial"/>
          <w:lang w:val="es-ES"/>
        </w:rPr>
        <w:t xml:space="preserve"> </w:t>
      </w:r>
    </w:p>
    <w:p w14:paraId="46D7B450" w14:textId="5C2D4BC2" w:rsidR="00D6481C" w:rsidRDefault="00D6481C" w:rsidP="00D6481C">
      <w:pPr>
        <w:spacing w:line="480" w:lineRule="auto"/>
        <w:rPr>
          <w:rFonts w:ascii="Arial" w:hAnsi="Arial" w:cs="Arial"/>
          <w:lang w:val="es-ES"/>
        </w:rPr>
      </w:pPr>
    </w:p>
    <w:p w14:paraId="50C0447E" w14:textId="7B1068A4" w:rsidR="00D6481C" w:rsidRDefault="00D6481C" w:rsidP="00D6481C">
      <w:pPr>
        <w:spacing w:line="480" w:lineRule="auto"/>
        <w:rPr>
          <w:rFonts w:ascii="Arial" w:hAnsi="Arial" w:cs="Arial"/>
          <w:lang w:val="es-ES"/>
        </w:rPr>
      </w:pPr>
    </w:p>
    <w:p w14:paraId="720472C1" w14:textId="359FC573" w:rsidR="00C33FF8" w:rsidRPr="00D6481C" w:rsidRDefault="00D6481C" w:rsidP="00D6481C">
      <w:pPr>
        <w:spacing w:line="480" w:lineRule="auto"/>
        <w:jc w:val="center"/>
        <w:rPr>
          <w:rFonts w:ascii="Arial" w:hAnsi="Arial" w:cs="Arial"/>
          <w:color w:val="808080" w:themeColor="background1" w:themeShade="80"/>
          <w:lang w:val="es-ES"/>
        </w:rPr>
      </w:pPr>
      <w:r w:rsidRPr="00D6481C">
        <w:rPr>
          <w:rFonts w:ascii="Arial" w:hAnsi="Arial" w:cs="Arial"/>
          <w:color w:val="808080" w:themeColor="background1" w:themeShade="80"/>
          <w:lang w:val="es-ES"/>
        </w:rPr>
        <w:t>19</w:t>
      </w:r>
      <w:r w:rsidR="00C33FF8">
        <w:rPr>
          <w:rFonts w:ascii="Times New Roman" w:hAnsi="Times New Roman" w:cs="Times New Roman"/>
          <w:lang w:val="es-ES"/>
        </w:rPr>
        <w:br w:type="page"/>
      </w:r>
    </w:p>
    <w:p w14:paraId="72301043" w14:textId="77777777" w:rsidR="00016069" w:rsidRDefault="00016069" w:rsidP="000153C2">
      <w:pPr>
        <w:spacing w:line="360" w:lineRule="auto"/>
        <w:rPr>
          <w:rFonts w:ascii="Times New Roman" w:hAnsi="Times New Roman" w:cs="Times New Roman"/>
        </w:rPr>
      </w:pPr>
    </w:p>
    <w:p w14:paraId="0949B24E" w14:textId="5A9C7FB9" w:rsidR="00521525" w:rsidRPr="00D6481C" w:rsidRDefault="00521525" w:rsidP="00D6481C">
      <w:pPr>
        <w:spacing w:line="480" w:lineRule="auto"/>
        <w:rPr>
          <w:rFonts w:ascii="Arial" w:hAnsi="Arial" w:cs="Arial"/>
        </w:rPr>
      </w:pPr>
      <w:r w:rsidRPr="00D6481C">
        <w:rPr>
          <w:rFonts w:ascii="Arial" w:hAnsi="Arial" w:cs="Arial"/>
          <w:b/>
        </w:rPr>
        <w:t xml:space="preserve">Figura 3. </w:t>
      </w:r>
      <w:r w:rsidR="008C3F19" w:rsidRPr="00D6481C">
        <w:rPr>
          <w:rFonts w:ascii="Arial" w:hAnsi="Arial" w:cs="Arial"/>
        </w:rPr>
        <w:t xml:space="preserve">Número de quiebres de inactividad según duración durante los primeros </w:t>
      </w:r>
      <w:r w:rsidR="00501367" w:rsidRPr="00D6481C">
        <w:rPr>
          <w:rFonts w:ascii="Arial" w:hAnsi="Arial" w:cs="Arial"/>
        </w:rPr>
        <w:t>diez</w:t>
      </w:r>
      <w:r w:rsidR="008C3F19" w:rsidRPr="00D6481C">
        <w:rPr>
          <w:rFonts w:ascii="Arial" w:hAnsi="Arial" w:cs="Arial"/>
        </w:rPr>
        <w:t xml:space="preserve"> días desde el despertar del paciente B.</w:t>
      </w:r>
    </w:p>
    <w:p w14:paraId="72639718" w14:textId="0A5DF8AE" w:rsidR="009C2910" w:rsidRDefault="00666477" w:rsidP="00C44859">
      <w:pPr>
        <w:spacing w:line="360" w:lineRule="auto"/>
        <w:jc w:val="both"/>
        <w:rPr>
          <w:rFonts w:ascii="Times New Roman" w:hAnsi="Times New Roman" w:cs="Times New Roman"/>
          <w:b/>
        </w:rPr>
      </w:pPr>
      <w:r>
        <w:rPr>
          <w:rFonts w:ascii="Times New Roman" w:hAnsi="Times New Roman" w:cs="Times New Roman"/>
          <w:b/>
          <w:noProof/>
        </w:rPr>
        <w:drawing>
          <wp:inline distT="0" distB="0" distL="0" distR="0" wp14:anchorId="5219D8C4" wp14:editId="32697650">
            <wp:extent cx="5612130" cy="3230245"/>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23-07-10 a la(s) 18.37.49.png"/>
                    <pic:cNvPicPr/>
                  </pic:nvPicPr>
                  <pic:blipFill>
                    <a:blip r:embed="rId15">
                      <a:extLst>
                        <a:ext uri="{28A0092B-C50C-407E-A947-70E740481C1C}">
                          <a14:useLocalDpi xmlns:a14="http://schemas.microsoft.com/office/drawing/2010/main" val="0"/>
                        </a:ext>
                      </a:extLst>
                    </a:blip>
                    <a:stretch>
                      <a:fillRect/>
                    </a:stretch>
                  </pic:blipFill>
                  <pic:spPr>
                    <a:xfrm>
                      <a:off x="0" y="0"/>
                      <a:ext cx="5612130" cy="3230245"/>
                    </a:xfrm>
                    <a:prstGeom prst="rect">
                      <a:avLst/>
                    </a:prstGeom>
                  </pic:spPr>
                </pic:pic>
              </a:graphicData>
            </a:graphic>
          </wp:inline>
        </w:drawing>
      </w:r>
    </w:p>
    <w:p w14:paraId="09C8C616" w14:textId="77777777" w:rsidR="00956C03" w:rsidRPr="00D6481C" w:rsidRDefault="00956C03" w:rsidP="00D6481C">
      <w:pPr>
        <w:spacing w:line="480" w:lineRule="auto"/>
        <w:rPr>
          <w:rFonts w:ascii="Arial" w:hAnsi="Arial" w:cs="Arial"/>
        </w:rPr>
      </w:pPr>
      <w:r w:rsidRPr="00D6481C">
        <w:rPr>
          <w:rFonts w:ascii="Arial" w:hAnsi="Arial" w:cs="Arial"/>
        </w:rPr>
        <w:t xml:space="preserve">Fuente: elaborado por los autores a partir de los resultados del estudio. </w:t>
      </w:r>
    </w:p>
    <w:p w14:paraId="4AF3E5EE" w14:textId="77777777" w:rsidR="00956C03" w:rsidRPr="00D6481C" w:rsidRDefault="00956C03" w:rsidP="00D6481C">
      <w:pPr>
        <w:spacing w:line="480" w:lineRule="auto"/>
        <w:jc w:val="both"/>
        <w:rPr>
          <w:rFonts w:ascii="Arial" w:hAnsi="Arial" w:cs="Arial"/>
          <w:b/>
        </w:rPr>
      </w:pPr>
    </w:p>
    <w:p w14:paraId="6C9700EE" w14:textId="3588B3B7" w:rsidR="009C2910" w:rsidRPr="00D6481C" w:rsidRDefault="00C33FF8" w:rsidP="00D6481C">
      <w:pPr>
        <w:spacing w:line="480" w:lineRule="auto"/>
        <w:rPr>
          <w:rFonts w:ascii="Arial" w:hAnsi="Arial" w:cs="Arial"/>
        </w:rPr>
      </w:pPr>
      <w:r w:rsidRPr="00D6481C">
        <w:rPr>
          <w:rFonts w:ascii="Arial" w:hAnsi="Arial" w:cs="Arial"/>
        </w:rPr>
        <w:t xml:space="preserve">Las barras de colores representan los seis intervalos de tiempo de los quiebres de inactividad: </w:t>
      </w:r>
      <w:r w:rsidRPr="00D6481C">
        <w:rPr>
          <w:rFonts w:ascii="Arial" w:hAnsi="Arial" w:cs="Arial"/>
          <w:lang w:val="es-ES"/>
        </w:rPr>
        <w:t xml:space="preserve">&lt;1 minuto, 1-4 minutos, 5-9 minutos, 10-14 minutos, 15-29 minutos, y ≥30 minutos. La línea punteada en verde representa la tendencia de quiebres de inactividad de ≥30 minutos y en rojo la tendencia de quiebres de inactividad de &lt;1 minuto, estos valores corresponden a un promedio de quiebres de inactividad recalculado cada día según la cantidad de días que ha pasado.  </w:t>
      </w:r>
    </w:p>
    <w:p w14:paraId="282451E7" w14:textId="4B438954" w:rsidR="00A25F18" w:rsidRPr="00D55ECA" w:rsidRDefault="00D6481C" w:rsidP="00D6481C">
      <w:pPr>
        <w:jc w:val="center"/>
        <w:rPr>
          <w:rFonts w:ascii="Arial" w:hAnsi="Arial" w:cs="Arial"/>
          <w:lang w:val="en-US"/>
        </w:rPr>
      </w:pPr>
      <w:r w:rsidRPr="00D55ECA">
        <w:rPr>
          <w:rFonts w:ascii="Arial" w:hAnsi="Arial" w:cs="Arial"/>
          <w:color w:val="808080" w:themeColor="background1" w:themeShade="80"/>
          <w:lang w:val="en-US"/>
        </w:rPr>
        <w:t>20</w:t>
      </w:r>
      <w:r w:rsidR="00A25F18" w:rsidRPr="00D55ECA">
        <w:rPr>
          <w:rFonts w:ascii="Arial" w:hAnsi="Arial" w:cs="Arial"/>
          <w:lang w:val="en-US"/>
        </w:rPr>
        <w:br w:type="page"/>
      </w:r>
    </w:p>
    <w:p w14:paraId="55218F8E" w14:textId="0710D466" w:rsidR="008C06D2" w:rsidRPr="00D6481C" w:rsidRDefault="005D2C26" w:rsidP="00D6481C">
      <w:pPr>
        <w:widowControl w:val="0"/>
        <w:autoSpaceDE w:val="0"/>
        <w:autoSpaceDN w:val="0"/>
        <w:adjustRightInd w:val="0"/>
        <w:spacing w:line="480" w:lineRule="auto"/>
        <w:rPr>
          <w:rFonts w:ascii="Arial" w:hAnsi="Arial" w:cs="Arial"/>
          <w:b/>
          <w:lang w:val="en-US"/>
        </w:rPr>
      </w:pPr>
      <w:proofErr w:type="spellStart"/>
      <w:r w:rsidRPr="00D6481C">
        <w:rPr>
          <w:rFonts w:ascii="Arial" w:hAnsi="Arial" w:cs="Arial"/>
          <w:b/>
          <w:lang w:val="en-US"/>
        </w:rPr>
        <w:t>Referencias</w:t>
      </w:r>
      <w:proofErr w:type="spellEnd"/>
    </w:p>
    <w:p w14:paraId="70AD8A0F" w14:textId="478972D2" w:rsidR="00687D21" w:rsidRPr="00D6481C" w:rsidRDefault="00F875CE"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b/>
        </w:rPr>
        <w:fldChar w:fldCharType="begin" w:fldLock="1"/>
      </w:r>
      <w:r w:rsidRPr="00D6481C">
        <w:rPr>
          <w:rFonts w:ascii="Arial" w:hAnsi="Arial" w:cs="Arial"/>
          <w:b/>
          <w:lang w:val="en-US"/>
        </w:rPr>
        <w:instrText xml:space="preserve">ADDIN Mendeley Bibliography CSL_BIBLIOGRAPHY </w:instrText>
      </w:r>
      <w:r w:rsidRPr="00D6481C">
        <w:rPr>
          <w:rFonts w:ascii="Arial" w:hAnsi="Arial" w:cs="Arial"/>
          <w:b/>
        </w:rPr>
        <w:fldChar w:fldCharType="separate"/>
      </w:r>
      <w:r w:rsidR="00687D21" w:rsidRPr="00D6481C">
        <w:rPr>
          <w:rFonts w:ascii="Arial" w:hAnsi="Arial" w:cs="Arial"/>
          <w:noProof/>
          <w:lang w:val="en-US"/>
        </w:rPr>
        <w:t xml:space="preserve">1. </w:t>
      </w:r>
      <w:r w:rsidR="00687D21" w:rsidRPr="00D6481C">
        <w:rPr>
          <w:rFonts w:ascii="Arial" w:hAnsi="Arial" w:cs="Arial"/>
          <w:noProof/>
          <w:lang w:val="en-US"/>
        </w:rPr>
        <w:tab/>
        <w:t>Devlin JW, Skrobik Y, Gélinas C, Needham DM, Slooter AJC, Pandharipande PP, et al. Clinical Practice Guidelines for the Prevention and Management of Pain, Agitation/Sedation, Delirium, Immobility, and Sleep Disruption in Adult Patients in the ICU. Crit Care Med. 2018. doi:10.1097/CCM.0000000000003299</w:t>
      </w:r>
    </w:p>
    <w:p w14:paraId="4C965A75"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 </w:t>
      </w:r>
      <w:r w:rsidRPr="00D6481C">
        <w:rPr>
          <w:rFonts w:ascii="Arial" w:hAnsi="Arial" w:cs="Arial"/>
          <w:noProof/>
          <w:lang w:val="en-US"/>
        </w:rPr>
        <w:tab/>
        <w:t>Fazzini B, Märkl T, Costas C, Blobner M, Schaller SJ, Prowle J, et al. The rate and assessment of muscle wasting during critical illness: a systematic review and meta-analysis. Crit Care. 2023;27: 1–26. doi:10.1186/s13054-022-04253-0</w:t>
      </w:r>
    </w:p>
    <w:p w14:paraId="3F1921D5"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 </w:t>
      </w:r>
      <w:r w:rsidRPr="00D6481C">
        <w:rPr>
          <w:rFonts w:ascii="Arial" w:hAnsi="Arial" w:cs="Arial"/>
          <w:noProof/>
          <w:lang w:val="en-US"/>
        </w:rPr>
        <w:tab/>
        <w:t>Parry SM, Puthucheary ZA. The impact of extended bed rest on the musculoskeletal system in the critical care environment. Extrem Physiol Med. 2015;4: 1–8. doi:10.1186/s13728-015-0036-7</w:t>
      </w:r>
    </w:p>
    <w:p w14:paraId="4233AE5D"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4. </w:t>
      </w:r>
      <w:r w:rsidRPr="00D6481C">
        <w:rPr>
          <w:rFonts w:ascii="Arial" w:hAnsi="Arial" w:cs="Arial"/>
          <w:noProof/>
          <w:lang w:val="en-US"/>
        </w:rPr>
        <w:tab/>
        <w:t>Vanhorebeek I, Latronico N, Van den Berghe G. ICU-acquired weakness. Intensive Care Medicine. 2020. doi:10.1007/s00134-020-05944-4</w:t>
      </w:r>
    </w:p>
    <w:p w14:paraId="53B4F249"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5. </w:t>
      </w:r>
      <w:r w:rsidRPr="00D6481C">
        <w:rPr>
          <w:rFonts w:ascii="Arial" w:hAnsi="Arial" w:cs="Arial"/>
          <w:noProof/>
          <w:lang w:val="en-US"/>
        </w:rPr>
        <w:tab/>
        <w:t>Yang T, Li Z, Jiang L, Wang Y, Xi X. Risk factors for intensive care unit-acquired weakness: A systematic review and meta-analysis. Acta Neurol Scand. 2018;138: 104–114. doi:10.1111/ane.12964</w:t>
      </w:r>
    </w:p>
    <w:p w14:paraId="5FBFC5D1" w14:textId="78F837E6" w:rsidR="00687D21"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6. </w:t>
      </w:r>
      <w:r w:rsidRPr="00D6481C">
        <w:rPr>
          <w:rFonts w:ascii="Arial" w:hAnsi="Arial" w:cs="Arial"/>
          <w:noProof/>
          <w:lang w:val="en-US"/>
        </w:rPr>
        <w:tab/>
        <w:t>Lee M, Kang J, Jeong YJ. Risk factors for post–intensive care syndrome: A systematic review and meta-analysis. Australian Critical Care. 2020. doi:10.1016/j.aucc.2019.10.004</w:t>
      </w:r>
    </w:p>
    <w:p w14:paraId="65857155" w14:textId="4AD90545"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sidRPr="00D6481C">
        <w:rPr>
          <w:rFonts w:ascii="Arial" w:hAnsi="Arial" w:cs="Arial"/>
          <w:noProof/>
          <w:color w:val="808080" w:themeColor="background1" w:themeShade="80"/>
          <w:lang w:val="en-US"/>
        </w:rPr>
        <w:t>21</w:t>
      </w:r>
    </w:p>
    <w:p w14:paraId="5B14C0F6"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7. </w:t>
      </w:r>
      <w:r w:rsidRPr="00D6481C">
        <w:rPr>
          <w:rFonts w:ascii="Arial" w:hAnsi="Arial" w:cs="Arial"/>
          <w:noProof/>
          <w:lang w:val="en-US"/>
        </w:rPr>
        <w:tab/>
        <w:t>Rawal G, Yadav S, Kumar R. Post-intensive care syndrome: An overview. J Transl Intern Med. 2017. doi:10.1515/jtim-2016-0016</w:t>
      </w:r>
    </w:p>
    <w:p w14:paraId="463B75A2"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8. </w:t>
      </w:r>
      <w:r w:rsidRPr="00D6481C">
        <w:rPr>
          <w:rFonts w:ascii="Arial" w:hAnsi="Arial" w:cs="Arial"/>
          <w:noProof/>
          <w:lang w:val="en-US"/>
        </w:rPr>
        <w:tab/>
        <w:t>Marra A, Ely EW, Pandharipande PP, Patel MB. The ABCDEF Bundle in Critical Care. Crit Care Clin. 2017;33: 225–243. doi:10.1016/j.ccc.2016.12.005</w:t>
      </w:r>
    </w:p>
    <w:p w14:paraId="721CA0A4"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s-ES_tradnl"/>
        </w:rPr>
      </w:pPr>
      <w:r w:rsidRPr="00D6481C">
        <w:rPr>
          <w:rFonts w:ascii="Arial" w:hAnsi="Arial" w:cs="Arial"/>
          <w:noProof/>
          <w:lang w:val="en-US"/>
        </w:rPr>
        <w:t xml:space="preserve">9. </w:t>
      </w:r>
      <w:r w:rsidRPr="00D6481C">
        <w:rPr>
          <w:rFonts w:ascii="Arial" w:hAnsi="Arial" w:cs="Arial"/>
          <w:noProof/>
          <w:lang w:val="en-US"/>
        </w:rPr>
        <w:tab/>
        <w:t xml:space="preserve">Hodgson CL, Stiller K, Needham DM, Tipping CJ, Harrold M, Baldwin CE, et al. Expert consensus and recommendations on safety criteria for active mobilization of mechanically ventilated critically ill adults. </w:t>
      </w:r>
      <w:r w:rsidRPr="00D6481C">
        <w:rPr>
          <w:rFonts w:ascii="Arial" w:hAnsi="Arial" w:cs="Arial"/>
          <w:noProof/>
          <w:lang w:val="es-ES_tradnl"/>
        </w:rPr>
        <w:t>Crit Care. 2014;18: 1–9. doi:10.1186/s13054-014-0658-y</w:t>
      </w:r>
    </w:p>
    <w:p w14:paraId="4F4B96C8"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s-ES_tradnl"/>
        </w:rPr>
        <w:t xml:space="preserve">10. </w:t>
      </w:r>
      <w:r w:rsidRPr="00D6481C">
        <w:rPr>
          <w:rFonts w:ascii="Arial" w:hAnsi="Arial" w:cs="Arial"/>
          <w:noProof/>
          <w:lang w:val="es-ES_tradnl"/>
        </w:rPr>
        <w:tab/>
        <w:t xml:space="preserve">Raurell-Torredà M, Regaira-Martínez E, Planas-Pascual B, Ferrer-Roca R, Martí JD, Blazquez-Martínez E, et al. </w:t>
      </w:r>
      <w:r w:rsidRPr="00D6481C">
        <w:rPr>
          <w:rFonts w:ascii="Arial" w:hAnsi="Arial" w:cs="Arial"/>
          <w:noProof/>
          <w:lang w:val="en-US"/>
        </w:rPr>
        <w:t>Early mobilisation algorithm for the critical patient. Expert recommendations. Enfermería Intensiva (English ed). 2021;32: 153–163. doi:10.1016/j.enfie.2020.11.001</w:t>
      </w:r>
    </w:p>
    <w:p w14:paraId="21E46361"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11. </w:t>
      </w:r>
      <w:r w:rsidRPr="00D6481C">
        <w:rPr>
          <w:rFonts w:ascii="Arial" w:hAnsi="Arial" w:cs="Arial"/>
          <w:noProof/>
          <w:lang w:val="en-US"/>
        </w:rPr>
        <w:tab/>
        <w:t xml:space="preserve">Nydhal P, Sricharoenchai T, Chandra S, Kund FS, Huang M, Fischill M, et al. Safety of Patient Mobilization and Rehabilitation in the ICU: Systematic Review with Meta- Analysis. Am J Respir Crit Care Med. 2017;195: 1189–1197. </w:t>
      </w:r>
    </w:p>
    <w:p w14:paraId="51C54938" w14:textId="02AC158A" w:rsidR="00687D21"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12. </w:t>
      </w:r>
      <w:r w:rsidRPr="00D6481C">
        <w:rPr>
          <w:rFonts w:ascii="Arial" w:hAnsi="Arial" w:cs="Arial"/>
          <w:noProof/>
          <w:lang w:val="en-US"/>
        </w:rPr>
        <w:tab/>
        <w:t>Clarissa C, Salisbury L, Rodgers S, Kean S. Early mobilisation in mechanically ventilated patients: A systematic integrative review of definitions and activities. J Intensive Care. 2019;7: 1–19. doi:10.1186/s40560-018-0355-z</w:t>
      </w:r>
    </w:p>
    <w:p w14:paraId="1EC31112" w14:textId="1758B143"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sidRPr="00D6481C">
        <w:rPr>
          <w:rFonts w:ascii="Arial" w:hAnsi="Arial" w:cs="Arial"/>
          <w:noProof/>
          <w:color w:val="808080" w:themeColor="background1" w:themeShade="80"/>
          <w:lang w:val="en-US"/>
        </w:rPr>
        <w:t>22</w:t>
      </w:r>
    </w:p>
    <w:p w14:paraId="1896C00A"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13. </w:t>
      </w:r>
      <w:r w:rsidRPr="00D6481C">
        <w:rPr>
          <w:rFonts w:ascii="Arial" w:hAnsi="Arial" w:cs="Arial"/>
          <w:noProof/>
          <w:lang w:val="en-US"/>
        </w:rPr>
        <w:tab/>
        <w:t>Ding N, Zhang Z, Zhang C, Yao L, Yang L, Jiang B, et al. What is the optimum time for initiation of early mobilization in mechanically ventilated patients? A network meta-analysis. PLoS One. 2019;14: 1–12. doi:10.1371/journal.pone.0223151</w:t>
      </w:r>
    </w:p>
    <w:p w14:paraId="6A51F92D"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14. </w:t>
      </w:r>
      <w:r w:rsidRPr="00D6481C">
        <w:rPr>
          <w:rFonts w:ascii="Arial" w:hAnsi="Arial" w:cs="Arial"/>
          <w:noProof/>
          <w:lang w:val="en-US"/>
        </w:rPr>
        <w:tab/>
        <w:t>Hickmann CE, Castanares-Zapatero D, Bialais E, Dugernier J, Tordeur A, Colmant L, et al. Teamwork enables high level of early mobilization in critically ill patients. Ann Intensive Care. 2016;6. doi:10.1186/s13613-016-0184-y</w:t>
      </w:r>
    </w:p>
    <w:p w14:paraId="65D1205E"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15. </w:t>
      </w:r>
      <w:r w:rsidRPr="00D6481C">
        <w:rPr>
          <w:rFonts w:ascii="Arial" w:hAnsi="Arial" w:cs="Arial"/>
          <w:noProof/>
          <w:lang w:val="en-US"/>
        </w:rPr>
        <w:tab/>
        <w:t>Sibilla A, Nydahl P, Greco N, Mungo G, Ott N, Unger I, et al. Mobilization of Mechanically Ventilated Patients in Switzerland. J Intensive Care Med. 2020;35: 55–62. doi:10.1177/0885066617728486</w:t>
      </w:r>
    </w:p>
    <w:p w14:paraId="22D39B01"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16. </w:t>
      </w:r>
      <w:r w:rsidRPr="00D6481C">
        <w:rPr>
          <w:rFonts w:ascii="Arial" w:hAnsi="Arial" w:cs="Arial"/>
          <w:noProof/>
          <w:lang w:val="en-US"/>
        </w:rPr>
        <w:tab/>
        <w:t>Nydahl P, Ruhl AP, Bartoszek G, Dubb R, Filipovic S, Flohr HJ, et al. Early mobilization of mechanically ventilated patients: A 1-day point-prevalence study in Germany. Crit Care Med. 2014;42: 1178–1186. doi:10.1097/CCM.0000000000000149</w:t>
      </w:r>
    </w:p>
    <w:p w14:paraId="2AEE3B93"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17. </w:t>
      </w:r>
      <w:r w:rsidRPr="00D6481C">
        <w:rPr>
          <w:rFonts w:ascii="Arial" w:hAnsi="Arial" w:cs="Arial"/>
          <w:noProof/>
          <w:lang w:val="en-US"/>
        </w:rPr>
        <w:tab/>
        <w:t xml:space="preserve">Berney SC, Harrold M, Webb SA, Seppelt I, Patman S, Thomas PJ, et al. Intensive care unit mobility practices in Australia and New Zealand: a point prevalence study. Crit Care Resusc. 2013;15: 260–5. </w:t>
      </w:r>
    </w:p>
    <w:p w14:paraId="32C98EB5" w14:textId="77777777" w:rsid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18. </w:t>
      </w:r>
      <w:r w:rsidRPr="00D6481C">
        <w:rPr>
          <w:rFonts w:ascii="Arial" w:hAnsi="Arial" w:cs="Arial"/>
          <w:noProof/>
          <w:lang w:val="en-US"/>
        </w:rPr>
        <w:tab/>
        <w:t xml:space="preserve">Jolley SE, Moss M, Needham DM, Caldwell E, Morris PE, Miller RR, et al. Point Prevalence Study of Mobilization Practices for Acute Respiratory </w:t>
      </w:r>
    </w:p>
    <w:p w14:paraId="07902D93" w14:textId="77777777" w:rsidR="00D6481C" w:rsidRDefault="00D6481C" w:rsidP="00D6481C">
      <w:pPr>
        <w:widowControl w:val="0"/>
        <w:autoSpaceDE w:val="0"/>
        <w:autoSpaceDN w:val="0"/>
        <w:adjustRightInd w:val="0"/>
        <w:spacing w:line="480" w:lineRule="auto"/>
        <w:ind w:left="640" w:hanging="640"/>
        <w:rPr>
          <w:rFonts w:ascii="Arial" w:hAnsi="Arial" w:cs="Arial"/>
          <w:noProof/>
          <w:lang w:val="en-US"/>
        </w:rPr>
      </w:pPr>
    </w:p>
    <w:p w14:paraId="150D96CE" w14:textId="45B37AD8"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sidRPr="00D6481C">
        <w:rPr>
          <w:rFonts w:ascii="Arial" w:hAnsi="Arial" w:cs="Arial"/>
          <w:noProof/>
          <w:color w:val="808080" w:themeColor="background1" w:themeShade="80"/>
          <w:lang w:val="en-US"/>
        </w:rPr>
        <w:t>2</w:t>
      </w:r>
      <w:r>
        <w:rPr>
          <w:rFonts w:ascii="Arial" w:hAnsi="Arial" w:cs="Arial"/>
          <w:noProof/>
          <w:color w:val="808080" w:themeColor="background1" w:themeShade="80"/>
          <w:lang w:val="en-US"/>
        </w:rPr>
        <w:t>3</w:t>
      </w:r>
    </w:p>
    <w:p w14:paraId="10703173" w14:textId="413122B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Failure Patients in the United States. Crit Care Med. 2017;45: 205–215. doi:10.1097/CCM.0000000000002058</w:t>
      </w:r>
    </w:p>
    <w:p w14:paraId="3B25C159"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19. </w:t>
      </w:r>
      <w:r w:rsidRPr="00D6481C">
        <w:rPr>
          <w:rFonts w:ascii="Arial" w:hAnsi="Arial" w:cs="Arial"/>
          <w:noProof/>
          <w:lang w:val="en-US"/>
        </w:rPr>
        <w:tab/>
        <w:t>Timenetsky KT, Neto AS, Assunção MSC, Taniguchi L, Eid RAC, Corrêa TD. Mobilization practices in the ICU: A nationwide 1-day point- prevalence study in Brazil. Crivellari M, editor. PLoS One. 2020;15: e0230971. doi:10.1371/journal.pone.0230971</w:t>
      </w:r>
    </w:p>
    <w:p w14:paraId="3277527E"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20. </w:t>
      </w:r>
      <w:r w:rsidRPr="00D6481C">
        <w:rPr>
          <w:rFonts w:ascii="Arial" w:hAnsi="Arial" w:cs="Arial"/>
          <w:noProof/>
          <w:lang w:val="en-US"/>
        </w:rPr>
        <w:tab/>
        <w:t>Berney SC, Rose JW, Bernhardt J, Denehy L. Prospective observation of physical activity in critically ill patients who were intubated for more than 48 hours. J Crit Care. 2015;30: 658–663. doi:10.1016/j.jcrc.2015.03.006</w:t>
      </w:r>
    </w:p>
    <w:p w14:paraId="26A4797A"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21. </w:t>
      </w:r>
      <w:r w:rsidRPr="00D6481C">
        <w:rPr>
          <w:rFonts w:ascii="Arial" w:hAnsi="Arial" w:cs="Arial"/>
          <w:noProof/>
          <w:lang w:val="en-US"/>
        </w:rPr>
        <w:tab/>
        <w:t>Gupta P, Martin JL, Needham DM, Vangala S, Colantuoni E, Kamdar BB. Use of actigraphy to characterize inactivity and activity in patients in a medical ICU. Hear Lung. 2020;49: 398–406. doi:10.1016/j.hrtlng.2020.02.002</w:t>
      </w:r>
    </w:p>
    <w:p w14:paraId="0ED4FEA9"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22. </w:t>
      </w:r>
      <w:r w:rsidRPr="00D6481C">
        <w:rPr>
          <w:rFonts w:ascii="Arial" w:hAnsi="Arial" w:cs="Arial"/>
          <w:noProof/>
          <w:lang w:val="en-US"/>
        </w:rPr>
        <w:tab/>
        <w:t>González-seguel F, Camus-molina A, Leiva-corvalán M, Mayer KP, Leppe J. Uninterrupted Actigraphy Recording to Feasibility Prospective Observational Study. J Acute Care Phys Ther. 2022;00: 1–8. doi:10.1097/JAT.0000000000000193</w:t>
      </w:r>
    </w:p>
    <w:p w14:paraId="71E9C955" w14:textId="77777777" w:rsid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23. </w:t>
      </w:r>
      <w:r w:rsidRPr="00D6481C">
        <w:rPr>
          <w:rFonts w:ascii="Arial" w:hAnsi="Arial" w:cs="Arial"/>
          <w:noProof/>
          <w:lang w:val="en-US"/>
        </w:rPr>
        <w:tab/>
        <w:t>Geneva: World Health Organization. WHO Guidelines on Physical Activity and Sedentary Behaviour. World Health Organization. 2020. Available: https://apps.who.int/iris/bitstream/handle/10665/325147/WHO-NMH-PND-</w:t>
      </w:r>
    </w:p>
    <w:p w14:paraId="472928D7" w14:textId="7E6F2F55"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Pr>
          <w:rFonts w:ascii="Arial" w:hAnsi="Arial" w:cs="Arial"/>
          <w:noProof/>
          <w:color w:val="808080" w:themeColor="background1" w:themeShade="80"/>
          <w:lang w:val="en-US"/>
        </w:rPr>
        <w:t>24</w:t>
      </w:r>
    </w:p>
    <w:p w14:paraId="45648549" w14:textId="77777777" w:rsidR="00D6481C" w:rsidRDefault="00D6481C" w:rsidP="00D6481C">
      <w:pPr>
        <w:widowControl w:val="0"/>
        <w:autoSpaceDE w:val="0"/>
        <w:autoSpaceDN w:val="0"/>
        <w:adjustRightInd w:val="0"/>
        <w:spacing w:line="480" w:lineRule="auto"/>
        <w:ind w:left="640" w:hanging="640"/>
        <w:rPr>
          <w:rFonts w:ascii="Arial" w:hAnsi="Arial" w:cs="Arial"/>
          <w:noProof/>
          <w:lang w:val="en-US"/>
        </w:rPr>
      </w:pPr>
    </w:p>
    <w:p w14:paraId="1C3A5BDC" w14:textId="11109D05"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2019.4-eng.pdf?sequence=1&amp;isAllowed=y%0Ahttp://www.who.int/iris/handle/10665/311664%0Ahttps://apps.who.int/iris/handle/10665/325147</w:t>
      </w:r>
    </w:p>
    <w:p w14:paraId="05E2BED2"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24. </w:t>
      </w:r>
      <w:r w:rsidRPr="00D6481C">
        <w:rPr>
          <w:rFonts w:ascii="Arial" w:hAnsi="Arial" w:cs="Arial"/>
          <w:noProof/>
          <w:lang w:val="en-US"/>
        </w:rPr>
        <w:tab/>
        <w:t>Camus-Molina A, González-Seguel F, Castro-Ávila AC, Leppe J. Construct Validity of the Chilean-Spanish Version of the Functional Status Score for the Intensive Care Unit: A Prospective Observational Study Using Actigraphy in Mechanically Ventilated Patients. Arch Phys Med Rehabil. 2020. doi:10.1016/j.apmr.2020.04.019</w:t>
      </w:r>
    </w:p>
    <w:p w14:paraId="66BF4518"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25. </w:t>
      </w:r>
      <w:r w:rsidRPr="00D6481C">
        <w:rPr>
          <w:rFonts w:ascii="Arial" w:hAnsi="Arial" w:cs="Arial"/>
          <w:noProof/>
          <w:lang w:val="en-US"/>
        </w:rPr>
        <w:tab/>
        <w:t>De Jonghe B, Sharshar T, Lefaucheur J-P, Authier F-J, Durand-Zaleski I, Boussarsar M, et al. Paresis acquired in the intensive care unit: a prospective multicenter study. JAMA. 2002;288: 2859–67. doi:12472328</w:t>
      </w:r>
    </w:p>
    <w:p w14:paraId="52CA9C82"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26. </w:t>
      </w:r>
      <w:r w:rsidRPr="00D6481C">
        <w:rPr>
          <w:rFonts w:ascii="Arial" w:hAnsi="Arial" w:cs="Arial"/>
          <w:noProof/>
          <w:lang w:val="en-US"/>
        </w:rPr>
        <w:tab/>
        <w:t>Parry SM, Huang M, Needham DM. Evaluating physical functioning in critical care: Considerations for clinical practice and research. Critical Care. 2017. doi:10.1186/s13054-017-1827-6</w:t>
      </w:r>
    </w:p>
    <w:p w14:paraId="41E30B8E"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27. </w:t>
      </w:r>
      <w:r w:rsidRPr="00D6481C">
        <w:rPr>
          <w:rFonts w:ascii="Arial" w:hAnsi="Arial" w:cs="Arial"/>
          <w:noProof/>
          <w:lang w:val="en-US"/>
        </w:rPr>
        <w:tab/>
        <w:t>Vanpee G, Hermans G, Segers J, Gosselink R. Assessment of limb muscle strength in critically ill Patients: A systematic Review. Crit Care Med. 2014;42: 701–711. doi:10.1097/CCM.0000000000000030</w:t>
      </w:r>
    </w:p>
    <w:p w14:paraId="3E3F28BE"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28. </w:t>
      </w:r>
      <w:r w:rsidRPr="00D6481C">
        <w:rPr>
          <w:rFonts w:ascii="Arial" w:hAnsi="Arial" w:cs="Arial"/>
          <w:noProof/>
          <w:lang w:val="en-US"/>
        </w:rPr>
        <w:tab/>
        <w:t>Freedson PS, Melanson E, Sirard J. Calibration of the Computer Science and Applications, Inc. accelerometer. Med Sci Sports Exerc. 1998. doi:10.1097/00005768-199805000-00021</w:t>
      </w:r>
    </w:p>
    <w:p w14:paraId="3070F312" w14:textId="77777777" w:rsid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29. </w:t>
      </w:r>
      <w:r w:rsidRPr="00D6481C">
        <w:rPr>
          <w:rFonts w:ascii="Arial" w:hAnsi="Arial" w:cs="Arial"/>
          <w:noProof/>
          <w:lang w:val="en-US"/>
        </w:rPr>
        <w:tab/>
        <w:t xml:space="preserve">Saunders TJ, Tremblay MS, Mathieu MÈ, Henderson M, O’Loughlin J, </w:t>
      </w:r>
    </w:p>
    <w:p w14:paraId="7643318E" w14:textId="12061BE9"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sidRPr="00D6481C">
        <w:rPr>
          <w:rFonts w:ascii="Arial" w:hAnsi="Arial" w:cs="Arial"/>
          <w:noProof/>
          <w:color w:val="808080" w:themeColor="background1" w:themeShade="80"/>
          <w:lang w:val="en-US"/>
        </w:rPr>
        <w:t>25</w:t>
      </w:r>
    </w:p>
    <w:p w14:paraId="180AD8EB" w14:textId="7829CA4F"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Tremblay A, et al. Associations of sedentary behavior, sedentary bouts and breaks in sedentary time with cardiometabolic risk in children with a family history of obesity. PLoS One. 2013;8. doi:10.1371/journal.pone.0079143</w:t>
      </w:r>
    </w:p>
    <w:p w14:paraId="73306551"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30. </w:t>
      </w:r>
      <w:r w:rsidRPr="00D6481C">
        <w:rPr>
          <w:rFonts w:ascii="Arial" w:hAnsi="Arial" w:cs="Arial"/>
          <w:noProof/>
          <w:lang w:val="en-US"/>
        </w:rPr>
        <w:tab/>
        <w:t>Anderson JL, Yoward LS, Green AJ. A study investigating the validity of an accelerometer in quantification of step count in adult hospital inpatients recovering from critical illness. Clin Rehabil. 2019; 026921551982989. doi:10.1177/0269215519829893</w:t>
      </w:r>
    </w:p>
    <w:p w14:paraId="22ABCC3D"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31. </w:t>
      </w:r>
      <w:r w:rsidRPr="00D6481C">
        <w:rPr>
          <w:rFonts w:ascii="Arial" w:hAnsi="Arial" w:cs="Arial"/>
          <w:noProof/>
          <w:lang w:val="en-US"/>
        </w:rPr>
        <w:tab/>
        <w:t>Boerema ST, van Velsen L, Vollenbroek MMR, Hermens HJ. Pattern measures of sedentary behaviour in adults: A literature review. Digit Heal. 2020;6: 1–13. doi:10.1177/2055207620905418</w:t>
      </w:r>
    </w:p>
    <w:p w14:paraId="33C704B8"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32. </w:t>
      </w:r>
      <w:r w:rsidRPr="00D6481C">
        <w:rPr>
          <w:rFonts w:ascii="Arial" w:hAnsi="Arial" w:cs="Arial"/>
          <w:noProof/>
          <w:lang w:val="en-US"/>
        </w:rPr>
        <w:tab/>
        <w:t>Verswijveren SJJM, Lamb KE, Bell LA, Timperio A, Salmon J, Ridgers ND. Associations between activity patterns and cardio-metabolic risk factors in children and adolescents: A systematic review. PLoS One. 2018;13: 1–20. doi:10.1371/journal.pone.0201947</w:t>
      </w:r>
    </w:p>
    <w:p w14:paraId="750CE866"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33. </w:t>
      </w:r>
      <w:r w:rsidRPr="00D6481C">
        <w:rPr>
          <w:rFonts w:ascii="Arial" w:hAnsi="Arial" w:cs="Arial"/>
          <w:noProof/>
          <w:lang w:val="en-US"/>
        </w:rPr>
        <w:tab/>
        <w:t>Czenczek-Lewandowska E, Leszczak J, Weres A, Baran J, Wyszyńska J, Grzegorczyk J, et al. Sedentary behaviors in children and adolescents with type 1 diabetes, depending on the insulin therapy used. Med (United States). 2019;98. doi:10.1097/MD.0000000000015625</w:t>
      </w:r>
    </w:p>
    <w:p w14:paraId="0B3C7DEE" w14:textId="0F696601" w:rsidR="00687D21"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34. </w:t>
      </w:r>
      <w:r w:rsidRPr="00D6481C">
        <w:rPr>
          <w:rFonts w:ascii="Arial" w:hAnsi="Arial" w:cs="Arial"/>
          <w:noProof/>
          <w:lang w:val="en-US"/>
        </w:rPr>
        <w:tab/>
        <w:t>Lai TF, Liao Y, Lin CY, Hsueh MC, Koohsari MJ, Shibata A, et al. Diurnal pattern of breaks in sedentary time and the physical function of older adults. Arch Public Heal. 2023;81: 1–9. doi:10.1186/s13690-023-01050-1</w:t>
      </w:r>
    </w:p>
    <w:p w14:paraId="597AFC38" w14:textId="2BB7D1F2" w:rsidR="00D6481C" w:rsidRPr="00D6481C" w:rsidRDefault="00D6481C" w:rsidP="00D6481C">
      <w:pPr>
        <w:widowControl w:val="0"/>
        <w:autoSpaceDE w:val="0"/>
        <w:autoSpaceDN w:val="0"/>
        <w:adjustRightInd w:val="0"/>
        <w:spacing w:line="480" w:lineRule="auto"/>
        <w:ind w:left="640" w:hanging="640"/>
        <w:jc w:val="center"/>
        <w:rPr>
          <w:rFonts w:ascii="Arial" w:hAnsi="Arial" w:cs="Arial"/>
          <w:noProof/>
          <w:color w:val="808080" w:themeColor="background1" w:themeShade="80"/>
          <w:lang w:val="en-US"/>
        </w:rPr>
      </w:pPr>
      <w:r>
        <w:rPr>
          <w:rFonts w:ascii="Arial" w:hAnsi="Arial" w:cs="Arial"/>
          <w:noProof/>
          <w:color w:val="808080" w:themeColor="background1" w:themeShade="80"/>
          <w:lang w:val="en-US"/>
        </w:rPr>
        <w:t>26</w:t>
      </w:r>
    </w:p>
    <w:p w14:paraId="2AB7C417"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35. </w:t>
      </w:r>
      <w:r w:rsidRPr="00D6481C">
        <w:rPr>
          <w:rFonts w:ascii="Arial" w:hAnsi="Arial" w:cs="Arial"/>
          <w:noProof/>
          <w:lang w:val="en-US"/>
        </w:rPr>
        <w:tab/>
        <w:t>Connolly BA, Mortimore JL, Douiri A, Rose JW, Hart N, Berney SC. Low Levels of Physical Activity During Critical Illness and Weaning: The Evidence–Reality Gap. J Intensive Care Med. 2019;34: 818–827. doi:10.1177/0885066617716377</w:t>
      </w:r>
    </w:p>
    <w:p w14:paraId="66EA7BC6"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36. </w:t>
      </w:r>
      <w:r w:rsidRPr="00D6481C">
        <w:rPr>
          <w:rFonts w:ascii="Arial" w:hAnsi="Arial" w:cs="Arial"/>
          <w:noProof/>
          <w:lang w:val="en-US"/>
        </w:rPr>
        <w:tab/>
        <w:t>Verceles AC, Hager ER. Use of accelerometry to monitor physical activity in critically ill subjects: A systematic review. Respiratory Care. 2015. doi:10.4187/respcare.03677</w:t>
      </w:r>
    </w:p>
    <w:p w14:paraId="4C9B3777"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lang w:val="en-US"/>
        </w:rPr>
      </w:pPr>
      <w:r w:rsidRPr="00D6481C">
        <w:rPr>
          <w:rFonts w:ascii="Arial" w:hAnsi="Arial" w:cs="Arial"/>
          <w:noProof/>
          <w:lang w:val="en-US"/>
        </w:rPr>
        <w:t xml:space="preserve">37. </w:t>
      </w:r>
      <w:r w:rsidRPr="00D6481C">
        <w:rPr>
          <w:rFonts w:ascii="Arial" w:hAnsi="Arial" w:cs="Arial"/>
          <w:noProof/>
          <w:lang w:val="en-US"/>
        </w:rPr>
        <w:tab/>
        <w:t>Schwab KE, To AQ, Chang J, Ronish B, Needham DM, Martin JL, et al. Actigraphy to Measure Physical Activity in the Intensive Care Unit: A Systematic Review. J Intensive Care Med. 2020. doi:10.1177/0885066619863654</w:t>
      </w:r>
    </w:p>
    <w:p w14:paraId="79ABB694" w14:textId="77777777" w:rsidR="00687D21" w:rsidRPr="00D6481C" w:rsidRDefault="00687D21" w:rsidP="00D6481C">
      <w:pPr>
        <w:widowControl w:val="0"/>
        <w:autoSpaceDE w:val="0"/>
        <w:autoSpaceDN w:val="0"/>
        <w:adjustRightInd w:val="0"/>
        <w:spacing w:line="480" w:lineRule="auto"/>
        <w:ind w:left="640" w:hanging="640"/>
        <w:rPr>
          <w:rFonts w:ascii="Arial" w:hAnsi="Arial" w:cs="Arial"/>
          <w:noProof/>
        </w:rPr>
      </w:pPr>
      <w:r w:rsidRPr="00D6481C">
        <w:rPr>
          <w:rFonts w:ascii="Arial" w:hAnsi="Arial" w:cs="Arial"/>
          <w:noProof/>
          <w:lang w:val="en-US"/>
        </w:rPr>
        <w:t xml:space="preserve">38. </w:t>
      </w:r>
      <w:r w:rsidRPr="00D6481C">
        <w:rPr>
          <w:rFonts w:ascii="Arial" w:hAnsi="Arial" w:cs="Arial"/>
          <w:noProof/>
          <w:lang w:val="en-US"/>
        </w:rPr>
        <w:tab/>
        <w:t xml:space="preserve">Dubb R, Nydahl P, Hermes C, Schwabbauer N, Toonstra A, Parker AM, et al. Barriers and Strategies for Early Mobilization of Patients in Intensive Care Units. </w:t>
      </w:r>
      <w:r w:rsidRPr="00D6481C">
        <w:rPr>
          <w:rFonts w:ascii="Arial" w:hAnsi="Arial" w:cs="Arial"/>
          <w:noProof/>
          <w:lang w:val="es-ES_tradnl"/>
        </w:rPr>
        <w:t>Ann Am Thorac Soc. 2016;13: AnnalsATS.201509--586FR. doi:10.1513/AnnalsATS.201509-586FR</w:t>
      </w:r>
    </w:p>
    <w:p w14:paraId="2BB110F1" w14:textId="64A0DD69" w:rsidR="00F875CE" w:rsidRPr="008C3F19" w:rsidRDefault="00F875CE" w:rsidP="00D6481C">
      <w:pPr>
        <w:widowControl w:val="0"/>
        <w:autoSpaceDE w:val="0"/>
        <w:autoSpaceDN w:val="0"/>
        <w:adjustRightInd w:val="0"/>
        <w:spacing w:line="480" w:lineRule="auto"/>
        <w:ind w:left="640" w:hanging="640"/>
        <w:rPr>
          <w:rFonts w:ascii="Times New Roman" w:hAnsi="Times New Roman" w:cs="Times New Roman"/>
          <w:b/>
          <w:lang w:val="en-US"/>
        </w:rPr>
      </w:pPr>
      <w:r w:rsidRPr="00D6481C">
        <w:rPr>
          <w:rFonts w:ascii="Arial" w:hAnsi="Arial" w:cs="Arial"/>
          <w:b/>
        </w:rPr>
        <w:fldChar w:fldCharType="end"/>
      </w:r>
    </w:p>
    <w:p w14:paraId="374E30D2" w14:textId="45FDF1F4" w:rsidR="005D2C26" w:rsidRDefault="005D2C26" w:rsidP="00DE06DE">
      <w:pPr>
        <w:widowControl w:val="0"/>
        <w:autoSpaceDE w:val="0"/>
        <w:autoSpaceDN w:val="0"/>
        <w:adjustRightInd w:val="0"/>
        <w:spacing w:line="360" w:lineRule="auto"/>
        <w:ind w:left="640" w:hanging="640"/>
        <w:rPr>
          <w:rFonts w:ascii="Times New Roman" w:hAnsi="Times New Roman" w:cs="Times New Roman"/>
          <w:lang w:val="en-US"/>
        </w:rPr>
      </w:pPr>
    </w:p>
    <w:p w14:paraId="3A37EA98" w14:textId="0E2F919A"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51F18641" w14:textId="39B84621"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6D6723A5" w14:textId="28CF71F8"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395408D7" w14:textId="67E40076"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30F29F56" w14:textId="66D7725E"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724B6EF7" w14:textId="52ECEC5F" w:rsidR="00D6481C" w:rsidRDefault="00D6481C" w:rsidP="00DE06DE">
      <w:pPr>
        <w:widowControl w:val="0"/>
        <w:autoSpaceDE w:val="0"/>
        <w:autoSpaceDN w:val="0"/>
        <w:adjustRightInd w:val="0"/>
        <w:spacing w:line="360" w:lineRule="auto"/>
        <w:ind w:left="640" w:hanging="640"/>
        <w:rPr>
          <w:rFonts w:ascii="Times New Roman" w:hAnsi="Times New Roman" w:cs="Times New Roman"/>
          <w:lang w:val="en-US"/>
        </w:rPr>
      </w:pPr>
    </w:p>
    <w:p w14:paraId="6634CF0D" w14:textId="16B13BF1" w:rsidR="00D6481C" w:rsidRPr="00D6481C" w:rsidRDefault="00D6481C" w:rsidP="00D6481C">
      <w:pPr>
        <w:widowControl w:val="0"/>
        <w:autoSpaceDE w:val="0"/>
        <w:autoSpaceDN w:val="0"/>
        <w:adjustRightInd w:val="0"/>
        <w:spacing w:line="360" w:lineRule="auto"/>
        <w:ind w:left="640" w:hanging="640"/>
        <w:jc w:val="center"/>
        <w:rPr>
          <w:rFonts w:ascii="Arial" w:hAnsi="Arial" w:cs="Arial"/>
          <w:color w:val="808080" w:themeColor="background1" w:themeShade="80"/>
          <w:lang w:val="en-US"/>
        </w:rPr>
      </w:pPr>
      <w:r w:rsidRPr="00D6481C">
        <w:rPr>
          <w:rFonts w:ascii="Arial" w:hAnsi="Arial" w:cs="Arial"/>
          <w:color w:val="808080" w:themeColor="background1" w:themeShade="80"/>
          <w:lang w:val="en-US"/>
        </w:rPr>
        <w:t>27</w:t>
      </w:r>
    </w:p>
    <w:sectPr w:rsidR="00D6481C" w:rsidRPr="00D6481C" w:rsidSect="00792096">
      <w:footerReference w:type="even" r:id="rId16"/>
      <w:footerReference w:type="default" r:id="rId17"/>
      <w:footerReference w:type="first" r:id="rId18"/>
      <w:pgSz w:w="12240" w:h="15840"/>
      <w:pgMar w:top="2268" w:right="1418" w:bottom="1418" w:left="2268" w:header="709" w:footer="709" w:gutter="0"/>
      <w:pgNumType w:fmt="lowerRoman"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7E211" w14:textId="77777777" w:rsidR="00A21E5D" w:rsidRDefault="00A21E5D" w:rsidP="00A45C5A">
      <w:r>
        <w:separator/>
      </w:r>
    </w:p>
  </w:endnote>
  <w:endnote w:type="continuationSeparator" w:id="0">
    <w:p w14:paraId="62CB3F5C" w14:textId="77777777" w:rsidR="00A21E5D" w:rsidRDefault="00A21E5D" w:rsidP="00A45C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rPr>
      <w:id w:val="-1653130055"/>
      <w:docPartObj>
        <w:docPartGallery w:val="Page Numbers (Bottom of Page)"/>
        <w:docPartUnique/>
      </w:docPartObj>
    </w:sdtPr>
    <w:sdtContent>
      <w:p w14:paraId="4B02A92A" w14:textId="3B0876A2" w:rsidR="0017526F" w:rsidRDefault="0017526F" w:rsidP="002157CC">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1F47A3F" w14:textId="77777777" w:rsidR="0017526F" w:rsidRDefault="0017526F">
    <w:pPr>
      <w:pStyle w:val="Piedepgina"/>
      <w:ind w:right="360"/>
      <w:pPrChange w:id="0" w:author="Macarena Leiva" w:date="2023-07-24T14:32:00Z">
        <w:pPr>
          <w:pStyle w:val="Piedepgina"/>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0B9A4" w14:textId="1E145BE5" w:rsidR="002157CC" w:rsidRDefault="002157CC" w:rsidP="005F29BB">
    <w:pPr>
      <w:pStyle w:val="Piedepgina"/>
      <w:framePr w:wrap="none" w:vAnchor="text" w:hAnchor="margin" w:xAlign="right" w:y="1"/>
      <w:rPr>
        <w:rStyle w:val="Nmerodepgina"/>
      </w:rPr>
    </w:pPr>
  </w:p>
  <w:p w14:paraId="5AE852F4" w14:textId="259E4011" w:rsidR="0017526F" w:rsidRPr="00792096" w:rsidRDefault="0017526F" w:rsidP="00792096">
    <w:pPr>
      <w:pStyle w:val="Piedepgina"/>
      <w:ind w:right="360"/>
      <w:jc w:val="center"/>
      <w:rPr>
        <w:lang w:val="es-E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merodepgina"/>
        <w:color w:val="FFFFFF" w:themeColor="background1"/>
      </w:rPr>
      <w:id w:val="77721561"/>
      <w:docPartObj>
        <w:docPartGallery w:val="Page Numbers (Bottom of Page)"/>
        <w:docPartUnique/>
      </w:docPartObj>
    </w:sdtPr>
    <w:sdtContent>
      <w:p w14:paraId="3BA35381" w14:textId="2A821EED" w:rsidR="0017526F" w:rsidRPr="00792096" w:rsidRDefault="0017526F" w:rsidP="0017526F">
        <w:pPr>
          <w:pStyle w:val="Piedepgina"/>
          <w:framePr w:wrap="none" w:vAnchor="text" w:hAnchor="margin" w:xAlign="right" w:y="1"/>
          <w:rPr>
            <w:rStyle w:val="Nmerodepgina"/>
            <w:color w:val="FFFFFF" w:themeColor="background1"/>
          </w:rPr>
        </w:pPr>
        <w:r w:rsidRPr="00792096">
          <w:rPr>
            <w:rStyle w:val="Nmerodepgina"/>
            <w:color w:val="FFFFFF" w:themeColor="background1"/>
          </w:rPr>
          <w:fldChar w:fldCharType="begin"/>
        </w:r>
        <w:r w:rsidRPr="00792096">
          <w:rPr>
            <w:rStyle w:val="Nmerodepgina"/>
            <w:color w:val="FFFFFF" w:themeColor="background1"/>
          </w:rPr>
          <w:instrText xml:space="preserve"> PAGE </w:instrText>
        </w:r>
        <w:r w:rsidRPr="00792096">
          <w:rPr>
            <w:rStyle w:val="Nmerodepgina"/>
            <w:color w:val="FFFFFF" w:themeColor="background1"/>
          </w:rPr>
          <w:fldChar w:fldCharType="separate"/>
        </w:r>
        <w:r w:rsidRPr="00792096">
          <w:rPr>
            <w:rStyle w:val="Nmerodepgina"/>
            <w:noProof/>
            <w:color w:val="FFFFFF" w:themeColor="background1"/>
          </w:rPr>
          <w:t>1</w:t>
        </w:r>
        <w:r w:rsidRPr="00792096">
          <w:rPr>
            <w:rStyle w:val="Nmerodepgina"/>
            <w:color w:val="FFFFFF" w:themeColor="background1"/>
          </w:rPr>
          <w:fldChar w:fldCharType="end"/>
        </w:r>
      </w:p>
    </w:sdtContent>
  </w:sdt>
  <w:p w14:paraId="75465406" w14:textId="77777777" w:rsidR="0017526F" w:rsidRDefault="0017526F" w:rsidP="00792096">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E5763C" w14:textId="77777777" w:rsidR="00A21E5D" w:rsidRDefault="00A21E5D" w:rsidP="00A45C5A">
      <w:r>
        <w:separator/>
      </w:r>
    </w:p>
  </w:footnote>
  <w:footnote w:type="continuationSeparator" w:id="0">
    <w:p w14:paraId="034FD013" w14:textId="77777777" w:rsidR="00A21E5D" w:rsidRDefault="00A21E5D" w:rsidP="00A45C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626C7"/>
    <w:multiLevelType w:val="multilevel"/>
    <w:tmpl w:val="94260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1D322B"/>
    <w:multiLevelType w:val="multilevel"/>
    <w:tmpl w:val="9340A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ECB5035"/>
    <w:multiLevelType w:val="hybridMultilevel"/>
    <w:tmpl w:val="EFAA09BC"/>
    <w:lvl w:ilvl="0" w:tplc="0E38C4EA">
      <w:start w:val="45"/>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531D54D6"/>
    <w:multiLevelType w:val="multilevel"/>
    <w:tmpl w:val="D82EE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FF84AF9"/>
    <w:multiLevelType w:val="multilevel"/>
    <w:tmpl w:val="FAB6E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0544320">
    <w:abstractNumId w:val="0"/>
  </w:num>
  <w:num w:numId="2" w16cid:durableId="1553542867">
    <w:abstractNumId w:val="1"/>
  </w:num>
  <w:num w:numId="3" w16cid:durableId="830608132">
    <w:abstractNumId w:val="3"/>
  </w:num>
  <w:num w:numId="4" w16cid:durableId="695229953">
    <w:abstractNumId w:val="4"/>
  </w:num>
  <w:num w:numId="5" w16cid:durableId="84293713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carena Leiva">
    <w15:presenceInfo w15:providerId="AD" w15:userId="S::macleivac@udd.cl::ce782055-9e1d-4ee4-86e6-e8fb2141aa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DB3"/>
    <w:rsid w:val="0000513C"/>
    <w:rsid w:val="00006D7B"/>
    <w:rsid w:val="00013F73"/>
    <w:rsid w:val="000153C2"/>
    <w:rsid w:val="00016069"/>
    <w:rsid w:val="000201EF"/>
    <w:rsid w:val="00032E48"/>
    <w:rsid w:val="000422A1"/>
    <w:rsid w:val="0004687D"/>
    <w:rsid w:val="00050E2B"/>
    <w:rsid w:val="00057C69"/>
    <w:rsid w:val="0006263C"/>
    <w:rsid w:val="00066B74"/>
    <w:rsid w:val="00070A75"/>
    <w:rsid w:val="00075594"/>
    <w:rsid w:val="00090610"/>
    <w:rsid w:val="000A14BA"/>
    <w:rsid w:val="000A16AA"/>
    <w:rsid w:val="000A1DF1"/>
    <w:rsid w:val="000A7E7B"/>
    <w:rsid w:val="000B04E1"/>
    <w:rsid w:val="000B0A75"/>
    <w:rsid w:val="000B4761"/>
    <w:rsid w:val="000E091D"/>
    <w:rsid w:val="000F3100"/>
    <w:rsid w:val="00114D71"/>
    <w:rsid w:val="0011571F"/>
    <w:rsid w:val="00117E31"/>
    <w:rsid w:val="00121DBE"/>
    <w:rsid w:val="001229C5"/>
    <w:rsid w:val="00132C78"/>
    <w:rsid w:val="00140F27"/>
    <w:rsid w:val="0014123A"/>
    <w:rsid w:val="00161223"/>
    <w:rsid w:val="0017526F"/>
    <w:rsid w:val="00177C78"/>
    <w:rsid w:val="00194EA3"/>
    <w:rsid w:val="00196D06"/>
    <w:rsid w:val="001B301F"/>
    <w:rsid w:val="001B70DD"/>
    <w:rsid w:val="001D5812"/>
    <w:rsid w:val="001F2561"/>
    <w:rsid w:val="00205DB3"/>
    <w:rsid w:val="00213EE5"/>
    <w:rsid w:val="002157CC"/>
    <w:rsid w:val="00216CCB"/>
    <w:rsid w:val="00216E85"/>
    <w:rsid w:val="00221515"/>
    <w:rsid w:val="00226F9A"/>
    <w:rsid w:val="0023450F"/>
    <w:rsid w:val="002354B9"/>
    <w:rsid w:val="00245ED2"/>
    <w:rsid w:val="002606EA"/>
    <w:rsid w:val="0026497F"/>
    <w:rsid w:val="00283F32"/>
    <w:rsid w:val="00290031"/>
    <w:rsid w:val="002A2017"/>
    <w:rsid w:val="002A29CC"/>
    <w:rsid w:val="002B3D9D"/>
    <w:rsid w:val="002C102B"/>
    <w:rsid w:val="002D5AC3"/>
    <w:rsid w:val="002D683A"/>
    <w:rsid w:val="002E3665"/>
    <w:rsid w:val="002F0870"/>
    <w:rsid w:val="002F1C84"/>
    <w:rsid w:val="002F7C13"/>
    <w:rsid w:val="003037EE"/>
    <w:rsid w:val="003070B7"/>
    <w:rsid w:val="00315B43"/>
    <w:rsid w:val="0033116A"/>
    <w:rsid w:val="0034419C"/>
    <w:rsid w:val="003450FB"/>
    <w:rsid w:val="003476AA"/>
    <w:rsid w:val="003511BD"/>
    <w:rsid w:val="0035214B"/>
    <w:rsid w:val="00352D6F"/>
    <w:rsid w:val="00381D59"/>
    <w:rsid w:val="00383E13"/>
    <w:rsid w:val="00394151"/>
    <w:rsid w:val="003944C7"/>
    <w:rsid w:val="00395456"/>
    <w:rsid w:val="00396712"/>
    <w:rsid w:val="003A0015"/>
    <w:rsid w:val="003A2EDB"/>
    <w:rsid w:val="003A5F4A"/>
    <w:rsid w:val="003A76AD"/>
    <w:rsid w:val="003B490A"/>
    <w:rsid w:val="003C09D4"/>
    <w:rsid w:val="003C5F78"/>
    <w:rsid w:val="003D0590"/>
    <w:rsid w:val="003D669E"/>
    <w:rsid w:val="003D794E"/>
    <w:rsid w:val="003E1719"/>
    <w:rsid w:val="003F21ED"/>
    <w:rsid w:val="003F2D5E"/>
    <w:rsid w:val="003F5E02"/>
    <w:rsid w:val="00407C40"/>
    <w:rsid w:val="00407D38"/>
    <w:rsid w:val="0041477D"/>
    <w:rsid w:val="00420278"/>
    <w:rsid w:val="00422FB0"/>
    <w:rsid w:val="00435302"/>
    <w:rsid w:val="00440AE8"/>
    <w:rsid w:val="0044219F"/>
    <w:rsid w:val="00451DAD"/>
    <w:rsid w:val="004524D0"/>
    <w:rsid w:val="004524D6"/>
    <w:rsid w:val="00456748"/>
    <w:rsid w:val="0046435F"/>
    <w:rsid w:val="00473747"/>
    <w:rsid w:val="004750B5"/>
    <w:rsid w:val="00475C4A"/>
    <w:rsid w:val="00485F2D"/>
    <w:rsid w:val="004862CE"/>
    <w:rsid w:val="00490340"/>
    <w:rsid w:val="0049351F"/>
    <w:rsid w:val="00494FD0"/>
    <w:rsid w:val="004A116A"/>
    <w:rsid w:val="004B2E81"/>
    <w:rsid w:val="004B2EA2"/>
    <w:rsid w:val="004C1247"/>
    <w:rsid w:val="004D0042"/>
    <w:rsid w:val="004D157B"/>
    <w:rsid w:val="004D2932"/>
    <w:rsid w:val="004D3C0E"/>
    <w:rsid w:val="004D4C34"/>
    <w:rsid w:val="004D56A3"/>
    <w:rsid w:val="004D5CFC"/>
    <w:rsid w:val="004E43E9"/>
    <w:rsid w:val="004E4D07"/>
    <w:rsid w:val="004F38EA"/>
    <w:rsid w:val="00501367"/>
    <w:rsid w:val="00506E67"/>
    <w:rsid w:val="00517234"/>
    <w:rsid w:val="00521525"/>
    <w:rsid w:val="0052465F"/>
    <w:rsid w:val="0054006A"/>
    <w:rsid w:val="005416F1"/>
    <w:rsid w:val="005453FE"/>
    <w:rsid w:val="0054780F"/>
    <w:rsid w:val="00565E37"/>
    <w:rsid w:val="005A3838"/>
    <w:rsid w:val="005A4D35"/>
    <w:rsid w:val="005A617D"/>
    <w:rsid w:val="005C0A17"/>
    <w:rsid w:val="005D01AB"/>
    <w:rsid w:val="005D2C26"/>
    <w:rsid w:val="005D422E"/>
    <w:rsid w:val="005E159A"/>
    <w:rsid w:val="005E164B"/>
    <w:rsid w:val="005E1C95"/>
    <w:rsid w:val="005E234E"/>
    <w:rsid w:val="005E2C6A"/>
    <w:rsid w:val="005F002D"/>
    <w:rsid w:val="005F1E46"/>
    <w:rsid w:val="005F2601"/>
    <w:rsid w:val="006144A4"/>
    <w:rsid w:val="006164C3"/>
    <w:rsid w:val="00616F55"/>
    <w:rsid w:val="00626296"/>
    <w:rsid w:val="00627272"/>
    <w:rsid w:val="00634556"/>
    <w:rsid w:val="006352B9"/>
    <w:rsid w:val="006414AF"/>
    <w:rsid w:val="00643225"/>
    <w:rsid w:val="00646365"/>
    <w:rsid w:val="00651B20"/>
    <w:rsid w:val="00656463"/>
    <w:rsid w:val="00666477"/>
    <w:rsid w:val="0068381A"/>
    <w:rsid w:val="00684F6F"/>
    <w:rsid w:val="00687B88"/>
    <w:rsid w:val="00687D21"/>
    <w:rsid w:val="00695950"/>
    <w:rsid w:val="006A05F1"/>
    <w:rsid w:val="006A3046"/>
    <w:rsid w:val="006A73F5"/>
    <w:rsid w:val="006C17F4"/>
    <w:rsid w:val="006C1BE1"/>
    <w:rsid w:val="006C23A4"/>
    <w:rsid w:val="006C3B39"/>
    <w:rsid w:val="006C6099"/>
    <w:rsid w:val="006D6E34"/>
    <w:rsid w:val="006E4F47"/>
    <w:rsid w:val="00731CAA"/>
    <w:rsid w:val="00733C61"/>
    <w:rsid w:val="007447A5"/>
    <w:rsid w:val="00746EC1"/>
    <w:rsid w:val="00751CFA"/>
    <w:rsid w:val="0075310F"/>
    <w:rsid w:val="0076165A"/>
    <w:rsid w:val="00765B5A"/>
    <w:rsid w:val="007726E8"/>
    <w:rsid w:val="007805A9"/>
    <w:rsid w:val="0078348F"/>
    <w:rsid w:val="00784DA9"/>
    <w:rsid w:val="00787809"/>
    <w:rsid w:val="00790ECD"/>
    <w:rsid w:val="00792096"/>
    <w:rsid w:val="007A514B"/>
    <w:rsid w:val="007A5D88"/>
    <w:rsid w:val="007A71CE"/>
    <w:rsid w:val="007B4EC9"/>
    <w:rsid w:val="007B729D"/>
    <w:rsid w:val="007C4380"/>
    <w:rsid w:val="007C7D3E"/>
    <w:rsid w:val="007E4FE8"/>
    <w:rsid w:val="007E5115"/>
    <w:rsid w:val="007E7338"/>
    <w:rsid w:val="007F41E9"/>
    <w:rsid w:val="008007B0"/>
    <w:rsid w:val="00805668"/>
    <w:rsid w:val="00812B6A"/>
    <w:rsid w:val="00822230"/>
    <w:rsid w:val="00823B28"/>
    <w:rsid w:val="008252E4"/>
    <w:rsid w:val="008324A6"/>
    <w:rsid w:val="00833188"/>
    <w:rsid w:val="00833D3D"/>
    <w:rsid w:val="00852FC5"/>
    <w:rsid w:val="0085326F"/>
    <w:rsid w:val="008633D4"/>
    <w:rsid w:val="00871739"/>
    <w:rsid w:val="00873E39"/>
    <w:rsid w:val="00887290"/>
    <w:rsid w:val="00894A2E"/>
    <w:rsid w:val="008A7C8D"/>
    <w:rsid w:val="008B0BB7"/>
    <w:rsid w:val="008C0449"/>
    <w:rsid w:val="008C06D2"/>
    <w:rsid w:val="008C3F19"/>
    <w:rsid w:val="008D1E63"/>
    <w:rsid w:val="008E09BD"/>
    <w:rsid w:val="008E09D5"/>
    <w:rsid w:val="008E24B2"/>
    <w:rsid w:val="008E6A75"/>
    <w:rsid w:val="008E6AF5"/>
    <w:rsid w:val="009020F1"/>
    <w:rsid w:val="00906B66"/>
    <w:rsid w:val="00916581"/>
    <w:rsid w:val="009353DB"/>
    <w:rsid w:val="00943C87"/>
    <w:rsid w:val="00946A80"/>
    <w:rsid w:val="00956C03"/>
    <w:rsid w:val="00967FEC"/>
    <w:rsid w:val="00972E31"/>
    <w:rsid w:val="00993813"/>
    <w:rsid w:val="009C2416"/>
    <w:rsid w:val="009C2910"/>
    <w:rsid w:val="009C578C"/>
    <w:rsid w:val="009C70B5"/>
    <w:rsid w:val="009D4529"/>
    <w:rsid w:val="009E1708"/>
    <w:rsid w:val="009E4C2A"/>
    <w:rsid w:val="009E60FE"/>
    <w:rsid w:val="009F1F40"/>
    <w:rsid w:val="009F751C"/>
    <w:rsid w:val="00A01FF5"/>
    <w:rsid w:val="00A10037"/>
    <w:rsid w:val="00A10D88"/>
    <w:rsid w:val="00A147AA"/>
    <w:rsid w:val="00A20555"/>
    <w:rsid w:val="00A21E5D"/>
    <w:rsid w:val="00A25F18"/>
    <w:rsid w:val="00A3028A"/>
    <w:rsid w:val="00A4083F"/>
    <w:rsid w:val="00A45C5A"/>
    <w:rsid w:val="00A5371C"/>
    <w:rsid w:val="00A57ACF"/>
    <w:rsid w:val="00A634A3"/>
    <w:rsid w:val="00A63684"/>
    <w:rsid w:val="00A671E6"/>
    <w:rsid w:val="00A74226"/>
    <w:rsid w:val="00A76191"/>
    <w:rsid w:val="00A97E1F"/>
    <w:rsid w:val="00AB3EBA"/>
    <w:rsid w:val="00AD30AB"/>
    <w:rsid w:val="00AD3D5E"/>
    <w:rsid w:val="00B03FBD"/>
    <w:rsid w:val="00B0730A"/>
    <w:rsid w:val="00B113A1"/>
    <w:rsid w:val="00B1390B"/>
    <w:rsid w:val="00B17D04"/>
    <w:rsid w:val="00B20FAC"/>
    <w:rsid w:val="00B2253E"/>
    <w:rsid w:val="00B228DD"/>
    <w:rsid w:val="00B232C4"/>
    <w:rsid w:val="00B242F6"/>
    <w:rsid w:val="00B3280F"/>
    <w:rsid w:val="00B33996"/>
    <w:rsid w:val="00B33A86"/>
    <w:rsid w:val="00B50341"/>
    <w:rsid w:val="00B62A41"/>
    <w:rsid w:val="00B65445"/>
    <w:rsid w:val="00B67E8B"/>
    <w:rsid w:val="00B84993"/>
    <w:rsid w:val="00B91CAE"/>
    <w:rsid w:val="00B92096"/>
    <w:rsid w:val="00B94391"/>
    <w:rsid w:val="00B95367"/>
    <w:rsid w:val="00B956A9"/>
    <w:rsid w:val="00BA0195"/>
    <w:rsid w:val="00BA78FF"/>
    <w:rsid w:val="00BC4571"/>
    <w:rsid w:val="00BC70A4"/>
    <w:rsid w:val="00BD1E0E"/>
    <w:rsid w:val="00BD44BA"/>
    <w:rsid w:val="00BD625C"/>
    <w:rsid w:val="00BE4BB6"/>
    <w:rsid w:val="00BE6CD8"/>
    <w:rsid w:val="00BF0CA6"/>
    <w:rsid w:val="00C0722D"/>
    <w:rsid w:val="00C1756D"/>
    <w:rsid w:val="00C272E2"/>
    <w:rsid w:val="00C33D79"/>
    <w:rsid w:val="00C33FF8"/>
    <w:rsid w:val="00C361FB"/>
    <w:rsid w:val="00C44859"/>
    <w:rsid w:val="00C45547"/>
    <w:rsid w:val="00C526C8"/>
    <w:rsid w:val="00C54783"/>
    <w:rsid w:val="00C66F5A"/>
    <w:rsid w:val="00C71D06"/>
    <w:rsid w:val="00C74747"/>
    <w:rsid w:val="00C74C01"/>
    <w:rsid w:val="00C75717"/>
    <w:rsid w:val="00C75FE4"/>
    <w:rsid w:val="00C77397"/>
    <w:rsid w:val="00C85D08"/>
    <w:rsid w:val="00C90447"/>
    <w:rsid w:val="00C91834"/>
    <w:rsid w:val="00CA0DA0"/>
    <w:rsid w:val="00CA198D"/>
    <w:rsid w:val="00CB4790"/>
    <w:rsid w:val="00CE636E"/>
    <w:rsid w:val="00CE682D"/>
    <w:rsid w:val="00CE6DB0"/>
    <w:rsid w:val="00CF17A7"/>
    <w:rsid w:val="00CF54C3"/>
    <w:rsid w:val="00D01FBB"/>
    <w:rsid w:val="00D128F4"/>
    <w:rsid w:val="00D327D1"/>
    <w:rsid w:val="00D37D6D"/>
    <w:rsid w:val="00D53AB7"/>
    <w:rsid w:val="00D55871"/>
    <w:rsid w:val="00D55ECA"/>
    <w:rsid w:val="00D607AA"/>
    <w:rsid w:val="00D60FF6"/>
    <w:rsid w:val="00D61401"/>
    <w:rsid w:val="00D6481C"/>
    <w:rsid w:val="00D8198E"/>
    <w:rsid w:val="00D8288F"/>
    <w:rsid w:val="00D84C4E"/>
    <w:rsid w:val="00D85B9A"/>
    <w:rsid w:val="00D87F51"/>
    <w:rsid w:val="00D91A1F"/>
    <w:rsid w:val="00D9234D"/>
    <w:rsid w:val="00D96B44"/>
    <w:rsid w:val="00DA0320"/>
    <w:rsid w:val="00DA460B"/>
    <w:rsid w:val="00DA66E1"/>
    <w:rsid w:val="00DE06DE"/>
    <w:rsid w:val="00DE74AA"/>
    <w:rsid w:val="00DF3377"/>
    <w:rsid w:val="00DF3ED2"/>
    <w:rsid w:val="00E03C79"/>
    <w:rsid w:val="00E05518"/>
    <w:rsid w:val="00E0698F"/>
    <w:rsid w:val="00E15131"/>
    <w:rsid w:val="00E2025A"/>
    <w:rsid w:val="00E35877"/>
    <w:rsid w:val="00E45936"/>
    <w:rsid w:val="00E4773B"/>
    <w:rsid w:val="00E47ECF"/>
    <w:rsid w:val="00E51C29"/>
    <w:rsid w:val="00E70467"/>
    <w:rsid w:val="00E741BC"/>
    <w:rsid w:val="00E8078F"/>
    <w:rsid w:val="00E8424A"/>
    <w:rsid w:val="00E84CA3"/>
    <w:rsid w:val="00EA755B"/>
    <w:rsid w:val="00EB0C07"/>
    <w:rsid w:val="00EB2CA2"/>
    <w:rsid w:val="00EB745E"/>
    <w:rsid w:val="00EC7507"/>
    <w:rsid w:val="00ED0DD7"/>
    <w:rsid w:val="00ED0E7B"/>
    <w:rsid w:val="00ED1F8F"/>
    <w:rsid w:val="00EE7B9F"/>
    <w:rsid w:val="00EF4ED3"/>
    <w:rsid w:val="00F0033D"/>
    <w:rsid w:val="00F05B93"/>
    <w:rsid w:val="00F168DE"/>
    <w:rsid w:val="00F33BB8"/>
    <w:rsid w:val="00F370F7"/>
    <w:rsid w:val="00F376FA"/>
    <w:rsid w:val="00F40119"/>
    <w:rsid w:val="00F4708F"/>
    <w:rsid w:val="00F508C4"/>
    <w:rsid w:val="00F56D1B"/>
    <w:rsid w:val="00F65D23"/>
    <w:rsid w:val="00F67D12"/>
    <w:rsid w:val="00F70CFE"/>
    <w:rsid w:val="00F7274C"/>
    <w:rsid w:val="00F7575D"/>
    <w:rsid w:val="00F81C03"/>
    <w:rsid w:val="00F828B4"/>
    <w:rsid w:val="00F875CE"/>
    <w:rsid w:val="00F87B39"/>
    <w:rsid w:val="00F92D8C"/>
    <w:rsid w:val="00F92F91"/>
    <w:rsid w:val="00F94C64"/>
    <w:rsid w:val="00F97824"/>
    <w:rsid w:val="00FA1CBE"/>
    <w:rsid w:val="00FA26CD"/>
    <w:rsid w:val="00FB1E60"/>
    <w:rsid w:val="00FB4E57"/>
    <w:rsid w:val="00FC1DA7"/>
    <w:rsid w:val="00FC4AE3"/>
    <w:rsid w:val="00FC6C0B"/>
    <w:rsid w:val="00FC71DC"/>
    <w:rsid w:val="00FC7AEB"/>
    <w:rsid w:val="00FD04DB"/>
    <w:rsid w:val="00FD567E"/>
    <w:rsid w:val="00FD727B"/>
    <w:rsid w:val="00FE6AA7"/>
    <w:rsid w:val="00FF535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E9E45"/>
  <w15:chartTrackingRefBased/>
  <w15:docId w15:val="{5C4AFF95-495E-9747-805D-0B66A9319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687D21"/>
    <w:pPr>
      <w:spacing w:before="100" w:beforeAutospacing="1" w:after="100" w:afterAutospacing="1"/>
      <w:outlineLvl w:val="0"/>
    </w:pPr>
    <w:rPr>
      <w:rFonts w:ascii="Times New Roman" w:eastAsia="Times New Roman" w:hAnsi="Times New Roman" w:cs="Times New Roman"/>
      <w:b/>
      <w:bCs/>
      <w:kern w:val="36"/>
      <w:sz w:val="48"/>
      <w:szCs w:val="48"/>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16581"/>
    <w:rPr>
      <w:color w:val="0563C1" w:themeColor="hyperlink"/>
      <w:u w:val="single"/>
    </w:rPr>
  </w:style>
  <w:style w:type="character" w:styleId="Mencinsinresolver">
    <w:name w:val="Unresolved Mention"/>
    <w:basedOn w:val="Fuentedeprrafopredeter"/>
    <w:uiPriority w:val="99"/>
    <w:semiHidden/>
    <w:unhideWhenUsed/>
    <w:rsid w:val="00916581"/>
    <w:rPr>
      <w:color w:val="605E5C"/>
      <w:shd w:val="clear" w:color="auto" w:fill="E1DFDD"/>
    </w:rPr>
  </w:style>
  <w:style w:type="character" w:styleId="Hipervnculovisitado">
    <w:name w:val="FollowedHyperlink"/>
    <w:basedOn w:val="Fuentedeprrafopredeter"/>
    <w:uiPriority w:val="99"/>
    <w:semiHidden/>
    <w:unhideWhenUsed/>
    <w:rsid w:val="00916581"/>
    <w:rPr>
      <w:color w:val="954F72" w:themeColor="followedHyperlink"/>
      <w:u w:val="single"/>
    </w:rPr>
  </w:style>
  <w:style w:type="character" w:styleId="Refdecomentario">
    <w:name w:val="annotation reference"/>
    <w:basedOn w:val="Fuentedeprrafopredeter"/>
    <w:uiPriority w:val="99"/>
    <w:semiHidden/>
    <w:unhideWhenUsed/>
    <w:rsid w:val="005F2601"/>
    <w:rPr>
      <w:sz w:val="16"/>
      <w:szCs w:val="16"/>
    </w:rPr>
  </w:style>
  <w:style w:type="paragraph" w:styleId="Textocomentario">
    <w:name w:val="annotation text"/>
    <w:basedOn w:val="Normal"/>
    <w:link w:val="TextocomentarioCar"/>
    <w:uiPriority w:val="99"/>
    <w:semiHidden/>
    <w:unhideWhenUsed/>
    <w:rsid w:val="005F2601"/>
    <w:rPr>
      <w:sz w:val="20"/>
      <w:szCs w:val="20"/>
    </w:rPr>
  </w:style>
  <w:style w:type="character" w:customStyle="1" w:styleId="TextocomentarioCar">
    <w:name w:val="Texto comentario Car"/>
    <w:basedOn w:val="Fuentedeprrafopredeter"/>
    <w:link w:val="Textocomentario"/>
    <w:uiPriority w:val="99"/>
    <w:semiHidden/>
    <w:rsid w:val="005F2601"/>
    <w:rPr>
      <w:sz w:val="20"/>
      <w:szCs w:val="20"/>
    </w:rPr>
  </w:style>
  <w:style w:type="paragraph" w:styleId="Asuntodelcomentario">
    <w:name w:val="annotation subject"/>
    <w:basedOn w:val="Textocomentario"/>
    <w:next w:val="Textocomentario"/>
    <w:link w:val="AsuntodelcomentarioCar"/>
    <w:uiPriority w:val="99"/>
    <w:semiHidden/>
    <w:unhideWhenUsed/>
    <w:rsid w:val="005F2601"/>
    <w:rPr>
      <w:b/>
      <w:bCs/>
    </w:rPr>
  </w:style>
  <w:style w:type="character" w:customStyle="1" w:styleId="AsuntodelcomentarioCar">
    <w:name w:val="Asunto del comentario Car"/>
    <w:basedOn w:val="TextocomentarioCar"/>
    <w:link w:val="Asuntodelcomentario"/>
    <w:uiPriority w:val="99"/>
    <w:semiHidden/>
    <w:rsid w:val="005F2601"/>
    <w:rPr>
      <w:b/>
      <w:bCs/>
      <w:sz w:val="20"/>
      <w:szCs w:val="20"/>
    </w:rPr>
  </w:style>
  <w:style w:type="paragraph" w:styleId="Textodeglobo">
    <w:name w:val="Balloon Text"/>
    <w:basedOn w:val="Normal"/>
    <w:link w:val="TextodegloboCar"/>
    <w:uiPriority w:val="99"/>
    <w:semiHidden/>
    <w:unhideWhenUsed/>
    <w:rsid w:val="005F2601"/>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5F2601"/>
    <w:rPr>
      <w:rFonts w:ascii="Times New Roman" w:hAnsi="Times New Roman" w:cs="Times New Roman"/>
      <w:sz w:val="18"/>
      <w:szCs w:val="18"/>
    </w:rPr>
  </w:style>
  <w:style w:type="character" w:customStyle="1" w:styleId="highlight">
    <w:name w:val="highlight"/>
    <w:basedOn w:val="Fuentedeprrafopredeter"/>
    <w:rsid w:val="005F2601"/>
  </w:style>
  <w:style w:type="table" w:styleId="Tablaconcuadrcula">
    <w:name w:val="Table Grid"/>
    <w:basedOn w:val="Tablanormal"/>
    <w:uiPriority w:val="39"/>
    <w:rsid w:val="00C448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0A7E7B"/>
  </w:style>
  <w:style w:type="paragraph" w:customStyle="1" w:styleId="nova-legacy-e-listitem">
    <w:name w:val="nova-legacy-e-list__item"/>
    <w:basedOn w:val="Normal"/>
    <w:rsid w:val="001D5812"/>
    <w:pPr>
      <w:spacing w:before="100" w:beforeAutospacing="1" w:after="100" w:afterAutospacing="1"/>
    </w:pPr>
    <w:rPr>
      <w:rFonts w:ascii="Times New Roman" w:eastAsia="Times New Roman" w:hAnsi="Times New Roman" w:cs="Times New Roman"/>
    </w:rPr>
  </w:style>
  <w:style w:type="paragraph" w:customStyle="1" w:styleId="paragraph">
    <w:name w:val="paragraph"/>
    <w:basedOn w:val="Normal"/>
    <w:rsid w:val="008B0BB7"/>
    <w:pPr>
      <w:spacing w:before="100" w:beforeAutospacing="1" w:after="100" w:afterAutospacing="1"/>
    </w:pPr>
    <w:rPr>
      <w:rFonts w:ascii="Times New Roman" w:eastAsia="Times New Roman" w:hAnsi="Times New Roman" w:cs="Times New Roman"/>
      <w:lang w:eastAsia="es-ES_tradnl"/>
    </w:rPr>
  </w:style>
  <w:style w:type="character" w:customStyle="1" w:styleId="normaltextrun">
    <w:name w:val="normaltextrun"/>
    <w:basedOn w:val="Fuentedeprrafopredeter"/>
    <w:rsid w:val="008B0BB7"/>
  </w:style>
  <w:style w:type="character" w:customStyle="1" w:styleId="eop">
    <w:name w:val="eop"/>
    <w:basedOn w:val="Fuentedeprrafopredeter"/>
    <w:rsid w:val="008B0BB7"/>
  </w:style>
  <w:style w:type="paragraph" w:styleId="NormalWeb">
    <w:name w:val="Normal (Web)"/>
    <w:basedOn w:val="Normal"/>
    <w:uiPriority w:val="99"/>
    <w:semiHidden/>
    <w:unhideWhenUsed/>
    <w:rsid w:val="00BC70A4"/>
    <w:pPr>
      <w:spacing w:before="100" w:beforeAutospacing="1" w:after="100" w:afterAutospacing="1"/>
    </w:pPr>
    <w:rPr>
      <w:rFonts w:ascii="Times New Roman" w:eastAsia="Times New Roman" w:hAnsi="Times New Roman" w:cs="Times New Roman"/>
      <w:lang w:eastAsia="es-ES_tradnl"/>
    </w:rPr>
  </w:style>
  <w:style w:type="character" w:styleId="Textoennegrita">
    <w:name w:val="Strong"/>
    <w:basedOn w:val="Fuentedeprrafopredeter"/>
    <w:uiPriority w:val="22"/>
    <w:qFormat/>
    <w:rsid w:val="00BC70A4"/>
    <w:rPr>
      <w:b/>
      <w:bCs/>
    </w:rPr>
  </w:style>
  <w:style w:type="character" w:customStyle="1" w:styleId="Ttulo1Car">
    <w:name w:val="Título 1 Car"/>
    <w:basedOn w:val="Fuentedeprrafopredeter"/>
    <w:link w:val="Ttulo1"/>
    <w:uiPriority w:val="9"/>
    <w:rsid w:val="00687D21"/>
    <w:rPr>
      <w:rFonts w:ascii="Times New Roman" w:eastAsia="Times New Roman" w:hAnsi="Times New Roman" w:cs="Times New Roman"/>
      <w:b/>
      <w:bCs/>
      <w:kern w:val="36"/>
      <w:sz w:val="48"/>
      <w:szCs w:val="48"/>
      <w:lang w:eastAsia="es-ES_tradnl"/>
    </w:rPr>
  </w:style>
  <w:style w:type="paragraph" w:styleId="Prrafodelista">
    <w:name w:val="List Paragraph"/>
    <w:basedOn w:val="Normal"/>
    <w:uiPriority w:val="34"/>
    <w:qFormat/>
    <w:rsid w:val="00687D21"/>
    <w:pPr>
      <w:ind w:left="720"/>
      <w:contextualSpacing/>
    </w:pPr>
  </w:style>
  <w:style w:type="paragraph" w:styleId="Piedepgina">
    <w:name w:val="footer"/>
    <w:basedOn w:val="Normal"/>
    <w:link w:val="PiedepginaCar"/>
    <w:uiPriority w:val="99"/>
    <w:unhideWhenUsed/>
    <w:rsid w:val="00A45C5A"/>
    <w:pPr>
      <w:tabs>
        <w:tab w:val="center" w:pos="4419"/>
        <w:tab w:val="right" w:pos="8838"/>
      </w:tabs>
    </w:pPr>
  </w:style>
  <w:style w:type="character" w:customStyle="1" w:styleId="PiedepginaCar">
    <w:name w:val="Pie de página Car"/>
    <w:basedOn w:val="Fuentedeprrafopredeter"/>
    <w:link w:val="Piedepgina"/>
    <w:uiPriority w:val="99"/>
    <w:rsid w:val="00A45C5A"/>
  </w:style>
  <w:style w:type="character" w:styleId="Nmerodepgina">
    <w:name w:val="page number"/>
    <w:basedOn w:val="Fuentedeprrafopredeter"/>
    <w:uiPriority w:val="99"/>
    <w:semiHidden/>
    <w:unhideWhenUsed/>
    <w:rsid w:val="00A45C5A"/>
  </w:style>
  <w:style w:type="paragraph" w:styleId="Encabezado">
    <w:name w:val="header"/>
    <w:basedOn w:val="Normal"/>
    <w:link w:val="EncabezadoCar"/>
    <w:uiPriority w:val="99"/>
    <w:unhideWhenUsed/>
    <w:rsid w:val="00A45C5A"/>
    <w:pPr>
      <w:tabs>
        <w:tab w:val="center" w:pos="4419"/>
        <w:tab w:val="right" w:pos="8838"/>
      </w:tabs>
    </w:pPr>
  </w:style>
  <w:style w:type="character" w:customStyle="1" w:styleId="EncabezadoCar">
    <w:name w:val="Encabezado Car"/>
    <w:basedOn w:val="Fuentedeprrafopredeter"/>
    <w:link w:val="Encabezado"/>
    <w:uiPriority w:val="99"/>
    <w:rsid w:val="00A45C5A"/>
  </w:style>
  <w:style w:type="paragraph" w:styleId="Subttulo">
    <w:name w:val="Subtitle"/>
    <w:basedOn w:val="Normal"/>
    <w:next w:val="Normal"/>
    <w:link w:val="SubttuloCar"/>
    <w:uiPriority w:val="11"/>
    <w:qFormat/>
    <w:rsid w:val="00A45C5A"/>
    <w:pPr>
      <w:numPr>
        <w:ilvl w:val="1"/>
      </w:numPr>
      <w:spacing w:after="160"/>
    </w:pPr>
    <w:rPr>
      <w:rFonts w:eastAsiaTheme="minorEastAsia"/>
      <w:color w:val="5A5A5A" w:themeColor="text1" w:themeTint="A5"/>
      <w:spacing w:val="15"/>
      <w:sz w:val="22"/>
      <w:szCs w:val="22"/>
    </w:rPr>
  </w:style>
  <w:style w:type="character" w:customStyle="1" w:styleId="SubttuloCar">
    <w:name w:val="Subtítulo Car"/>
    <w:basedOn w:val="Fuentedeprrafopredeter"/>
    <w:link w:val="Subttulo"/>
    <w:uiPriority w:val="11"/>
    <w:rsid w:val="00A45C5A"/>
    <w:rPr>
      <w:rFonts w:eastAsiaTheme="minorEastAsia"/>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879097">
      <w:bodyDiv w:val="1"/>
      <w:marLeft w:val="0"/>
      <w:marRight w:val="0"/>
      <w:marTop w:val="0"/>
      <w:marBottom w:val="0"/>
      <w:divBdr>
        <w:top w:val="none" w:sz="0" w:space="0" w:color="auto"/>
        <w:left w:val="none" w:sz="0" w:space="0" w:color="auto"/>
        <w:bottom w:val="none" w:sz="0" w:space="0" w:color="auto"/>
        <w:right w:val="none" w:sz="0" w:space="0" w:color="auto"/>
      </w:divBdr>
    </w:div>
    <w:div w:id="174224312">
      <w:bodyDiv w:val="1"/>
      <w:marLeft w:val="0"/>
      <w:marRight w:val="0"/>
      <w:marTop w:val="0"/>
      <w:marBottom w:val="0"/>
      <w:divBdr>
        <w:top w:val="none" w:sz="0" w:space="0" w:color="auto"/>
        <w:left w:val="none" w:sz="0" w:space="0" w:color="auto"/>
        <w:bottom w:val="none" w:sz="0" w:space="0" w:color="auto"/>
        <w:right w:val="none" w:sz="0" w:space="0" w:color="auto"/>
      </w:divBdr>
    </w:div>
    <w:div w:id="579366453">
      <w:bodyDiv w:val="1"/>
      <w:marLeft w:val="0"/>
      <w:marRight w:val="0"/>
      <w:marTop w:val="0"/>
      <w:marBottom w:val="0"/>
      <w:divBdr>
        <w:top w:val="none" w:sz="0" w:space="0" w:color="auto"/>
        <w:left w:val="none" w:sz="0" w:space="0" w:color="auto"/>
        <w:bottom w:val="none" w:sz="0" w:space="0" w:color="auto"/>
        <w:right w:val="none" w:sz="0" w:space="0" w:color="auto"/>
      </w:divBdr>
    </w:div>
    <w:div w:id="788861186">
      <w:bodyDiv w:val="1"/>
      <w:marLeft w:val="0"/>
      <w:marRight w:val="0"/>
      <w:marTop w:val="0"/>
      <w:marBottom w:val="0"/>
      <w:divBdr>
        <w:top w:val="none" w:sz="0" w:space="0" w:color="auto"/>
        <w:left w:val="none" w:sz="0" w:space="0" w:color="auto"/>
        <w:bottom w:val="none" w:sz="0" w:space="0" w:color="auto"/>
        <w:right w:val="none" w:sz="0" w:space="0" w:color="auto"/>
      </w:divBdr>
    </w:div>
    <w:div w:id="870729585">
      <w:bodyDiv w:val="1"/>
      <w:marLeft w:val="0"/>
      <w:marRight w:val="0"/>
      <w:marTop w:val="0"/>
      <w:marBottom w:val="0"/>
      <w:divBdr>
        <w:top w:val="none" w:sz="0" w:space="0" w:color="auto"/>
        <w:left w:val="none" w:sz="0" w:space="0" w:color="auto"/>
        <w:bottom w:val="none" w:sz="0" w:space="0" w:color="auto"/>
        <w:right w:val="none" w:sz="0" w:space="0" w:color="auto"/>
      </w:divBdr>
    </w:div>
    <w:div w:id="1169246194">
      <w:bodyDiv w:val="1"/>
      <w:marLeft w:val="0"/>
      <w:marRight w:val="0"/>
      <w:marTop w:val="0"/>
      <w:marBottom w:val="0"/>
      <w:divBdr>
        <w:top w:val="none" w:sz="0" w:space="0" w:color="auto"/>
        <w:left w:val="none" w:sz="0" w:space="0" w:color="auto"/>
        <w:bottom w:val="none" w:sz="0" w:space="0" w:color="auto"/>
        <w:right w:val="none" w:sz="0" w:space="0" w:color="auto"/>
      </w:divBdr>
      <w:divsChild>
        <w:div w:id="201330143">
          <w:marLeft w:val="0"/>
          <w:marRight w:val="0"/>
          <w:marTop w:val="0"/>
          <w:marBottom w:val="0"/>
          <w:divBdr>
            <w:top w:val="none" w:sz="0" w:space="0" w:color="auto"/>
            <w:left w:val="none" w:sz="0" w:space="0" w:color="auto"/>
            <w:bottom w:val="none" w:sz="0" w:space="0" w:color="auto"/>
            <w:right w:val="none" w:sz="0" w:space="0" w:color="auto"/>
          </w:divBdr>
        </w:div>
        <w:div w:id="559246444">
          <w:marLeft w:val="0"/>
          <w:marRight w:val="0"/>
          <w:marTop w:val="0"/>
          <w:marBottom w:val="0"/>
          <w:divBdr>
            <w:top w:val="none" w:sz="0" w:space="0" w:color="auto"/>
            <w:left w:val="none" w:sz="0" w:space="0" w:color="auto"/>
            <w:bottom w:val="none" w:sz="0" w:space="0" w:color="auto"/>
            <w:right w:val="none" w:sz="0" w:space="0" w:color="auto"/>
          </w:divBdr>
        </w:div>
        <w:div w:id="945423166">
          <w:marLeft w:val="0"/>
          <w:marRight w:val="0"/>
          <w:marTop w:val="0"/>
          <w:marBottom w:val="0"/>
          <w:divBdr>
            <w:top w:val="none" w:sz="0" w:space="0" w:color="auto"/>
            <w:left w:val="none" w:sz="0" w:space="0" w:color="auto"/>
            <w:bottom w:val="none" w:sz="0" w:space="0" w:color="auto"/>
            <w:right w:val="none" w:sz="0" w:space="0" w:color="auto"/>
          </w:divBdr>
        </w:div>
        <w:div w:id="1029188275">
          <w:marLeft w:val="0"/>
          <w:marRight w:val="0"/>
          <w:marTop w:val="0"/>
          <w:marBottom w:val="0"/>
          <w:divBdr>
            <w:top w:val="none" w:sz="0" w:space="0" w:color="auto"/>
            <w:left w:val="none" w:sz="0" w:space="0" w:color="auto"/>
            <w:bottom w:val="none" w:sz="0" w:space="0" w:color="auto"/>
            <w:right w:val="none" w:sz="0" w:space="0" w:color="auto"/>
          </w:divBdr>
        </w:div>
        <w:div w:id="1737706343">
          <w:marLeft w:val="0"/>
          <w:marRight w:val="0"/>
          <w:marTop w:val="0"/>
          <w:marBottom w:val="0"/>
          <w:divBdr>
            <w:top w:val="none" w:sz="0" w:space="0" w:color="auto"/>
            <w:left w:val="none" w:sz="0" w:space="0" w:color="auto"/>
            <w:bottom w:val="none" w:sz="0" w:space="0" w:color="auto"/>
            <w:right w:val="none" w:sz="0" w:space="0" w:color="auto"/>
          </w:divBdr>
        </w:div>
      </w:divsChild>
    </w:div>
    <w:div w:id="1192763470">
      <w:bodyDiv w:val="1"/>
      <w:marLeft w:val="0"/>
      <w:marRight w:val="0"/>
      <w:marTop w:val="0"/>
      <w:marBottom w:val="0"/>
      <w:divBdr>
        <w:top w:val="none" w:sz="0" w:space="0" w:color="auto"/>
        <w:left w:val="none" w:sz="0" w:space="0" w:color="auto"/>
        <w:bottom w:val="none" w:sz="0" w:space="0" w:color="auto"/>
        <w:right w:val="none" w:sz="0" w:space="0" w:color="auto"/>
      </w:divBdr>
    </w:div>
    <w:div w:id="1359310511">
      <w:bodyDiv w:val="1"/>
      <w:marLeft w:val="0"/>
      <w:marRight w:val="0"/>
      <w:marTop w:val="0"/>
      <w:marBottom w:val="0"/>
      <w:divBdr>
        <w:top w:val="none" w:sz="0" w:space="0" w:color="auto"/>
        <w:left w:val="none" w:sz="0" w:space="0" w:color="auto"/>
        <w:bottom w:val="none" w:sz="0" w:space="0" w:color="auto"/>
        <w:right w:val="none" w:sz="0" w:space="0" w:color="auto"/>
      </w:divBdr>
    </w:div>
    <w:div w:id="1429275920">
      <w:bodyDiv w:val="1"/>
      <w:marLeft w:val="0"/>
      <w:marRight w:val="0"/>
      <w:marTop w:val="0"/>
      <w:marBottom w:val="0"/>
      <w:divBdr>
        <w:top w:val="none" w:sz="0" w:space="0" w:color="auto"/>
        <w:left w:val="none" w:sz="0" w:space="0" w:color="auto"/>
        <w:bottom w:val="none" w:sz="0" w:space="0" w:color="auto"/>
        <w:right w:val="none" w:sz="0" w:space="0" w:color="auto"/>
      </w:divBdr>
    </w:div>
    <w:div w:id="1625042476">
      <w:bodyDiv w:val="1"/>
      <w:marLeft w:val="0"/>
      <w:marRight w:val="0"/>
      <w:marTop w:val="0"/>
      <w:marBottom w:val="0"/>
      <w:divBdr>
        <w:top w:val="none" w:sz="0" w:space="0" w:color="auto"/>
        <w:left w:val="none" w:sz="0" w:space="0" w:color="auto"/>
        <w:bottom w:val="none" w:sz="0" w:space="0" w:color="auto"/>
        <w:right w:val="none" w:sz="0" w:space="0" w:color="auto"/>
      </w:divBdr>
    </w:div>
    <w:div w:id="1920673911">
      <w:bodyDiv w:val="1"/>
      <w:marLeft w:val="0"/>
      <w:marRight w:val="0"/>
      <w:marTop w:val="0"/>
      <w:marBottom w:val="0"/>
      <w:divBdr>
        <w:top w:val="none" w:sz="0" w:space="0" w:color="auto"/>
        <w:left w:val="none" w:sz="0" w:space="0" w:color="auto"/>
        <w:bottom w:val="none" w:sz="0" w:space="0" w:color="auto"/>
        <w:right w:val="none" w:sz="0" w:space="0" w:color="auto"/>
      </w:divBdr>
    </w:div>
    <w:div w:id="211998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orcid.org/0000-0001-9099-2389"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eligonzalezs@udd.cl"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s://orcid.org/0000-0002-7164-477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cleivac@udd.cl" TargetMode="External"/><Relationship Id="rId1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48F25C-5916-6C4A-B3A2-123C87EA9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31395</Words>
  <Characters>172678</Characters>
  <Application>Microsoft Office Word</Application>
  <DocSecurity>0</DocSecurity>
  <Lines>1438</Lines>
  <Paragraphs>407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Maca Leiva</dc:creator>
  <cp:keywords/>
  <dc:description/>
  <cp:lastModifiedBy>paulina araya castro</cp:lastModifiedBy>
  <cp:revision>2</cp:revision>
  <dcterms:created xsi:type="dcterms:W3CDTF">2023-07-31T19:10:00Z</dcterms:created>
  <dcterms:modified xsi:type="dcterms:W3CDTF">2023-07-31T19:10:00Z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b53d3d16-bec1-351b-be0b-f942b63bd424</vt:lpwstr>
  </property>
  <property fmtid="{D5CDD505-2E9C-101B-9397-08002B2CF9AE}" pid="4" name="Mendeley Citation Style_1">
    <vt:lpwstr>http://www.zotero.org/styles/plos-biology</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http://www.zotero.org/styles/ieee</vt:lpwstr>
  </property>
  <property fmtid="{D5CDD505-2E9C-101B-9397-08002B2CF9AE}" pid="12" name="Mendeley Recent Style Name 3_1">
    <vt:lpwstr>IEEE</vt:lpwstr>
  </property>
  <property fmtid="{D5CDD505-2E9C-101B-9397-08002B2CF9AE}" pid="13" name="Mendeley Recent Style Id 4_1">
    <vt:lpwstr>http://www.zotero.org/styles/journal-of-critical-care</vt:lpwstr>
  </property>
  <property fmtid="{D5CDD505-2E9C-101B-9397-08002B2CF9AE}" pid="14" name="Mendeley Recent Style Name 4_1">
    <vt:lpwstr>Journal of Critical Care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http://www.zotero.org/styles/plos-biology</vt:lpwstr>
  </property>
  <property fmtid="{D5CDD505-2E9C-101B-9397-08002B2CF9AE}" pid="22" name="Mendeley Recent Style Name 8_1">
    <vt:lpwstr>PLOS Biology</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