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50FD3" w:rsidRPr="00A57E28" w:rsidRDefault="00953819" w:rsidP="001C4C42">
      <w:pPr>
        <w:jc w:val="center"/>
        <w:rPr>
          <w:b/>
          <w:sz w:val="28"/>
          <w:lang w:val="en-GB"/>
        </w:rPr>
      </w:pPr>
      <w:r w:rsidRPr="00A57E28">
        <w:rPr>
          <w:b/>
          <w:sz w:val="28"/>
          <w:lang w:val="en-GB"/>
        </w:rPr>
        <w:t>Internal and External Factors Explaining Chilean Economic Activity</w:t>
      </w:r>
    </w:p>
    <w:p w:rsidR="00510C05" w:rsidRPr="00A57E28" w:rsidRDefault="00510C05">
      <w:pPr>
        <w:rPr>
          <w:lang w:val="en-GB"/>
        </w:rPr>
      </w:pPr>
    </w:p>
    <w:p w:rsidR="00510C05" w:rsidRPr="00A57E28" w:rsidRDefault="00510C05" w:rsidP="00510C05">
      <w:pPr>
        <w:jc w:val="center"/>
        <w:rPr>
          <w:b/>
          <w:lang w:val="en-GB"/>
        </w:rPr>
      </w:pPr>
      <w:r w:rsidRPr="00A57E28">
        <w:rPr>
          <w:b/>
          <w:lang w:val="en-GB"/>
        </w:rPr>
        <w:t>Guillermo I. Acuña</w:t>
      </w:r>
    </w:p>
    <w:p w:rsidR="00391BA3" w:rsidRPr="002359F7" w:rsidRDefault="002359F7" w:rsidP="00A10ACC">
      <w:pPr>
        <w:jc w:val="center"/>
      </w:pPr>
      <w:r w:rsidRPr="002359F7">
        <w:t>Centro de Estudios en Economía y Negocios</w:t>
      </w:r>
    </w:p>
    <w:p w:rsidR="00A10ACC" w:rsidRPr="00A57E28" w:rsidRDefault="002359F7" w:rsidP="00A10ACC">
      <w:pPr>
        <w:jc w:val="center"/>
        <w:rPr>
          <w:lang w:val="en-GB"/>
        </w:rPr>
      </w:pPr>
      <w:proofErr w:type="spellStart"/>
      <w:r>
        <w:rPr>
          <w:lang w:val="en-GB"/>
        </w:rPr>
        <w:t>Facultad</w:t>
      </w:r>
      <w:proofErr w:type="spellEnd"/>
      <w:r>
        <w:rPr>
          <w:lang w:val="en-GB"/>
        </w:rPr>
        <w:t xml:space="preserve"> de </w:t>
      </w:r>
      <w:proofErr w:type="spellStart"/>
      <w:r>
        <w:rPr>
          <w:lang w:val="en-GB"/>
        </w:rPr>
        <w:t>Economía</w:t>
      </w:r>
      <w:proofErr w:type="spellEnd"/>
      <w:r>
        <w:rPr>
          <w:lang w:val="en-GB"/>
        </w:rPr>
        <w:t xml:space="preserve"> y </w:t>
      </w:r>
      <w:proofErr w:type="spellStart"/>
      <w:r>
        <w:rPr>
          <w:lang w:val="en-GB"/>
        </w:rPr>
        <w:t>Negocios</w:t>
      </w:r>
      <w:proofErr w:type="spellEnd"/>
    </w:p>
    <w:p w:rsidR="00510C05" w:rsidRPr="002359F7" w:rsidRDefault="00510C05" w:rsidP="00A10ACC">
      <w:pPr>
        <w:jc w:val="center"/>
        <w:rPr>
          <w:lang w:val="en-US"/>
        </w:rPr>
      </w:pPr>
      <w:r w:rsidRPr="002359F7">
        <w:rPr>
          <w:lang w:val="en-US"/>
        </w:rPr>
        <w:t xml:space="preserve">Universidad del </w:t>
      </w:r>
      <w:proofErr w:type="spellStart"/>
      <w:r w:rsidRPr="002359F7">
        <w:rPr>
          <w:lang w:val="en-US"/>
        </w:rPr>
        <w:t>Desarrollo</w:t>
      </w:r>
      <w:proofErr w:type="spellEnd"/>
      <w:r w:rsidR="00A10ACC" w:rsidRPr="002359F7">
        <w:rPr>
          <w:lang w:val="en-US"/>
        </w:rPr>
        <w:t>, Chile</w:t>
      </w:r>
      <w:r w:rsidRPr="002359F7">
        <w:rPr>
          <w:lang w:val="en-US"/>
        </w:rPr>
        <w:t xml:space="preserve"> </w:t>
      </w:r>
    </w:p>
    <w:p w:rsidR="00510C05" w:rsidRPr="00EA779A" w:rsidRDefault="00510C05" w:rsidP="00510C05">
      <w:pPr>
        <w:jc w:val="center"/>
      </w:pPr>
      <w:r w:rsidRPr="00EA779A">
        <w:t xml:space="preserve">Email: </w:t>
      </w:r>
      <w:hyperlink r:id="rId8" w:history="1">
        <w:r w:rsidRPr="00EA779A">
          <w:rPr>
            <w:rStyle w:val="Hipervnculo"/>
          </w:rPr>
          <w:t>guacunas@udd.cl</w:t>
        </w:r>
      </w:hyperlink>
    </w:p>
    <w:p w:rsidR="00510C05" w:rsidRDefault="00510C05" w:rsidP="00510C05">
      <w:pPr>
        <w:jc w:val="center"/>
      </w:pPr>
    </w:p>
    <w:p w:rsidR="00052FAA" w:rsidRPr="00AB7BCE" w:rsidRDefault="00052FAA" w:rsidP="00510C05">
      <w:pPr>
        <w:jc w:val="center"/>
        <w:rPr>
          <w:lang w:val="en-GB"/>
        </w:rPr>
      </w:pPr>
      <w:r w:rsidRPr="00AB7BCE">
        <w:rPr>
          <w:lang w:val="en-GB"/>
        </w:rPr>
        <w:t>Working Paper – July 2017</w:t>
      </w:r>
    </w:p>
    <w:p w:rsidR="00052FAA" w:rsidRPr="00EA779A" w:rsidRDefault="00052FAA" w:rsidP="00510C05">
      <w:pPr>
        <w:jc w:val="center"/>
      </w:pPr>
    </w:p>
    <w:p w:rsidR="00A57E28" w:rsidRPr="00A57E28" w:rsidRDefault="00A57E28" w:rsidP="00510C05">
      <w:pPr>
        <w:jc w:val="center"/>
        <w:rPr>
          <w:b/>
          <w:lang w:val="en-GB"/>
        </w:rPr>
      </w:pPr>
      <w:r w:rsidRPr="00A57E28">
        <w:rPr>
          <w:b/>
          <w:lang w:val="en-GB"/>
        </w:rPr>
        <w:t>Abstract</w:t>
      </w:r>
    </w:p>
    <w:tbl>
      <w:tblPr>
        <w:tblStyle w:val="Tablaconcuadrcula"/>
        <w:tblW w:w="0" w:type="auto"/>
        <w:jc w:val="center"/>
        <w:tblLook w:val="04A0" w:firstRow="1" w:lastRow="0" w:firstColumn="1" w:lastColumn="0" w:noHBand="0" w:noVBand="1"/>
      </w:tblPr>
      <w:tblGrid>
        <w:gridCol w:w="5382"/>
      </w:tblGrid>
      <w:tr w:rsidR="00A57E28" w:rsidRPr="002359F7" w:rsidTr="00B23FF3">
        <w:trPr>
          <w:jc w:val="center"/>
        </w:trPr>
        <w:tc>
          <w:tcPr>
            <w:tcW w:w="5382" w:type="dxa"/>
            <w:tcBorders>
              <w:top w:val="nil"/>
              <w:left w:val="nil"/>
              <w:bottom w:val="nil"/>
              <w:right w:val="nil"/>
            </w:tcBorders>
          </w:tcPr>
          <w:p w:rsidR="00A57E28" w:rsidRPr="00A57E28" w:rsidRDefault="00A57E28" w:rsidP="00B23FF3">
            <w:pPr>
              <w:jc w:val="both"/>
              <w:rPr>
                <w:lang w:val="en-GB"/>
              </w:rPr>
            </w:pPr>
            <w:r>
              <w:rPr>
                <w:lang w:val="en-GB"/>
              </w:rPr>
              <w:t xml:space="preserve">The objective of this paper is to find which factors were the most important to explain the contraction of the economic activity in Chile during the last three years. The results show that: (1) the fall in the rate of growth of the economy is explained by external factors, like the end of the mining boom; (2) the </w:t>
            </w:r>
            <w:r w:rsidR="00391BA3">
              <w:rPr>
                <w:lang w:val="en-GB"/>
              </w:rPr>
              <w:t>subsequent</w:t>
            </w:r>
            <w:r w:rsidR="00B23FF3">
              <w:rPr>
                <w:lang w:val="en-GB"/>
              </w:rPr>
              <w:t xml:space="preserve"> and persistent</w:t>
            </w:r>
            <w:r w:rsidR="00391BA3">
              <w:rPr>
                <w:lang w:val="en-GB"/>
              </w:rPr>
              <w:t>ly</w:t>
            </w:r>
            <w:r w:rsidR="00B23FF3">
              <w:rPr>
                <w:lang w:val="en-GB"/>
              </w:rPr>
              <w:t xml:space="preserve"> </w:t>
            </w:r>
            <w:r>
              <w:rPr>
                <w:lang w:val="en-GB"/>
              </w:rPr>
              <w:t xml:space="preserve">low </w:t>
            </w:r>
            <w:r w:rsidR="00391BA3">
              <w:rPr>
                <w:lang w:val="en-GB"/>
              </w:rPr>
              <w:t xml:space="preserve">growth rates are </w:t>
            </w:r>
            <w:r w:rsidR="00B23FF3">
              <w:rPr>
                <w:lang w:val="en-GB"/>
              </w:rPr>
              <w:t>explained by a combination of internal and external factors, where the internal factors were the most important.</w:t>
            </w:r>
          </w:p>
        </w:tc>
      </w:tr>
    </w:tbl>
    <w:p w:rsidR="00A57E28" w:rsidRPr="00A57E28" w:rsidRDefault="00A57E28" w:rsidP="00510C05">
      <w:pPr>
        <w:jc w:val="center"/>
        <w:rPr>
          <w:lang w:val="en-GB"/>
        </w:rPr>
      </w:pPr>
    </w:p>
    <w:p w:rsidR="00510C05" w:rsidRPr="00A57E28" w:rsidRDefault="00510C05" w:rsidP="003D42FD">
      <w:pPr>
        <w:pStyle w:val="Ttulo1"/>
        <w:numPr>
          <w:ilvl w:val="0"/>
          <w:numId w:val="1"/>
        </w:numPr>
        <w:rPr>
          <w:lang w:val="en-GB"/>
        </w:rPr>
      </w:pPr>
      <w:r w:rsidRPr="00A57E28">
        <w:rPr>
          <w:lang w:val="en-GB"/>
        </w:rPr>
        <w:t>Introduc</w:t>
      </w:r>
      <w:r w:rsidR="00A10ACC" w:rsidRPr="00A57E28">
        <w:rPr>
          <w:lang w:val="en-GB"/>
        </w:rPr>
        <w:t>tion</w:t>
      </w:r>
    </w:p>
    <w:p w:rsidR="00510C05" w:rsidRPr="00A10ACC" w:rsidRDefault="00510C05" w:rsidP="00510C05">
      <w:pPr>
        <w:jc w:val="both"/>
        <w:rPr>
          <w:lang w:val="en-GB"/>
        </w:rPr>
      </w:pPr>
    </w:p>
    <w:p w:rsidR="00A10ACC" w:rsidRPr="00A10ACC" w:rsidRDefault="009F1014" w:rsidP="00510C05">
      <w:pPr>
        <w:jc w:val="both"/>
        <w:rPr>
          <w:lang w:val="en-GB"/>
        </w:rPr>
      </w:pPr>
      <w:r>
        <w:rPr>
          <w:lang w:val="en-GB"/>
        </w:rPr>
        <w:t xml:space="preserve">In </w:t>
      </w:r>
      <w:r w:rsidR="00937E20">
        <w:rPr>
          <w:lang w:val="en-GB"/>
        </w:rPr>
        <w:t xml:space="preserve">the present </w:t>
      </w:r>
      <w:r w:rsidR="00556535">
        <w:rPr>
          <w:lang w:val="en-GB"/>
        </w:rPr>
        <w:t>paper,</w:t>
      </w:r>
      <w:r w:rsidR="00A10ACC" w:rsidRPr="00A10ACC">
        <w:rPr>
          <w:lang w:val="en-GB"/>
        </w:rPr>
        <w:t xml:space="preserve"> I study the effect of </w:t>
      </w:r>
      <w:r w:rsidR="00556535">
        <w:rPr>
          <w:lang w:val="en-GB"/>
        </w:rPr>
        <w:t xml:space="preserve">the </w:t>
      </w:r>
      <w:r w:rsidR="00A10ACC" w:rsidRPr="00A10ACC">
        <w:rPr>
          <w:lang w:val="en-GB"/>
        </w:rPr>
        <w:t xml:space="preserve">internal and external factors </w:t>
      </w:r>
      <w:r w:rsidR="00556535">
        <w:rPr>
          <w:lang w:val="en-GB"/>
        </w:rPr>
        <w:t xml:space="preserve">affecting </w:t>
      </w:r>
      <w:r w:rsidR="00A10ACC" w:rsidRPr="00A10ACC">
        <w:rPr>
          <w:lang w:val="en-GB"/>
        </w:rPr>
        <w:t xml:space="preserve">economic activity in Chile during the period 2007-2016. </w:t>
      </w:r>
      <w:proofErr w:type="gramStart"/>
      <w:r w:rsidR="00A10ACC" w:rsidRPr="00A10ACC">
        <w:rPr>
          <w:lang w:val="en-GB"/>
        </w:rPr>
        <w:t>In particular, I</w:t>
      </w:r>
      <w:proofErr w:type="gramEnd"/>
      <w:r w:rsidR="00A10ACC" w:rsidRPr="00A10ACC">
        <w:rPr>
          <w:lang w:val="en-GB"/>
        </w:rPr>
        <w:t xml:space="preserve"> want to identify which factors are the most important </w:t>
      </w:r>
      <w:r w:rsidR="00556535">
        <w:rPr>
          <w:lang w:val="en-GB"/>
        </w:rPr>
        <w:t xml:space="preserve">to explain </w:t>
      </w:r>
      <w:r w:rsidR="00A10ACC" w:rsidRPr="00A10ACC">
        <w:rPr>
          <w:lang w:val="en-GB"/>
        </w:rPr>
        <w:t>the contraction in economic activity during the last three years.</w:t>
      </w:r>
    </w:p>
    <w:p w:rsidR="00A10ACC" w:rsidRPr="00A10ACC" w:rsidRDefault="00A10ACC" w:rsidP="00510C05">
      <w:pPr>
        <w:jc w:val="both"/>
        <w:rPr>
          <w:lang w:val="en-GB"/>
        </w:rPr>
      </w:pPr>
    </w:p>
    <w:p w:rsidR="006C76A0" w:rsidRDefault="00A10ACC" w:rsidP="00510C05">
      <w:pPr>
        <w:jc w:val="both"/>
        <w:rPr>
          <w:lang w:val="en-GB"/>
        </w:rPr>
      </w:pPr>
      <w:r w:rsidRPr="00A10ACC">
        <w:rPr>
          <w:lang w:val="en-GB"/>
        </w:rPr>
        <w:t>I use two methodological approaches to analyse the data</w:t>
      </w:r>
      <w:r>
        <w:rPr>
          <w:lang w:val="en-GB"/>
        </w:rPr>
        <w:t xml:space="preserve">. </w:t>
      </w:r>
      <w:r w:rsidRPr="00A10ACC">
        <w:rPr>
          <w:lang w:val="en-GB"/>
        </w:rPr>
        <w:t xml:space="preserve">The first one is inspired on the work of Elías </w:t>
      </w:r>
      <w:proofErr w:type="spellStart"/>
      <w:r w:rsidRPr="00A10ACC">
        <w:rPr>
          <w:lang w:val="en-GB"/>
        </w:rPr>
        <w:t>Albagli</w:t>
      </w:r>
      <w:proofErr w:type="spellEnd"/>
      <w:r w:rsidRPr="00A10ACC">
        <w:rPr>
          <w:lang w:val="en-GB"/>
        </w:rPr>
        <w:t xml:space="preserve"> and Emiliano </w:t>
      </w:r>
      <w:proofErr w:type="spellStart"/>
      <w:r w:rsidRPr="00A10ACC">
        <w:rPr>
          <w:lang w:val="en-GB"/>
        </w:rPr>
        <w:t>Luttini</w:t>
      </w:r>
      <w:proofErr w:type="spellEnd"/>
      <w:r w:rsidRPr="00A10ACC">
        <w:rPr>
          <w:lang w:val="en-GB"/>
        </w:rPr>
        <w:t xml:space="preserve">: </w:t>
      </w:r>
      <w:proofErr w:type="spellStart"/>
      <w:r w:rsidRPr="00A10ACC">
        <w:rPr>
          <w:i/>
          <w:lang w:val="en-GB"/>
        </w:rPr>
        <w:t>Confianza</w:t>
      </w:r>
      <w:proofErr w:type="spellEnd"/>
      <w:r w:rsidRPr="00A10ACC">
        <w:rPr>
          <w:i/>
          <w:lang w:val="en-GB"/>
        </w:rPr>
        <w:t xml:space="preserve">, </w:t>
      </w:r>
      <w:proofErr w:type="spellStart"/>
      <w:r w:rsidRPr="00A10ACC">
        <w:rPr>
          <w:i/>
          <w:lang w:val="en-GB"/>
        </w:rPr>
        <w:t>Incertidumbre</w:t>
      </w:r>
      <w:proofErr w:type="spellEnd"/>
      <w:r w:rsidRPr="00A10ACC">
        <w:rPr>
          <w:i/>
          <w:lang w:val="en-GB"/>
        </w:rPr>
        <w:t xml:space="preserve"> e </w:t>
      </w:r>
      <w:proofErr w:type="spellStart"/>
      <w:r w:rsidRPr="00A10ACC">
        <w:rPr>
          <w:i/>
          <w:lang w:val="en-GB"/>
        </w:rPr>
        <w:t>Inversión</w:t>
      </w:r>
      <w:proofErr w:type="spellEnd"/>
      <w:r w:rsidRPr="00A10ACC">
        <w:rPr>
          <w:i/>
          <w:lang w:val="en-GB"/>
        </w:rPr>
        <w:t xml:space="preserve"> </w:t>
      </w:r>
      <w:proofErr w:type="spellStart"/>
      <w:r w:rsidRPr="00A10ACC">
        <w:rPr>
          <w:i/>
          <w:lang w:val="en-GB"/>
        </w:rPr>
        <w:t>en</w:t>
      </w:r>
      <w:proofErr w:type="spellEnd"/>
      <w:r w:rsidRPr="00A10ACC">
        <w:rPr>
          <w:i/>
          <w:lang w:val="en-GB"/>
        </w:rPr>
        <w:t xml:space="preserve"> Chile: </w:t>
      </w:r>
      <w:proofErr w:type="spellStart"/>
      <w:r w:rsidRPr="00A10ACC">
        <w:rPr>
          <w:i/>
          <w:lang w:val="en-GB"/>
        </w:rPr>
        <w:t>Evidencia</w:t>
      </w:r>
      <w:proofErr w:type="spellEnd"/>
      <w:r w:rsidRPr="00A10ACC">
        <w:rPr>
          <w:i/>
          <w:lang w:val="en-GB"/>
        </w:rPr>
        <w:t xml:space="preserve"> Macro </w:t>
      </w:r>
      <w:proofErr w:type="gramStart"/>
      <w:r w:rsidRPr="00A10ACC">
        <w:rPr>
          <w:i/>
          <w:lang w:val="en-GB"/>
        </w:rPr>
        <w:t>y</w:t>
      </w:r>
      <w:proofErr w:type="gramEnd"/>
      <w:r w:rsidRPr="00A10ACC">
        <w:rPr>
          <w:i/>
          <w:lang w:val="en-GB"/>
        </w:rPr>
        <w:t xml:space="preserve"> Micro de la </w:t>
      </w:r>
      <w:proofErr w:type="spellStart"/>
      <w:r w:rsidRPr="00A10ACC">
        <w:rPr>
          <w:i/>
          <w:lang w:val="en-GB"/>
        </w:rPr>
        <w:t>Encuesta</w:t>
      </w:r>
      <w:proofErr w:type="spellEnd"/>
      <w:r w:rsidRPr="00A10ACC">
        <w:rPr>
          <w:i/>
          <w:lang w:val="en-GB"/>
        </w:rPr>
        <w:t xml:space="preserve"> IMCE</w:t>
      </w:r>
      <w:r>
        <w:rPr>
          <w:lang w:val="en-GB"/>
        </w:rPr>
        <w:t xml:space="preserve">, since I use the </w:t>
      </w:r>
      <w:r w:rsidR="00556535">
        <w:rPr>
          <w:lang w:val="en-GB"/>
        </w:rPr>
        <w:t xml:space="preserve">same </w:t>
      </w:r>
      <w:r>
        <w:rPr>
          <w:lang w:val="en-GB"/>
        </w:rPr>
        <w:t xml:space="preserve">Structural VAR methodology (SVAR) to analyse the dynamics of the variables of interest. </w:t>
      </w:r>
    </w:p>
    <w:p w:rsidR="006C76A0" w:rsidRDefault="006C76A0" w:rsidP="00510C05">
      <w:pPr>
        <w:jc w:val="both"/>
        <w:rPr>
          <w:lang w:val="en-GB"/>
        </w:rPr>
      </w:pPr>
    </w:p>
    <w:p w:rsidR="00A57E28" w:rsidRPr="00A57E28" w:rsidRDefault="00A10ACC" w:rsidP="001A1413">
      <w:pPr>
        <w:jc w:val="both"/>
        <w:rPr>
          <w:lang w:val="en-GB"/>
        </w:rPr>
      </w:pPr>
      <w:r>
        <w:rPr>
          <w:lang w:val="en-GB"/>
        </w:rPr>
        <w:t xml:space="preserve">I am interested in studying the effect of internal and external factors on overall economic activity, using </w:t>
      </w:r>
      <w:r w:rsidR="00556535">
        <w:rPr>
          <w:lang w:val="en-GB"/>
        </w:rPr>
        <w:t xml:space="preserve">variables </w:t>
      </w:r>
      <w:r>
        <w:rPr>
          <w:lang w:val="en-GB"/>
        </w:rPr>
        <w:t>taken from the IPECO</w:t>
      </w:r>
      <w:r w:rsidR="00B23FF3">
        <w:rPr>
          <w:rStyle w:val="Refdenotaalpie"/>
          <w:lang w:val="en-GB"/>
        </w:rPr>
        <w:footnoteReference w:id="1"/>
      </w:r>
      <w:r>
        <w:rPr>
          <w:lang w:val="en-GB"/>
        </w:rPr>
        <w:t xml:space="preserve"> survey as measures of </w:t>
      </w:r>
      <w:r w:rsidR="00556535">
        <w:rPr>
          <w:lang w:val="en-GB"/>
        </w:rPr>
        <w:t xml:space="preserve">the </w:t>
      </w:r>
      <w:r>
        <w:rPr>
          <w:lang w:val="en-GB"/>
        </w:rPr>
        <w:t>economic agents’ confidence and</w:t>
      </w:r>
      <w:r w:rsidR="00556535">
        <w:rPr>
          <w:lang w:val="en-GB"/>
        </w:rPr>
        <w:t xml:space="preserve"> uncertainty (internal factors)</w:t>
      </w:r>
      <w:r w:rsidR="006C76A0">
        <w:rPr>
          <w:lang w:val="en-GB"/>
        </w:rPr>
        <w:t xml:space="preserve">. </w:t>
      </w:r>
      <w:r w:rsidRPr="00A57E28">
        <w:rPr>
          <w:lang w:val="en-GB"/>
        </w:rPr>
        <w:t xml:space="preserve">I think this data is the best suited to measure confidence and uncertainty, since the survey measures the perceptions of Chileans in general, without distinguish by the occupation of the respondents, </w:t>
      </w:r>
      <w:r w:rsidR="00A57E28" w:rsidRPr="00A57E28">
        <w:rPr>
          <w:lang w:val="en-GB"/>
        </w:rPr>
        <w:t xml:space="preserve">unlike the </w:t>
      </w:r>
      <w:r w:rsidR="00556535">
        <w:rPr>
          <w:lang w:val="en-GB"/>
        </w:rPr>
        <w:t>producers’</w:t>
      </w:r>
      <w:r w:rsidR="00A57E28" w:rsidRPr="00A57E28">
        <w:rPr>
          <w:lang w:val="en-GB"/>
        </w:rPr>
        <w:t xml:space="preserve"> surveys, which are focused in business managers from a small group of economic sectors. </w:t>
      </w:r>
    </w:p>
    <w:p w:rsidR="00A57E28" w:rsidRPr="00A57E28" w:rsidRDefault="00A57E28" w:rsidP="001A1413">
      <w:pPr>
        <w:jc w:val="both"/>
        <w:rPr>
          <w:lang w:val="en-GB"/>
        </w:rPr>
      </w:pPr>
    </w:p>
    <w:p w:rsidR="00A57E28" w:rsidRDefault="00182C2E" w:rsidP="001A1413">
      <w:pPr>
        <w:jc w:val="both"/>
        <w:rPr>
          <w:lang w:val="en-GB"/>
        </w:rPr>
      </w:pPr>
      <w:r>
        <w:rPr>
          <w:lang w:val="en-GB"/>
        </w:rPr>
        <w:t xml:space="preserve">Besides, I use a second </w:t>
      </w:r>
      <w:r w:rsidR="00A57E28" w:rsidRPr="00A57E28">
        <w:rPr>
          <w:lang w:val="en-GB"/>
        </w:rPr>
        <w:t>methodological approach</w:t>
      </w:r>
      <w:r>
        <w:rPr>
          <w:lang w:val="en-GB"/>
        </w:rPr>
        <w:t>, that</w:t>
      </w:r>
      <w:r w:rsidR="00A57E28" w:rsidRPr="00A57E28">
        <w:rPr>
          <w:lang w:val="en-GB"/>
        </w:rPr>
        <w:t xml:space="preserve"> </w:t>
      </w:r>
      <w:r w:rsidR="00A57E28">
        <w:rPr>
          <w:lang w:val="en-GB"/>
        </w:rPr>
        <w:t>also use</w:t>
      </w:r>
      <w:r>
        <w:rPr>
          <w:lang w:val="en-GB"/>
        </w:rPr>
        <w:t>s</w:t>
      </w:r>
      <w:r w:rsidR="00A57E28">
        <w:rPr>
          <w:lang w:val="en-GB"/>
        </w:rPr>
        <w:t xml:space="preserve"> </w:t>
      </w:r>
      <w:r>
        <w:rPr>
          <w:lang w:val="en-GB"/>
        </w:rPr>
        <w:t xml:space="preserve">a </w:t>
      </w:r>
      <w:r w:rsidR="00A57E28">
        <w:rPr>
          <w:lang w:val="en-GB"/>
        </w:rPr>
        <w:t xml:space="preserve">VAR model, but is focused in the study of the dynamics of the coefficients of the model, </w:t>
      </w:r>
      <w:r w:rsidR="00A57E28" w:rsidRPr="00A57E28">
        <w:rPr>
          <w:lang w:val="en-GB"/>
        </w:rPr>
        <w:t>through</w:t>
      </w:r>
      <w:r w:rsidR="00A57E28">
        <w:rPr>
          <w:lang w:val="en-GB"/>
        </w:rPr>
        <w:t xml:space="preserve"> rolling windows estimates. In this way, I want to find which variables have the greater effect on the rate of growth of the economic activity in each consecutive sub-sample. </w:t>
      </w:r>
    </w:p>
    <w:p w:rsidR="00A57E28" w:rsidRDefault="00A57E28" w:rsidP="001A1413">
      <w:pPr>
        <w:jc w:val="both"/>
        <w:rPr>
          <w:lang w:val="en-GB"/>
        </w:rPr>
      </w:pPr>
    </w:p>
    <w:p w:rsidR="00A57E28" w:rsidRDefault="00A57E28" w:rsidP="00A57E28">
      <w:pPr>
        <w:jc w:val="both"/>
        <w:rPr>
          <w:lang w:val="en-GB"/>
        </w:rPr>
      </w:pPr>
      <w:r>
        <w:rPr>
          <w:lang w:val="en-GB"/>
        </w:rPr>
        <w:lastRenderedPageBreak/>
        <w:t xml:space="preserve">The results show that the decrease in the rate of growth of the economy is explained by external factors, probably because </w:t>
      </w:r>
      <w:r w:rsidR="00182C2E">
        <w:rPr>
          <w:lang w:val="en-GB"/>
        </w:rPr>
        <w:t xml:space="preserve">of </w:t>
      </w:r>
      <w:r>
        <w:rPr>
          <w:lang w:val="en-GB"/>
        </w:rPr>
        <w:t xml:space="preserve">the end of the mining boom and the low price of cooper, the main economic activity of Chile, but, afterwards, the slow rate of growth is explained largely by internal factors. </w:t>
      </w:r>
    </w:p>
    <w:p w:rsidR="00A57E28" w:rsidRDefault="00A57E28" w:rsidP="00A57E28">
      <w:pPr>
        <w:jc w:val="both"/>
        <w:rPr>
          <w:lang w:val="en-GB"/>
        </w:rPr>
      </w:pPr>
    </w:p>
    <w:p w:rsidR="00A57E28" w:rsidRDefault="00A57E28" w:rsidP="00A57E28">
      <w:pPr>
        <w:jc w:val="both"/>
        <w:rPr>
          <w:lang w:val="en-GB"/>
        </w:rPr>
      </w:pPr>
      <w:r>
        <w:rPr>
          <w:lang w:val="en-GB"/>
        </w:rPr>
        <w:t>Additionally, I study the factors explaining the confidence of economic agents in Chile. The results show that the confidence dynamics is explained mainly by internal factors, while the external factors have been important only in short periods of time.</w:t>
      </w:r>
    </w:p>
    <w:p w:rsidR="00182C2E" w:rsidRDefault="00182C2E" w:rsidP="00A57E28">
      <w:pPr>
        <w:jc w:val="both"/>
        <w:rPr>
          <w:lang w:val="en-GB"/>
        </w:rPr>
      </w:pPr>
    </w:p>
    <w:p w:rsidR="00182C2E" w:rsidRDefault="00182C2E" w:rsidP="00A57E28">
      <w:pPr>
        <w:jc w:val="both"/>
        <w:rPr>
          <w:lang w:val="en-GB"/>
        </w:rPr>
      </w:pPr>
      <w:r>
        <w:rPr>
          <w:lang w:val="en-GB"/>
        </w:rPr>
        <w:t xml:space="preserve">The </w:t>
      </w:r>
      <w:r w:rsidR="00937E20">
        <w:rPr>
          <w:lang w:val="en-GB"/>
        </w:rPr>
        <w:t xml:space="preserve">following section describes the variables and the sample of the study. Section 3 presents the results of the analysis of the internal and external factors affecting Chilean economic activity. Section 4 presents the analysis of the factors affecting confidence in the same </w:t>
      </w:r>
      <w:proofErr w:type="gramStart"/>
      <w:r w:rsidR="00937E20">
        <w:rPr>
          <w:lang w:val="en-GB"/>
        </w:rPr>
        <w:t>period of time</w:t>
      </w:r>
      <w:proofErr w:type="gramEnd"/>
      <w:r w:rsidR="00937E20">
        <w:rPr>
          <w:lang w:val="en-GB"/>
        </w:rPr>
        <w:t>. Finally, section 5 summarize the main conclusions of the study.</w:t>
      </w:r>
    </w:p>
    <w:p w:rsidR="00937E20" w:rsidRDefault="00937E20" w:rsidP="00A57E28">
      <w:pPr>
        <w:jc w:val="both"/>
        <w:rPr>
          <w:lang w:val="en-GB"/>
        </w:rPr>
      </w:pPr>
    </w:p>
    <w:p w:rsidR="003D42FD" w:rsidRPr="00A10ACC" w:rsidRDefault="00F154DF" w:rsidP="003D42FD">
      <w:pPr>
        <w:pStyle w:val="Ttulo1"/>
        <w:numPr>
          <w:ilvl w:val="0"/>
          <w:numId w:val="1"/>
        </w:numPr>
        <w:rPr>
          <w:lang w:val="en-GB"/>
        </w:rPr>
      </w:pPr>
      <w:r w:rsidRPr="00A10ACC">
        <w:rPr>
          <w:lang w:val="en-GB"/>
        </w:rPr>
        <w:t xml:space="preserve">Variables </w:t>
      </w:r>
    </w:p>
    <w:p w:rsidR="003D42FD" w:rsidRPr="00A10ACC" w:rsidRDefault="003D42FD" w:rsidP="00510C05">
      <w:pPr>
        <w:jc w:val="both"/>
        <w:rPr>
          <w:lang w:val="en-GB"/>
        </w:rPr>
      </w:pPr>
    </w:p>
    <w:p w:rsidR="003D42FD" w:rsidRPr="00A10ACC" w:rsidRDefault="00A57E28" w:rsidP="003D42FD">
      <w:pPr>
        <w:pStyle w:val="Ttulo2"/>
        <w:numPr>
          <w:ilvl w:val="1"/>
          <w:numId w:val="3"/>
        </w:numPr>
        <w:rPr>
          <w:lang w:val="en-GB"/>
        </w:rPr>
      </w:pPr>
      <w:r>
        <w:rPr>
          <w:lang w:val="en-GB"/>
        </w:rPr>
        <w:t>Internal factors</w:t>
      </w:r>
    </w:p>
    <w:p w:rsidR="003D42FD" w:rsidRDefault="003D42FD" w:rsidP="00510C05">
      <w:pPr>
        <w:jc w:val="both"/>
        <w:rPr>
          <w:lang w:val="en-GB"/>
        </w:rPr>
      </w:pPr>
    </w:p>
    <w:p w:rsidR="00EA779A" w:rsidRDefault="00EA779A" w:rsidP="00510C05">
      <w:pPr>
        <w:jc w:val="both"/>
        <w:rPr>
          <w:lang w:val="en-GB"/>
        </w:rPr>
      </w:pPr>
      <w:r>
        <w:rPr>
          <w:lang w:val="en-GB"/>
        </w:rPr>
        <w:t xml:space="preserve">The internal factors </w:t>
      </w:r>
      <w:r w:rsidR="0081285C">
        <w:rPr>
          <w:lang w:val="en-GB"/>
        </w:rPr>
        <w:t xml:space="preserve">(domestic variable) are confidence, uncertainty and </w:t>
      </w:r>
      <w:r w:rsidR="00705742">
        <w:rPr>
          <w:lang w:val="en-GB"/>
        </w:rPr>
        <w:t xml:space="preserve">the own shocks to </w:t>
      </w:r>
      <w:r w:rsidR="0081285C">
        <w:rPr>
          <w:lang w:val="en-GB"/>
        </w:rPr>
        <w:t>economic activity. For measuring confidence and uncertainty I use data taken from the IPECO survey, while economic activity is measured by the IMACEC</w:t>
      </w:r>
      <w:r w:rsidR="0081285C">
        <w:rPr>
          <w:rStyle w:val="Refdenotaalpie"/>
          <w:lang w:val="en-GB"/>
        </w:rPr>
        <w:footnoteReference w:id="2"/>
      </w:r>
      <w:r w:rsidR="0081285C">
        <w:rPr>
          <w:lang w:val="en-GB"/>
        </w:rPr>
        <w:t xml:space="preserve">. </w:t>
      </w:r>
    </w:p>
    <w:p w:rsidR="0081285C" w:rsidRDefault="0081285C" w:rsidP="00510C05">
      <w:pPr>
        <w:jc w:val="both"/>
        <w:rPr>
          <w:lang w:val="en-GB"/>
        </w:rPr>
      </w:pPr>
    </w:p>
    <w:p w:rsidR="0081285C" w:rsidRDefault="0081285C" w:rsidP="00510C05">
      <w:pPr>
        <w:jc w:val="both"/>
        <w:rPr>
          <w:lang w:val="en-GB"/>
        </w:rPr>
      </w:pPr>
      <w:r>
        <w:rPr>
          <w:lang w:val="en-GB"/>
        </w:rPr>
        <w:t xml:space="preserve">As </w:t>
      </w:r>
      <w:proofErr w:type="spellStart"/>
      <w:r>
        <w:rPr>
          <w:lang w:val="en-GB"/>
        </w:rPr>
        <w:t>Albagli</w:t>
      </w:r>
      <w:proofErr w:type="spellEnd"/>
      <w:r>
        <w:rPr>
          <w:lang w:val="en-GB"/>
        </w:rPr>
        <w:t xml:space="preserve"> and </w:t>
      </w:r>
      <w:proofErr w:type="spellStart"/>
      <w:r>
        <w:rPr>
          <w:lang w:val="en-GB"/>
        </w:rPr>
        <w:t>Luttini</w:t>
      </w:r>
      <w:proofErr w:type="spellEnd"/>
      <w:r>
        <w:rPr>
          <w:lang w:val="en-GB"/>
        </w:rPr>
        <w:t xml:space="preserve"> (2015) point out, </w:t>
      </w:r>
      <w:r w:rsidRPr="0081285C">
        <w:rPr>
          <w:b/>
          <w:lang w:val="en-GB"/>
        </w:rPr>
        <w:t>confidence</w:t>
      </w:r>
      <w:r>
        <w:rPr>
          <w:lang w:val="en-GB"/>
        </w:rPr>
        <w:t xml:space="preserve"> is the expected </w:t>
      </w:r>
      <w:r w:rsidR="009D39F5">
        <w:rPr>
          <w:lang w:val="en-GB"/>
        </w:rPr>
        <w:t xml:space="preserve">scenario for the </w:t>
      </w:r>
      <w:r>
        <w:rPr>
          <w:lang w:val="en-GB"/>
        </w:rPr>
        <w:t>future evolution of economic activity, according to the respondents’ opinion. These variables are: expected personal economic situation (</w:t>
      </w:r>
      <m:oMath>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1</m:t>
            </m:r>
          </m:sub>
        </m:sSub>
      </m:oMath>
      <w:r>
        <w:rPr>
          <w:lang w:val="en-GB"/>
        </w:rPr>
        <w:t>) and expected unemployment (</w:t>
      </w:r>
      <m:oMath>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2</m:t>
            </m:r>
          </m:sub>
        </m:sSub>
      </m:oMath>
      <w:r>
        <w:rPr>
          <w:lang w:val="en-GB"/>
        </w:rPr>
        <w:t>). T</w:t>
      </w:r>
      <w:r w:rsidR="00705742">
        <w:rPr>
          <w:lang w:val="en-GB"/>
        </w:rPr>
        <w:t>o produce the confidence index, t</w:t>
      </w:r>
      <w:r>
        <w:rPr>
          <w:lang w:val="en-GB"/>
        </w:rPr>
        <w:t>he percentage of optimistic answers of the sum of optimistic and pessimistic answers is obtained for each variable, and then the percentages are averaged</w:t>
      </w:r>
      <w:r w:rsidR="00705742">
        <w:rPr>
          <w:lang w:val="en-GB"/>
        </w:rPr>
        <w:t>:</w:t>
      </w:r>
    </w:p>
    <w:p w:rsidR="0081285C" w:rsidRDefault="0081285C" w:rsidP="00510C05">
      <w:pPr>
        <w:jc w:val="both"/>
        <w:rPr>
          <w:lang w:val="en-GB"/>
        </w:rPr>
      </w:pPr>
    </w:p>
    <w:p w:rsidR="0081285C" w:rsidRDefault="0081285C" w:rsidP="00510C05">
      <w:pPr>
        <w:jc w:val="both"/>
        <w:rPr>
          <w:lang w:val="en-GB"/>
        </w:rPr>
      </w:pPr>
      <m:oMathPara>
        <m:oMath>
          <m:r>
            <w:rPr>
              <w:rFonts w:ascii="Cambria Math" w:hAnsi="Cambria Math"/>
              <w:lang w:val="en-GB"/>
            </w:rPr>
            <m:t>Confidence=</m:t>
          </m:r>
          <m:f>
            <m:fPr>
              <m:ctrlPr>
                <w:rPr>
                  <w:rFonts w:ascii="Cambria Math" w:hAnsi="Cambria Math"/>
                  <w:i/>
                  <w:lang w:val="en-GB"/>
                </w:rPr>
              </m:ctrlPr>
            </m:fPr>
            <m:num>
              <m:r>
                <w:rPr>
                  <w:rFonts w:ascii="Cambria Math" w:hAnsi="Cambria Math"/>
                  <w:lang w:val="en-GB"/>
                </w:rPr>
                <m:t>1</m:t>
              </m:r>
            </m:num>
            <m:den>
              <m:r>
                <w:rPr>
                  <w:rFonts w:ascii="Cambria Math" w:hAnsi="Cambria Math"/>
                  <w:lang w:val="en-GB"/>
                </w:rPr>
                <m:t>2</m:t>
              </m:r>
            </m:den>
          </m:f>
          <m:nary>
            <m:naryPr>
              <m:chr m:val="∑"/>
              <m:limLoc m:val="subSup"/>
              <m:ctrlPr>
                <w:rPr>
                  <w:rFonts w:ascii="Cambria Math" w:hAnsi="Cambria Math"/>
                  <w:i/>
                  <w:lang w:val="en-GB"/>
                </w:rPr>
              </m:ctrlPr>
            </m:naryPr>
            <m:sub>
              <m:r>
                <w:rPr>
                  <w:rFonts w:ascii="Cambria Math" w:hAnsi="Cambria Math"/>
                  <w:lang w:val="en-GB"/>
                </w:rPr>
                <m:t>i=1</m:t>
              </m:r>
            </m:sub>
            <m:sup>
              <m:r>
                <w:rPr>
                  <w:rFonts w:ascii="Cambria Math" w:hAnsi="Cambria Math"/>
                  <w:lang w:val="en-GB"/>
                </w:rPr>
                <m:t>2</m:t>
              </m:r>
            </m:sup>
            <m:e>
              <m:f>
                <m:fPr>
                  <m:ctrlPr>
                    <w:rPr>
                      <w:rFonts w:ascii="Cambria Math" w:hAnsi="Cambria Math"/>
                      <w:i/>
                      <w:lang w:val="en-GB"/>
                    </w:rPr>
                  </m:ctrlPr>
                </m:fPr>
                <m:num>
                  <m:r>
                    <w:rPr>
                      <w:rFonts w:ascii="Cambria Math" w:hAnsi="Cambria Math"/>
                      <w:lang w:val="en-GB"/>
                    </w:rPr>
                    <m:t>%opt(</m:t>
                  </m:r>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i</m:t>
                      </m:r>
                    </m:sub>
                  </m:sSub>
                  <m:r>
                    <w:rPr>
                      <w:rFonts w:ascii="Cambria Math" w:hAnsi="Cambria Math"/>
                      <w:lang w:val="en-GB"/>
                    </w:rPr>
                    <m:t>)</m:t>
                  </m:r>
                </m:num>
                <m:den>
                  <m:r>
                    <w:rPr>
                      <w:rFonts w:ascii="Cambria Math" w:hAnsi="Cambria Math"/>
                      <w:lang w:val="en-GB"/>
                    </w:rPr>
                    <m:t>%opt</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i</m:t>
                          </m:r>
                        </m:sub>
                      </m:sSub>
                    </m:e>
                  </m:d>
                  <m:r>
                    <w:rPr>
                      <w:rFonts w:ascii="Cambria Math" w:hAnsi="Cambria Math"/>
                      <w:lang w:val="en-GB"/>
                    </w:rPr>
                    <m:t>+%pes(</m:t>
                  </m:r>
                  <m:sSub>
                    <m:sSubPr>
                      <m:ctrlPr>
                        <w:rPr>
                          <w:rFonts w:ascii="Cambria Math" w:hAnsi="Cambria Math"/>
                          <w:i/>
                          <w:lang w:val="en-GB"/>
                        </w:rPr>
                      </m:ctrlPr>
                    </m:sSubPr>
                    <m:e>
                      <m:r>
                        <w:rPr>
                          <w:rFonts w:ascii="Cambria Math" w:hAnsi="Cambria Math"/>
                          <w:lang w:val="en-GB"/>
                        </w:rPr>
                        <m:t>X</m:t>
                      </m:r>
                    </m:e>
                    <m:sub>
                      <m:r>
                        <w:rPr>
                          <w:rFonts w:ascii="Cambria Math" w:hAnsi="Cambria Math"/>
                          <w:lang w:val="en-GB"/>
                        </w:rPr>
                        <m:t>i</m:t>
                      </m:r>
                    </m:sub>
                  </m:sSub>
                  <m:r>
                    <w:rPr>
                      <w:rFonts w:ascii="Cambria Math" w:hAnsi="Cambria Math"/>
                      <w:lang w:val="en-GB"/>
                    </w:rPr>
                    <m:t>)</m:t>
                  </m:r>
                </m:den>
              </m:f>
            </m:e>
          </m:nary>
        </m:oMath>
      </m:oMathPara>
    </w:p>
    <w:p w:rsidR="003D42FD" w:rsidRDefault="003D42FD" w:rsidP="00510C05">
      <w:pPr>
        <w:jc w:val="both"/>
      </w:pPr>
    </w:p>
    <w:p w:rsidR="009D39F5" w:rsidRDefault="009D39F5" w:rsidP="00510C05">
      <w:pPr>
        <w:jc w:val="both"/>
        <w:rPr>
          <w:lang w:val="en-US"/>
        </w:rPr>
      </w:pPr>
      <w:r w:rsidRPr="009D39F5">
        <w:rPr>
          <w:lang w:val="en-US"/>
        </w:rPr>
        <w:t xml:space="preserve">On the other hand, </w:t>
      </w:r>
      <w:r w:rsidRPr="009D39F5">
        <w:rPr>
          <w:b/>
          <w:lang w:val="en-US"/>
        </w:rPr>
        <w:t>uncertainty</w:t>
      </w:r>
      <w:r w:rsidRPr="009D39F5">
        <w:rPr>
          <w:lang w:val="en-US"/>
        </w:rPr>
        <w:t xml:space="preserve"> is </w:t>
      </w:r>
      <w:r>
        <w:rPr>
          <w:lang w:val="en-US"/>
        </w:rPr>
        <w:t>the degree of certainty associated to the expected scenario, which is calculated as the dispersion of confidence among agents:</w:t>
      </w:r>
    </w:p>
    <w:p w:rsidR="009D39F5" w:rsidRDefault="009D39F5" w:rsidP="00510C05">
      <w:pPr>
        <w:jc w:val="both"/>
        <w:rPr>
          <w:lang w:val="en-US"/>
        </w:rPr>
      </w:pPr>
    </w:p>
    <w:p w:rsidR="009D39F5" w:rsidRPr="009D39F5" w:rsidRDefault="009D39F5" w:rsidP="00510C05">
      <w:pPr>
        <w:jc w:val="both"/>
        <w:rPr>
          <w:lang w:val="en-US"/>
        </w:rPr>
      </w:pPr>
      <m:oMathPara>
        <m:oMath>
          <m:r>
            <w:rPr>
              <w:rFonts w:ascii="Cambria Math" w:hAnsi="Cambria Math"/>
              <w:lang w:val="en-US"/>
            </w:rPr>
            <m:t>Uncertainty=</m:t>
          </m:r>
          <m:rad>
            <m:radPr>
              <m:degHide m:val="1"/>
              <m:ctrlPr>
                <w:rPr>
                  <w:rFonts w:ascii="Cambria Math" w:hAnsi="Cambria Math"/>
                  <w:i/>
                  <w:lang w:val="en-US"/>
                </w:rPr>
              </m:ctrlPr>
            </m:radPr>
            <m:deg/>
            <m:e>
              <m:sSup>
                <m:sSupPr>
                  <m:ctrlPr>
                    <w:rPr>
                      <w:rFonts w:ascii="Cambria Math" w:hAnsi="Cambria Math"/>
                      <w:i/>
                      <w:lang w:val="en-US"/>
                    </w:rPr>
                  </m:ctrlPr>
                </m:sSupPr>
                <m:e>
                  <m:d>
                    <m:dPr>
                      <m:begChr m:val="["/>
                      <m:endChr m:val="]"/>
                      <m:ctrlPr>
                        <w:rPr>
                          <w:rFonts w:ascii="Cambria Math" w:hAnsi="Cambria Math"/>
                          <w:i/>
                          <w:lang w:val="en-US"/>
                        </w:rPr>
                      </m:ctrlPr>
                    </m:dPr>
                    <m:e>
                      <m:r>
                        <w:rPr>
                          <w:rFonts w:ascii="Cambria Math" w:hAnsi="Cambria Math"/>
                          <w:lang w:val="en-US"/>
                        </w:rPr>
                        <m:t>%opt+%pes-(%opt-%pes)</m:t>
                      </m:r>
                    </m:e>
                  </m:d>
                </m:e>
                <m:sup>
                  <m:r>
                    <w:rPr>
                      <w:rFonts w:ascii="Cambria Math" w:hAnsi="Cambria Math"/>
                      <w:lang w:val="en-US"/>
                    </w:rPr>
                    <m:t>2</m:t>
                  </m:r>
                </m:sup>
              </m:sSup>
            </m:e>
          </m:rad>
        </m:oMath>
      </m:oMathPara>
    </w:p>
    <w:p w:rsidR="009D39F5" w:rsidRPr="00A10ACC" w:rsidRDefault="009D39F5" w:rsidP="00510C05">
      <w:pPr>
        <w:jc w:val="both"/>
        <w:rPr>
          <w:lang w:val="en-GB"/>
        </w:rPr>
      </w:pPr>
    </w:p>
    <w:p w:rsidR="002225CF" w:rsidRDefault="002225CF" w:rsidP="00510C05">
      <w:pPr>
        <w:jc w:val="both"/>
        <w:rPr>
          <w:lang w:val="en-GB"/>
        </w:rPr>
      </w:pPr>
    </w:p>
    <w:p w:rsidR="009D39F5" w:rsidRDefault="009D39F5" w:rsidP="00510C05">
      <w:pPr>
        <w:jc w:val="both"/>
        <w:rPr>
          <w:lang w:val="en-GB"/>
        </w:rPr>
      </w:pPr>
      <w:r>
        <w:rPr>
          <w:lang w:val="en-GB"/>
        </w:rPr>
        <w:t xml:space="preserve">Figure 1 show these variables during the period of analysis. </w:t>
      </w:r>
      <w:r w:rsidR="003A28A3">
        <w:rPr>
          <w:lang w:val="en-GB"/>
        </w:rPr>
        <w:t>Confidence and uncertainty are strongly and negatively correlated (</w:t>
      </w:r>
      <m:oMath>
        <m:r>
          <w:rPr>
            <w:rFonts w:ascii="Cambria Math" w:hAnsi="Cambria Math"/>
            <w:lang w:val="en-GB"/>
          </w:rPr>
          <m:t>ρ=-0.75</m:t>
        </m:r>
      </m:oMath>
      <w:r w:rsidR="003A28A3">
        <w:rPr>
          <w:rFonts w:eastAsiaTheme="minorEastAsia"/>
          <w:lang w:val="en-GB"/>
        </w:rPr>
        <w:t>), that is, the greater the level of confidence, the lesser is uncertainty.</w:t>
      </w:r>
    </w:p>
    <w:p w:rsidR="009D39F5" w:rsidRDefault="009D39F5" w:rsidP="00510C05">
      <w:pPr>
        <w:jc w:val="both"/>
        <w:rPr>
          <w:lang w:val="en-GB"/>
        </w:rPr>
      </w:pPr>
    </w:p>
    <w:p w:rsidR="00B40DFD" w:rsidRDefault="00B40DFD" w:rsidP="00510C05">
      <w:pPr>
        <w:jc w:val="both"/>
        <w:rPr>
          <w:lang w:val="en-GB"/>
        </w:rPr>
      </w:pPr>
    </w:p>
    <w:p w:rsidR="00B40DFD" w:rsidRDefault="00B40DFD" w:rsidP="00510C05">
      <w:pPr>
        <w:jc w:val="both"/>
        <w:rPr>
          <w:lang w:val="en-GB"/>
        </w:rPr>
      </w:pPr>
    </w:p>
    <w:p w:rsidR="00B40DFD" w:rsidRDefault="00B40DFD" w:rsidP="00510C05">
      <w:pPr>
        <w:jc w:val="both"/>
        <w:rPr>
          <w:lang w:val="en-GB"/>
        </w:rPr>
      </w:pPr>
    </w:p>
    <w:p w:rsidR="00752F1D" w:rsidRPr="00A10ACC" w:rsidRDefault="00752F1D" w:rsidP="00752F1D">
      <w:pPr>
        <w:pStyle w:val="Descripcin"/>
        <w:jc w:val="center"/>
        <w:rPr>
          <w:lang w:val="en-GB"/>
        </w:rPr>
      </w:pPr>
      <w:bookmarkStart w:id="0" w:name="_GoBack"/>
      <w:bookmarkEnd w:id="0"/>
      <w:r w:rsidRPr="00A10ACC">
        <w:rPr>
          <w:lang w:val="en-GB"/>
        </w:rPr>
        <w:lastRenderedPageBreak/>
        <w:t>Figur</w:t>
      </w:r>
      <w:r w:rsidR="00B40DFD">
        <w:rPr>
          <w:lang w:val="en-GB"/>
        </w:rPr>
        <w:t>e</w:t>
      </w:r>
      <w:r w:rsidRPr="00A10ACC">
        <w:rPr>
          <w:lang w:val="en-GB"/>
        </w:rPr>
        <w:t xml:space="preserve"> </w:t>
      </w:r>
      <w:r w:rsidR="00C006DF" w:rsidRPr="00A10ACC">
        <w:rPr>
          <w:lang w:val="en-GB"/>
        </w:rPr>
        <w:fldChar w:fldCharType="begin"/>
      </w:r>
      <w:r w:rsidR="00C006DF" w:rsidRPr="00A10ACC">
        <w:rPr>
          <w:lang w:val="en-GB"/>
        </w:rPr>
        <w:instrText xml:space="preserve"> SEQ Figura \* ARABIC </w:instrText>
      </w:r>
      <w:r w:rsidR="00C006DF" w:rsidRPr="00A10ACC">
        <w:rPr>
          <w:lang w:val="en-GB"/>
        </w:rPr>
        <w:fldChar w:fldCharType="separate"/>
      </w:r>
      <w:r w:rsidR="00B1593D" w:rsidRPr="00A10ACC">
        <w:rPr>
          <w:noProof/>
          <w:lang w:val="en-GB"/>
        </w:rPr>
        <w:t>1</w:t>
      </w:r>
      <w:r w:rsidR="00C006DF" w:rsidRPr="00A10ACC">
        <w:rPr>
          <w:noProof/>
          <w:lang w:val="en-GB"/>
        </w:rPr>
        <w:fldChar w:fldCharType="end"/>
      </w:r>
      <w:r w:rsidRPr="00A10ACC">
        <w:rPr>
          <w:lang w:val="en-GB"/>
        </w:rPr>
        <w:t xml:space="preserve">. </w:t>
      </w:r>
      <w:r w:rsidR="00B40DFD">
        <w:rPr>
          <w:lang w:val="en-GB"/>
        </w:rPr>
        <w:t>Confidence and Uncertainty</w:t>
      </w:r>
    </w:p>
    <w:p w:rsidR="00752F1D" w:rsidRPr="00A10ACC" w:rsidRDefault="0038742F" w:rsidP="00752F1D">
      <w:pPr>
        <w:jc w:val="center"/>
        <w:rPr>
          <w:lang w:val="en-GB"/>
        </w:rPr>
      </w:pPr>
      <w:r>
        <w:rPr>
          <w:noProof/>
          <w:lang w:val="en-GB"/>
        </w:rPr>
        <w:drawing>
          <wp:inline distT="0" distB="0" distL="0" distR="0" wp14:anchorId="78EEB12D">
            <wp:extent cx="4584700" cy="2755900"/>
            <wp:effectExtent l="0" t="0" r="6350" b="635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A21A1B" w:rsidRDefault="00A21A1B" w:rsidP="00726EFC">
      <w:pPr>
        <w:jc w:val="both"/>
        <w:rPr>
          <w:lang w:val="en-GB"/>
        </w:rPr>
      </w:pPr>
    </w:p>
    <w:p w:rsidR="009D39F5" w:rsidRDefault="003A28A3" w:rsidP="00726EFC">
      <w:pPr>
        <w:jc w:val="both"/>
        <w:rPr>
          <w:lang w:val="en-GB"/>
        </w:rPr>
      </w:pPr>
      <w:r>
        <w:rPr>
          <w:lang w:val="en-GB"/>
        </w:rPr>
        <w:t>Figure 2 show the annual rate of growth of</w:t>
      </w:r>
      <w:r w:rsidR="009D39F5">
        <w:rPr>
          <w:lang w:val="en-GB"/>
        </w:rPr>
        <w:t xml:space="preserve"> </w:t>
      </w:r>
      <w:r w:rsidR="009D39F5" w:rsidRPr="009D39F5">
        <w:rPr>
          <w:b/>
          <w:lang w:val="en-GB"/>
        </w:rPr>
        <w:t>economic activity</w:t>
      </w:r>
      <w:r>
        <w:rPr>
          <w:lang w:val="en-GB"/>
        </w:rPr>
        <w:t>.</w:t>
      </w:r>
      <w:r w:rsidR="009D39F5">
        <w:rPr>
          <w:lang w:val="en-GB"/>
        </w:rPr>
        <w:t xml:space="preserve"> </w:t>
      </w:r>
      <w:r>
        <w:rPr>
          <w:lang w:val="en-GB"/>
        </w:rPr>
        <w:t>T</w:t>
      </w:r>
      <w:r w:rsidR="009D39F5">
        <w:rPr>
          <w:lang w:val="en-GB"/>
        </w:rPr>
        <w:t xml:space="preserve">here are </w:t>
      </w:r>
      <w:r>
        <w:rPr>
          <w:lang w:val="en-GB"/>
        </w:rPr>
        <w:t>two period of high economic growth (blue), where the rate of growth of IMACEC averaged 5%. Besides, there are two periods of decreases or increases in the growth rates (orange). The first is associated to the financial crisis of 2008-2009 and the earthquake of 2010. The second started in 2013, coinciding with the decrease in confidence and the increase in uncertainty. The last period of low economic growth (grey) is one of contracted economic activity, in which the annual rate of growth of IMACEC averaged 1.9%.</w:t>
      </w:r>
    </w:p>
    <w:p w:rsidR="00307980" w:rsidRPr="001C6608" w:rsidRDefault="00307980" w:rsidP="00726EFC">
      <w:pPr>
        <w:jc w:val="both"/>
        <w:rPr>
          <w:lang w:val="en-US"/>
        </w:rPr>
      </w:pPr>
    </w:p>
    <w:p w:rsidR="00A21A1B" w:rsidRPr="00B40DFD" w:rsidRDefault="00B40DFD" w:rsidP="0037282C">
      <w:pPr>
        <w:pStyle w:val="Descripcin"/>
        <w:jc w:val="center"/>
        <w:rPr>
          <w:lang w:val="en-GB"/>
        </w:rPr>
      </w:pPr>
      <w:r w:rsidRPr="00B40DFD">
        <w:rPr>
          <w:lang w:val="en-GB"/>
        </w:rPr>
        <w:t>Figure</w:t>
      </w:r>
      <w:r w:rsidR="0037282C" w:rsidRPr="00B40DFD">
        <w:rPr>
          <w:lang w:val="en-GB"/>
        </w:rPr>
        <w:t xml:space="preserve"> </w:t>
      </w:r>
      <w:r w:rsidR="00C006DF" w:rsidRPr="00B40DFD">
        <w:rPr>
          <w:lang w:val="en-GB"/>
        </w:rPr>
        <w:fldChar w:fldCharType="begin"/>
      </w:r>
      <w:r w:rsidR="00C006DF" w:rsidRPr="00B40DFD">
        <w:rPr>
          <w:lang w:val="en-GB"/>
        </w:rPr>
        <w:instrText xml:space="preserve"> SEQ Figura \* ARABIC </w:instrText>
      </w:r>
      <w:r w:rsidR="00C006DF" w:rsidRPr="00B40DFD">
        <w:rPr>
          <w:lang w:val="en-GB"/>
        </w:rPr>
        <w:fldChar w:fldCharType="separate"/>
      </w:r>
      <w:r w:rsidR="00B1593D" w:rsidRPr="00B40DFD">
        <w:rPr>
          <w:noProof/>
          <w:lang w:val="en-GB"/>
        </w:rPr>
        <w:t>2</w:t>
      </w:r>
      <w:r w:rsidR="00C006DF" w:rsidRPr="00B40DFD">
        <w:rPr>
          <w:noProof/>
          <w:lang w:val="en-GB"/>
        </w:rPr>
        <w:fldChar w:fldCharType="end"/>
      </w:r>
      <w:r w:rsidR="0037282C" w:rsidRPr="00B40DFD">
        <w:rPr>
          <w:lang w:val="en-GB"/>
        </w:rPr>
        <w:t xml:space="preserve">. </w:t>
      </w:r>
      <w:r w:rsidRPr="00B40DFD">
        <w:rPr>
          <w:lang w:val="en-GB"/>
        </w:rPr>
        <w:t xml:space="preserve">Economic Activity </w:t>
      </w:r>
      <w:r w:rsidR="0037282C" w:rsidRPr="00B40DFD">
        <w:rPr>
          <w:lang w:val="en-GB"/>
        </w:rPr>
        <w:t>(IMACEC)</w:t>
      </w:r>
    </w:p>
    <w:p w:rsidR="00B40DFD" w:rsidRPr="00A10ACC" w:rsidRDefault="00B40DFD" w:rsidP="00A21A1B">
      <w:pPr>
        <w:jc w:val="center"/>
        <w:rPr>
          <w:lang w:val="en-GB"/>
        </w:rPr>
      </w:pPr>
      <w:r>
        <w:rPr>
          <w:noProof/>
          <w:lang w:val="en-GB"/>
        </w:rPr>
        <w:drawing>
          <wp:inline distT="0" distB="0" distL="0" distR="0" wp14:anchorId="76E34A84">
            <wp:extent cx="4615180" cy="2755900"/>
            <wp:effectExtent l="0" t="0" r="0"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615180" cy="2755900"/>
                    </a:xfrm>
                    <a:prstGeom prst="rect">
                      <a:avLst/>
                    </a:prstGeom>
                    <a:noFill/>
                  </pic:spPr>
                </pic:pic>
              </a:graphicData>
            </a:graphic>
          </wp:inline>
        </w:drawing>
      </w:r>
    </w:p>
    <w:p w:rsidR="002F4858" w:rsidRDefault="002F4858" w:rsidP="00A21A1B">
      <w:pPr>
        <w:jc w:val="center"/>
        <w:rPr>
          <w:lang w:val="en-GB"/>
        </w:rPr>
      </w:pPr>
    </w:p>
    <w:p w:rsidR="0038742F" w:rsidRPr="00A10ACC" w:rsidRDefault="0038742F" w:rsidP="00A21A1B">
      <w:pPr>
        <w:jc w:val="center"/>
        <w:rPr>
          <w:lang w:val="en-GB"/>
        </w:rPr>
      </w:pPr>
    </w:p>
    <w:p w:rsidR="0037282C" w:rsidRPr="00A10ACC" w:rsidRDefault="003706E0" w:rsidP="00307980">
      <w:pPr>
        <w:pStyle w:val="Ttulo2"/>
        <w:numPr>
          <w:ilvl w:val="1"/>
          <w:numId w:val="3"/>
        </w:numPr>
        <w:rPr>
          <w:lang w:val="en-GB"/>
        </w:rPr>
      </w:pPr>
      <w:r>
        <w:rPr>
          <w:lang w:val="en-GB"/>
        </w:rPr>
        <w:lastRenderedPageBreak/>
        <w:t>External factors</w:t>
      </w:r>
    </w:p>
    <w:p w:rsidR="00307980" w:rsidRDefault="00307980" w:rsidP="0037282C">
      <w:pPr>
        <w:jc w:val="both"/>
        <w:rPr>
          <w:lang w:val="en-GB"/>
        </w:rPr>
      </w:pPr>
    </w:p>
    <w:p w:rsidR="003706E0" w:rsidRDefault="003706E0" w:rsidP="0037282C">
      <w:pPr>
        <w:jc w:val="both"/>
        <w:rPr>
          <w:lang w:val="en-GB"/>
        </w:rPr>
      </w:pPr>
      <w:r>
        <w:rPr>
          <w:lang w:val="en-GB"/>
        </w:rPr>
        <w:t xml:space="preserve">The external factors are the first two principal components of a set of foreign variables, </w:t>
      </w:r>
      <w:proofErr w:type="gramStart"/>
      <w:r>
        <w:rPr>
          <w:lang w:val="en-GB"/>
        </w:rPr>
        <w:t>similar to</w:t>
      </w:r>
      <w:proofErr w:type="gramEnd"/>
      <w:r>
        <w:rPr>
          <w:lang w:val="en-GB"/>
        </w:rPr>
        <w:t xml:space="preserve"> those used by </w:t>
      </w:r>
      <w:proofErr w:type="spellStart"/>
      <w:r>
        <w:rPr>
          <w:lang w:val="en-GB"/>
        </w:rPr>
        <w:t>Albagli</w:t>
      </w:r>
      <w:proofErr w:type="spellEnd"/>
      <w:r>
        <w:rPr>
          <w:lang w:val="en-GB"/>
        </w:rPr>
        <w:t xml:space="preserve"> and </w:t>
      </w:r>
      <w:proofErr w:type="spellStart"/>
      <w:r>
        <w:rPr>
          <w:lang w:val="en-GB"/>
        </w:rPr>
        <w:t>Luttini</w:t>
      </w:r>
      <w:proofErr w:type="spellEnd"/>
      <w:r>
        <w:rPr>
          <w:lang w:val="en-GB"/>
        </w:rPr>
        <w:t xml:space="preserve"> (2015): (1) Cooper price, (2) S&amp;P500, (3) VIX, (4) Gross World Product (GWP), and (5) Federal Reserve interest rate. These variables were summarized in two principal components, to represent the dynamic of the business cycle of the world in a parsimonious way. The first principal component, pc1, is more correlated with GWP, Cooper price and FED interest rate, while the second principal component, pc2, is more correlated with S&amp;P500 and VIX.</w:t>
      </w:r>
    </w:p>
    <w:p w:rsidR="004A2BD5" w:rsidRPr="001C6608" w:rsidRDefault="004A2BD5" w:rsidP="0037282C">
      <w:pPr>
        <w:jc w:val="both"/>
        <w:rPr>
          <w:lang w:val="en-US"/>
        </w:rPr>
      </w:pPr>
    </w:p>
    <w:p w:rsidR="002F4858" w:rsidRPr="0038742F" w:rsidRDefault="005550E3" w:rsidP="005550E3">
      <w:pPr>
        <w:pStyle w:val="Descripcin"/>
        <w:jc w:val="center"/>
        <w:rPr>
          <w:lang w:val="en-GB"/>
        </w:rPr>
      </w:pPr>
      <w:r w:rsidRPr="0038742F">
        <w:rPr>
          <w:lang w:val="en-GB"/>
        </w:rPr>
        <w:t>Figur</w:t>
      </w:r>
      <w:r w:rsidR="0038742F" w:rsidRPr="0038742F">
        <w:rPr>
          <w:lang w:val="en-GB"/>
        </w:rPr>
        <w:t>e</w:t>
      </w:r>
      <w:r w:rsidRPr="0038742F">
        <w:rPr>
          <w:lang w:val="en-GB"/>
        </w:rPr>
        <w:t xml:space="preserve"> </w:t>
      </w:r>
      <w:r w:rsidR="00C006DF" w:rsidRPr="0038742F">
        <w:rPr>
          <w:lang w:val="en-GB"/>
        </w:rPr>
        <w:fldChar w:fldCharType="begin"/>
      </w:r>
      <w:r w:rsidR="00C006DF" w:rsidRPr="0038742F">
        <w:rPr>
          <w:lang w:val="en-GB"/>
        </w:rPr>
        <w:instrText xml:space="preserve"> SEQ Figura \* ARABIC </w:instrText>
      </w:r>
      <w:r w:rsidR="00C006DF" w:rsidRPr="0038742F">
        <w:rPr>
          <w:lang w:val="en-GB"/>
        </w:rPr>
        <w:fldChar w:fldCharType="separate"/>
      </w:r>
      <w:r w:rsidR="00B1593D" w:rsidRPr="0038742F">
        <w:rPr>
          <w:noProof/>
          <w:lang w:val="en-GB"/>
        </w:rPr>
        <w:t>3</w:t>
      </w:r>
      <w:r w:rsidR="00C006DF" w:rsidRPr="0038742F">
        <w:rPr>
          <w:noProof/>
          <w:lang w:val="en-GB"/>
        </w:rPr>
        <w:fldChar w:fldCharType="end"/>
      </w:r>
      <w:r w:rsidRPr="0038742F">
        <w:rPr>
          <w:lang w:val="en-GB"/>
        </w:rPr>
        <w:t xml:space="preserve">. </w:t>
      </w:r>
      <w:r w:rsidR="0038742F" w:rsidRPr="0038742F">
        <w:rPr>
          <w:lang w:val="en-GB"/>
        </w:rPr>
        <w:t>Principal Component</w:t>
      </w:r>
      <w:r w:rsidRPr="0038742F">
        <w:rPr>
          <w:lang w:val="en-GB"/>
        </w:rPr>
        <w:t xml:space="preserve">s: </w:t>
      </w:r>
      <w:r w:rsidR="0038742F" w:rsidRPr="0038742F">
        <w:rPr>
          <w:lang w:val="en-GB"/>
        </w:rPr>
        <w:t>G</w:t>
      </w:r>
      <w:r w:rsidR="0038742F">
        <w:rPr>
          <w:lang w:val="en-GB"/>
        </w:rPr>
        <w:t>l</w:t>
      </w:r>
      <w:r w:rsidR="0038742F" w:rsidRPr="0038742F">
        <w:rPr>
          <w:lang w:val="en-GB"/>
        </w:rPr>
        <w:t>obal Business Cycle</w:t>
      </w:r>
    </w:p>
    <w:p w:rsidR="0052267C" w:rsidRPr="00A10ACC" w:rsidRDefault="0038742F" w:rsidP="0052267C">
      <w:pPr>
        <w:jc w:val="center"/>
        <w:rPr>
          <w:lang w:val="en-GB"/>
        </w:rPr>
      </w:pPr>
      <w:r>
        <w:rPr>
          <w:noProof/>
          <w:lang w:val="en-GB"/>
        </w:rPr>
        <w:drawing>
          <wp:inline distT="0" distB="0" distL="0" distR="0" wp14:anchorId="5515D170">
            <wp:extent cx="4584700" cy="2755900"/>
            <wp:effectExtent l="0" t="0" r="6350" b="635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4A2BD5" w:rsidRPr="00A10ACC" w:rsidRDefault="004A2BD5" w:rsidP="0052267C">
      <w:pPr>
        <w:jc w:val="center"/>
        <w:rPr>
          <w:lang w:val="en-GB"/>
        </w:rPr>
      </w:pPr>
    </w:p>
    <w:p w:rsidR="005550E3" w:rsidRPr="00A10ACC" w:rsidRDefault="003706E0" w:rsidP="00F154DF">
      <w:pPr>
        <w:pStyle w:val="Ttulo2"/>
        <w:numPr>
          <w:ilvl w:val="1"/>
          <w:numId w:val="3"/>
        </w:numPr>
        <w:rPr>
          <w:lang w:val="en-GB"/>
        </w:rPr>
      </w:pPr>
      <w:r>
        <w:rPr>
          <w:lang w:val="en-GB"/>
        </w:rPr>
        <w:t>Sample</w:t>
      </w:r>
    </w:p>
    <w:p w:rsidR="00F154DF" w:rsidRDefault="00F154DF" w:rsidP="00636A6C">
      <w:pPr>
        <w:jc w:val="both"/>
        <w:rPr>
          <w:lang w:val="en-GB"/>
        </w:rPr>
      </w:pPr>
    </w:p>
    <w:p w:rsidR="003706E0" w:rsidRDefault="003706E0" w:rsidP="00636A6C">
      <w:pPr>
        <w:jc w:val="both"/>
        <w:rPr>
          <w:lang w:val="en-GB"/>
        </w:rPr>
      </w:pPr>
      <w:r>
        <w:rPr>
          <w:lang w:val="en-GB"/>
        </w:rPr>
        <w:t xml:space="preserve">The studied period is april-2007 to june-2016, a time interval determined by the availability of data. </w:t>
      </w:r>
    </w:p>
    <w:p w:rsidR="003706E0" w:rsidRDefault="003706E0" w:rsidP="00636A6C">
      <w:pPr>
        <w:jc w:val="both"/>
        <w:rPr>
          <w:lang w:val="en-GB"/>
        </w:rPr>
      </w:pPr>
    </w:p>
    <w:p w:rsidR="003706E0" w:rsidRDefault="003706E0" w:rsidP="00636A6C">
      <w:pPr>
        <w:jc w:val="both"/>
        <w:rPr>
          <w:lang w:val="en-GB"/>
        </w:rPr>
      </w:pPr>
      <w:r>
        <w:rPr>
          <w:lang w:val="en-GB"/>
        </w:rPr>
        <w:t>The analysis is focused in three periods of interest:</w:t>
      </w:r>
    </w:p>
    <w:p w:rsidR="003706E0" w:rsidRDefault="003706E0" w:rsidP="003706E0">
      <w:pPr>
        <w:pStyle w:val="Prrafodelista"/>
        <w:numPr>
          <w:ilvl w:val="0"/>
          <w:numId w:val="7"/>
        </w:numPr>
        <w:jc w:val="both"/>
        <w:rPr>
          <w:lang w:val="en-GB"/>
        </w:rPr>
      </w:pPr>
      <w:r>
        <w:rPr>
          <w:lang w:val="en-GB"/>
        </w:rPr>
        <w:t>2008-2010: period of the US financial crisis, the fall in economic activity and the subsequent recovery.</w:t>
      </w:r>
    </w:p>
    <w:p w:rsidR="003706E0" w:rsidRDefault="003706E0" w:rsidP="003706E0">
      <w:pPr>
        <w:pStyle w:val="Prrafodelista"/>
        <w:numPr>
          <w:ilvl w:val="0"/>
          <w:numId w:val="7"/>
        </w:numPr>
        <w:jc w:val="both"/>
        <w:rPr>
          <w:lang w:val="en-GB"/>
        </w:rPr>
      </w:pPr>
      <w:r>
        <w:rPr>
          <w:lang w:val="en-GB"/>
        </w:rPr>
        <w:t xml:space="preserve">2011-2013: </w:t>
      </w:r>
      <w:r w:rsidR="00AF6D11">
        <w:rPr>
          <w:lang w:val="en-GB"/>
        </w:rPr>
        <w:t xml:space="preserve">a </w:t>
      </w:r>
      <w:r>
        <w:rPr>
          <w:lang w:val="en-GB"/>
        </w:rPr>
        <w:t>period of a high and stable economic growth (coinciding with the mining boom).</w:t>
      </w:r>
    </w:p>
    <w:p w:rsidR="007E4CD1" w:rsidRPr="00245D90" w:rsidRDefault="003706E0" w:rsidP="0037282C">
      <w:pPr>
        <w:pStyle w:val="Prrafodelista"/>
        <w:numPr>
          <w:ilvl w:val="0"/>
          <w:numId w:val="7"/>
        </w:numPr>
        <w:jc w:val="both"/>
        <w:rPr>
          <w:lang w:val="en-GB"/>
        </w:rPr>
      </w:pPr>
      <w:r>
        <w:rPr>
          <w:lang w:val="en-GB"/>
        </w:rPr>
        <w:t xml:space="preserve">2014-2016: period of the decrease in economic activity, with a subsequent </w:t>
      </w:r>
      <w:r w:rsidR="00AF6D11">
        <w:rPr>
          <w:lang w:val="en-GB"/>
        </w:rPr>
        <w:t xml:space="preserve">persistently </w:t>
      </w:r>
      <w:r w:rsidR="00245D90">
        <w:rPr>
          <w:lang w:val="en-GB"/>
        </w:rPr>
        <w:t>low economic growth (period of contracted economic activity).</w:t>
      </w:r>
    </w:p>
    <w:p w:rsidR="00F154DF" w:rsidRPr="00A10ACC" w:rsidRDefault="00245D90" w:rsidP="00F154DF">
      <w:pPr>
        <w:pStyle w:val="Ttulo1"/>
        <w:numPr>
          <w:ilvl w:val="0"/>
          <w:numId w:val="1"/>
        </w:numPr>
        <w:rPr>
          <w:lang w:val="en-GB"/>
        </w:rPr>
      </w:pPr>
      <w:r>
        <w:rPr>
          <w:lang w:val="en-GB"/>
        </w:rPr>
        <w:t>Analysis of economic growth</w:t>
      </w:r>
    </w:p>
    <w:p w:rsidR="00F154DF" w:rsidRPr="00A10ACC" w:rsidRDefault="00F154DF" w:rsidP="0037282C">
      <w:pPr>
        <w:jc w:val="both"/>
        <w:rPr>
          <w:lang w:val="en-GB"/>
        </w:rPr>
      </w:pPr>
    </w:p>
    <w:p w:rsidR="000527E0" w:rsidRPr="00A10ACC" w:rsidRDefault="008574E7" w:rsidP="008574E7">
      <w:pPr>
        <w:pStyle w:val="Ttulo2"/>
        <w:numPr>
          <w:ilvl w:val="1"/>
          <w:numId w:val="4"/>
        </w:numPr>
        <w:rPr>
          <w:lang w:val="en-GB"/>
        </w:rPr>
      </w:pPr>
      <w:r w:rsidRPr="008574E7">
        <w:rPr>
          <w:lang w:val="en-GB"/>
        </w:rPr>
        <w:t>Historical decomposition of the business cycle</w:t>
      </w:r>
    </w:p>
    <w:p w:rsidR="00E15403" w:rsidRDefault="00E15403" w:rsidP="00E15403">
      <w:pPr>
        <w:rPr>
          <w:lang w:val="en-GB"/>
        </w:rPr>
      </w:pPr>
    </w:p>
    <w:p w:rsidR="009E05B2" w:rsidRPr="009E05B2" w:rsidRDefault="008574E7" w:rsidP="009E05B2">
      <w:pPr>
        <w:jc w:val="both"/>
        <w:rPr>
          <w:lang w:val="en-US"/>
        </w:rPr>
      </w:pPr>
      <w:r>
        <w:rPr>
          <w:lang w:val="en-GB"/>
        </w:rPr>
        <w:t xml:space="preserve">I </w:t>
      </w:r>
      <w:r w:rsidRPr="008574E7">
        <w:rPr>
          <w:lang w:val="en-GB"/>
        </w:rPr>
        <w:t xml:space="preserve">estimate the individual contributions of each structural shock to the movements in </w:t>
      </w:r>
      <w:r w:rsidR="00906432">
        <w:rPr>
          <w:lang w:val="en-GB"/>
        </w:rPr>
        <w:t xml:space="preserve">the </w:t>
      </w:r>
      <w:r w:rsidRPr="008574E7">
        <w:rPr>
          <w:lang w:val="en-GB"/>
        </w:rPr>
        <w:t xml:space="preserve">rate of growth of IMACEC (using </w:t>
      </w:r>
      <w:r w:rsidR="00906432">
        <w:rPr>
          <w:lang w:val="en-GB"/>
        </w:rPr>
        <w:t xml:space="preserve">natural logarithms </w:t>
      </w:r>
      <w:r w:rsidRPr="008574E7">
        <w:rPr>
          <w:lang w:val="en-GB"/>
        </w:rPr>
        <w:t>to approximate the percentage growth rates), after the estimation of a VAR model including the internal and external variables described above</w:t>
      </w:r>
      <w:r w:rsidR="00906432">
        <w:rPr>
          <w:lang w:val="en-GB"/>
        </w:rPr>
        <w:t xml:space="preserve"> as endogenous variables</w:t>
      </w:r>
      <w:r w:rsidRPr="008574E7">
        <w:rPr>
          <w:lang w:val="en-GB"/>
        </w:rPr>
        <w:t>. The results of the VAR estimates are shown in table 1.</w:t>
      </w:r>
      <w:r w:rsidR="009E05B2">
        <w:rPr>
          <w:lang w:val="en-GB"/>
        </w:rPr>
        <w:t xml:space="preserve"> </w:t>
      </w:r>
      <w:r w:rsidR="009E05B2" w:rsidRPr="008574E7">
        <w:rPr>
          <w:lang w:val="en-GB"/>
        </w:rPr>
        <w:t xml:space="preserve">Then, </w:t>
      </w:r>
      <w:r w:rsidR="009E05B2">
        <w:rPr>
          <w:lang w:val="en-GB"/>
        </w:rPr>
        <w:t xml:space="preserve">I obtained </w:t>
      </w:r>
      <w:r w:rsidR="009E05B2">
        <w:rPr>
          <w:lang w:val="en-GB"/>
        </w:rPr>
        <w:lastRenderedPageBreak/>
        <w:t>annual averages for each sequence of shock</w:t>
      </w:r>
      <w:r w:rsidR="00906432">
        <w:rPr>
          <w:lang w:val="en-GB"/>
        </w:rPr>
        <w:t>s</w:t>
      </w:r>
      <w:r w:rsidR="009E05B2">
        <w:rPr>
          <w:lang w:val="en-GB"/>
        </w:rPr>
        <w:t>, and I plot them in the date corresponding to the last of the 12 averaged shocks</w:t>
      </w:r>
      <w:r w:rsidR="009E05B2" w:rsidRPr="00A10ACC">
        <w:rPr>
          <w:rStyle w:val="Refdenotaalpie"/>
          <w:lang w:val="en-GB"/>
        </w:rPr>
        <w:footnoteReference w:id="3"/>
      </w:r>
      <w:r w:rsidR="009E05B2" w:rsidRPr="009E05B2">
        <w:rPr>
          <w:lang w:val="en-US"/>
        </w:rPr>
        <w:t>.</w:t>
      </w:r>
    </w:p>
    <w:p w:rsidR="008574E7" w:rsidRPr="009E05B2" w:rsidRDefault="008574E7" w:rsidP="008574E7">
      <w:pPr>
        <w:jc w:val="both"/>
        <w:rPr>
          <w:lang w:val="en-US"/>
        </w:rPr>
      </w:pPr>
    </w:p>
    <w:p w:rsidR="008574E7" w:rsidRPr="008574E7" w:rsidRDefault="008574E7" w:rsidP="008574E7">
      <w:pPr>
        <w:pStyle w:val="Descripcin"/>
        <w:jc w:val="center"/>
        <w:rPr>
          <w:lang w:val="en-GB"/>
        </w:rPr>
      </w:pPr>
      <w:r w:rsidRPr="008574E7">
        <w:rPr>
          <w:lang w:val="en-GB"/>
        </w:rPr>
        <w:t xml:space="preserve">Table </w:t>
      </w:r>
      <w:r w:rsidRPr="008574E7">
        <w:rPr>
          <w:lang w:val="en-GB"/>
        </w:rPr>
        <w:fldChar w:fldCharType="begin"/>
      </w:r>
      <w:r w:rsidRPr="008574E7">
        <w:rPr>
          <w:lang w:val="en-GB"/>
        </w:rPr>
        <w:instrText xml:space="preserve"> SEQ Table \* ARABIC </w:instrText>
      </w:r>
      <w:r w:rsidRPr="008574E7">
        <w:rPr>
          <w:lang w:val="en-GB"/>
        </w:rPr>
        <w:fldChar w:fldCharType="separate"/>
      </w:r>
      <w:r w:rsidRPr="008574E7">
        <w:rPr>
          <w:lang w:val="en-GB"/>
        </w:rPr>
        <w:t>1</w:t>
      </w:r>
      <w:r w:rsidRPr="008574E7">
        <w:rPr>
          <w:lang w:val="en-GB"/>
        </w:rPr>
        <w:fldChar w:fldCharType="end"/>
      </w:r>
      <w:r w:rsidRPr="008574E7">
        <w:rPr>
          <w:lang w:val="en-GB"/>
        </w:rPr>
        <w:t>. VAR estimates</w:t>
      </w:r>
    </w:p>
    <w:tbl>
      <w:tblPr>
        <w:tblW w:w="7360" w:type="dxa"/>
        <w:jc w:val="center"/>
        <w:tblCellMar>
          <w:top w:w="15" w:type="dxa"/>
          <w:left w:w="70" w:type="dxa"/>
          <w:bottom w:w="15" w:type="dxa"/>
          <w:right w:w="70" w:type="dxa"/>
        </w:tblCellMar>
        <w:tblLook w:val="04A0" w:firstRow="1" w:lastRow="0" w:firstColumn="1" w:lastColumn="0" w:noHBand="0" w:noVBand="1"/>
      </w:tblPr>
      <w:tblGrid>
        <w:gridCol w:w="1360"/>
        <w:gridCol w:w="1200"/>
        <w:gridCol w:w="1200"/>
        <w:gridCol w:w="1200"/>
        <w:gridCol w:w="1200"/>
        <w:gridCol w:w="1200"/>
      </w:tblGrid>
      <w:tr w:rsidR="008574E7" w:rsidRPr="008574E7" w:rsidTr="008574E7">
        <w:trPr>
          <w:jc w:val="center"/>
        </w:trPr>
        <w:tc>
          <w:tcPr>
            <w:tcW w:w="1360" w:type="dxa"/>
            <w:tcBorders>
              <w:top w:val="single" w:sz="4" w:space="0" w:color="auto"/>
              <w:left w:val="nil"/>
              <w:bottom w:val="single" w:sz="4" w:space="0" w:color="auto"/>
              <w:right w:val="nil"/>
            </w:tcBorders>
            <w:noWrap/>
            <w:vAlign w:val="bottom"/>
            <w:hideMark/>
          </w:tcPr>
          <w:p w:rsidR="008574E7" w:rsidRPr="008574E7" w:rsidRDefault="008574E7" w:rsidP="008574E7">
            <w:pPr>
              <w:rPr>
                <w:rFonts w:ascii="Times New Roman" w:eastAsia="Times New Roman" w:hAnsi="Times New Roman" w:cs="Times New Roman"/>
                <w:sz w:val="20"/>
                <w:szCs w:val="24"/>
                <w:lang w:val="en-GB" w:eastAsia="es-CL"/>
              </w:rPr>
            </w:pPr>
          </w:p>
        </w:tc>
        <w:tc>
          <w:tcPr>
            <w:tcW w:w="1200" w:type="dxa"/>
            <w:tcBorders>
              <w:top w:val="single" w:sz="4" w:space="0" w:color="auto"/>
              <w:left w:val="nil"/>
              <w:bottom w:val="single" w:sz="4" w:space="0" w:color="auto"/>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pc1</w:t>
            </w:r>
          </w:p>
        </w:tc>
        <w:tc>
          <w:tcPr>
            <w:tcW w:w="1200" w:type="dxa"/>
            <w:tcBorders>
              <w:top w:val="single" w:sz="4" w:space="0" w:color="auto"/>
              <w:left w:val="nil"/>
              <w:bottom w:val="single" w:sz="4" w:space="0" w:color="auto"/>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pc2</w:t>
            </w:r>
          </w:p>
        </w:tc>
        <w:tc>
          <w:tcPr>
            <w:tcW w:w="1200" w:type="dxa"/>
            <w:tcBorders>
              <w:top w:val="single" w:sz="4" w:space="0" w:color="auto"/>
              <w:left w:val="nil"/>
              <w:bottom w:val="single" w:sz="4" w:space="0" w:color="auto"/>
              <w:right w:val="nil"/>
            </w:tcBorders>
            <w:noWrap/>
            <w:vAlign w:val="bottom"/>
            <w:hideMark/>
          </w:tcPr>
          <w:p w:rsidR="008574E7" w:rsidRPr="008574E7" w:rsidRDefault="00906432" w:rsidP="008574E7">
            <w:pPr>
              <w:rPr>
                <w:rFonts w:ascii="Calibri" w:eastAsia="Times New Roman" w:hAnsi="Calibri" w:cs="Calibri"/>
                <w:b/>
                <w:bCs/>
                <w:color w:val="000000"/>
                <w:sz w:val="20"/>
                <w:lang w:val="en-GB" w:eastAsia="es-CL"/>
              </w:rPr>
            </w:pPr>
            <w:proofErr w:type="spellStart"/>
            <w:r>
              <w:rPr>
                <w:rFonts w:ascii="Calibri" w:eastAsia="Times New Roman" w:hAnsi="Calibri" w:cs="Calibri"/>
                <w:b/>
                <w:bCs/>
                <w:color w:val="000000"/>
                <w:sz w:val="20"/>
                <w:lang w:val="en-GB" w:eastAsia="es-CL"/>
              </w:rPr>
              <w:t>c</w:t>
            </w:r>
            <w:r w:rsidR="008574E7" w:rsidRPr="008574E7">
              <w:rPr>
                <w:rFonts w:ascii="Calibri" w:eastAsia="Times New Roman" w:hAnsi="Calibri" w:cs="Calibri"/>
                <w:b/>
                <w:bCs/>
                <w:color w:val="000000"/>
                <w:sz w:val="20"/>
                <w:lang w:val="en-GB" w:eastAsia="es-CL"/>
              </w:rPr>
              <w:t>onfid</w:t>
            </w:r>
            <w:proofErr w:type="spellEnd"/>
          </w:p>
        </w:tc>
        <w:tc>
          <w:tcPr>
            <w:tcW w:w="1200" w:type="dxa"/>
            <w:tcBorders>
              <w:top w:val="single" w:sz="4" w:space="0" w:color="auto"/>
              <w:left w:val="nil"/>
              <w:bottom w:val="single" w:sz="4" w:space="0" w:color="auto"/>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proofErr w:type="spellStart"/>
            <w:r w:rsidRPr="008574E7">
              <w:rPr>
                <w:rFonts w:ascii="Calibri" w:eastAsia="Times New Roman" w:hAnsi="Calibri" w:cs="Calibri"/>
                <w:b/>
                <w:bCs/>
                <w:color w:val="000000"/>
                <w:sz w:val="20"/>
                <w:lang w:val="en-GB" w:eastAsia="es-CL"/>
              </w:rPr>
              <w:t>uncert</w:t>
            </w:r>
            <w:proofErr w:type="spellEnd"/>
          </w:p>
        </w:tc>
        <w:tc>
          <w:tcPr>
            <w:tcW w:w="1200" w:type="dxa"/>
            <w:tcBorders>
              <w:top w:val="single" w:sz="4" w:space="0" w:color="auto"/>
              <w:left w:val="nil"/>
              <w:bottom w:val="single" w:sz="4" w:space="0" w:color="auto"/>
              <w:right w:val="nil"/>
            </w:tcBorders>
            <w:noWrap/>
            <w:vAlign w:val="bottom"/>
            <w:hideMark/>
          </w:tcPr>
          <w:p w:rsidR="008574E7" w:rsidRPr="008574E7" w:rsidRDefault="00906432" w:rsidP="008574E7">
            <w:pPr>
              <w:rPr>
                <w:rFonts w:ascii="Calibri" w:eastAsia="Times New Roman" w:hAnsi="Calibri" w:cs="Calibri"/>
                <w:b/>
                <w:bCs/>
                <w:color w:val="000000"/>
                <w:sz w:val="20"/>
                <w:lang w:val="en-GB" w:eastAsia="es-CL"/>
              </w:rPr>
            </w:pPr>
            <w:proofErr w:type="spellStart"/>
            <w:r>
              <w:rPr>
                <w:rFonts w:ascii="Calibri" w:eastAsia="Times New Roman" w:hAnsi="Calibri" w:cs="Calibri"/>
                <w:b/>
                <w:bCs/>
                <w:color w:val="000000"/>
                <w:sz w:val="20"/>
                <w:lang w:val="en-GB" w:eastAsia="es-CL"/>
              </w:rPr>
              <w:t>imacec</w:t>
            </w:r>
            <w:proofErr w:type="spellEnd"/>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c</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1.3912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-4.0279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35.7275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59.8703***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0.1051</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(1.2297)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(-1.6105)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(1.1855)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(4.0882)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(1.3990)</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pc1(-1)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1.4660***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-0.0877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6.5974**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0.2657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0.0018</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(14.2850)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(-0.3865)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(2.4133)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(0.2000)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(0.2582)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pc2(-1)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-0.0245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0.9193***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2.9123**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0.0677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-0.0042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(-0.4445)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(7.5560)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(1.9866)</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(0.0950)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(-1.1482)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proofErr w:type="spellStart"/>
            <w:proofErr w:type="gramStart"/>
            <w:r w:rsidRPr="008574E7">
              <w:rPr>
                <w:rFonts w:ascii="Calibri" w:eastAsia="Times New Roman" w:hAnsi="Calibri" w:cs="Calibri"/>
                <w:b/>
                <w:bCs/>
                <w:color w:val="000000"/>
                <w:sz w:val="20"/>
                <w:lang w:val="en-GB" w:eastAsia="es-CL"/>
              </w:rPr>
              <w:t>confid</w:t>
            </w:r>
            <w:proofErr w:type="spellEnd"/>
            <w:r w:rsidRPr="008574E7">
              <w:rPr>
                <w:rFonts w:ascii="Calibri" w:eastAsia="Times New Roman" w:hAnsi="Calibri" w:cs="Calibri"/>
                <w:b/>
                <w:bCs/>
                <w:color w:val="000000"/>
                <w:sz w:val="20"/>
                <w:lang w:val="en-GB" w:eastAsia="es-CL"/>
              </w:rPr>
              <w:t>(</w:t>
            </w:r>
            <w:proofErr w:type="gramEnd"/>
            <w:r w:rsidRPr="008574E7">
              <w:rPr>
                <w:rFonts w:ascii="Calibri" w:eastAsia="Times New Roman" w:hAnsi="Calibri" w:cs="Calibri"/>
                <w:b/>
                <w:bCs/>
                <w:color w:val="000000"/>
                <w:sz w:val="20"/>
                <w:lang w:val="en-GB" w:eastAsia="es-CL"/>
              </w:rPr>
              <w:t>-1)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-0.0038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0.0055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0.5062***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-0.0509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-0.0003</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(-0.7691)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(0.5000)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(3.8352)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(-0.7938)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(-0.7920)</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proofErr w:type="spellStart"/>
            <w:proofErr w:type="gramStart"/>
            <w:r w:rsidRPr="008574E7">
              <w:rPr>
                <w:rFonts w:ascii="Calibri" w:eastAsia="Times New Roman" w:hAnsi="Calibri" w:cs="Calibri"/>
                <w:b/>
                <w:bCs/>
                <w:color w:val="000000"/>
                <w:sz w:val="20"/>
                <w:lang w:val="en-GB" w:eastAsia="es-CL"/>
              </w:rPr>
              <w:t>uncert</w:t>
            </w:r>
            <w:proofErr w:type="spellEnd"/>
            <w:r w:rsidRPr="008574E7">
              <w:rPr>
                <w:rFonts w:ascii="Calibri" w:eastAsia="Times New Roman" w:hAnsi="Calibri" w:cs="Calibri"/>
                <w:b/>
                <w:bCs/>
                <w:color w:val="000000"/>
                <w:sz w:val="20"/>
                <w:lang w:val="en-GB" w:eastAsia="es-CL"/>
              </w:rPr>
              <w:t>(</w:t>
            </w:r>
            <w:proofErr w:type="gramEnd"/>
            <w:r w:rsidRPr="008574E7">
              <w:rPr>
                <w:rFonts w:ascii="Calibri" w:eastAsia="Times New Roman" w:hAnsi="Calibri" w:cs="Calibri"/>
                <w:b/>
                <w:bCs/>
                <w:color w:val="000000"/>
                <w:sz w:val="20"/>
                <w:lang w:val="en-GB" w:eastAsia="es-CL"/>
              </w:rPr>
              <w:t>-1)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-0.0192*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0.0338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-0.0054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0.1557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-0.0010</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(-1.8530)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(1.4781)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(-0.0196)</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(1.1631)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(-1.4362)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906432" w:rsidP="008574E7">
            <w:pPr>
              <w:rPr>
                <w:rFonts w:ascii="Calibri" w:eastAsia="Times New Roman" w:hAnsi="Calibri" w:cs="Calibri"/>
                <w:b/>
                <w:bCs/>
                <w:color w:val="000000"/>
                <w:sz w:val="20"/>
                <w:lang w:val="en-GB" w:eastAsia="es-CL"/>
              </w:rPr>
            </w:pPr>
            <w:proofErr w:type="spellStart"/>
            <w:proofErr w:type="gramStart"/>
            <w:r>
              <w:rPr>
                <w:rFonts w:ascii="Calibri" w:eastAsia="Times New Roman" w:hAnsi="Calibri" w:cs="Calibri"/>
                <w:b/>
                <w:bCs/>
                <w:color w:val="000000"/>
                <w:sz w:val="20"/>
                <w:lang w:val="en-GB" w:eastAsia="es-CL"/>
              </w:rPr>
              <w:t>imacec</w:t>
            </w:r>
            <w:proofErr w:type="spellEnd"/>
            <w:r w:rsidR="008574E7" w:rsidRPr="008574E7">
              <w:rPr>
                <w:rFonts w:ascii="Calibri" w:eastAsia="Times New Roman" w:hAnsi="Calibri" w:cs="Calibri"/>
                <w:b/>
                <w:bCs/>
                <w:color w:val="000000"/>
                <w:sz w:val="20"/>
                <w:lang w:val="en-GB" w:eastAsia="es-CL"/>
              </w:rPr>
              <w:t>(</w:t>
            </w:r>
            <w:proofErr w:type="gramEnd"/>
            <w:r w:rsidR="008574E7" w:rsidRPr="008574E7">
              <w:rPr>
                <w:rFonts w:ascii="Calibri" w:eastAsia="Times New Roman" w:hAnsi="Calibri" w:cs="Calibri"/>
                <w:b/>
                <w:bCs/>
                <w:color w:val="000000"/>
                <w:sz w:val="20"/>
                <w:lang w:val="en-GB" w:eastAsia="es-CL"/>
              </w:rPr>
              <w:t>-1)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-1.2625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6.1579*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26.4273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-6.4083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0.3063***</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(-0.8649)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(1.9083)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(0.6796)</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(-0.3391)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(3.1612)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pc1(-2)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-0.4907***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0.1234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-6.4857**</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-0.2388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0.0044</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(-4.6423)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(0.5280)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(-2.3035)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(-0.1746)</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(0.6298)</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r w:rsidRPr="008574E7">
              <w:rPr>
                <w:rFonts w:ascii="Calibri" w:eastAsia="Times New Roman" w:hAnsi="Calibri" w:cs="Calibri"/>
                <w:b/>
                <w:bCs/>
                <w:color w:val="000000"/>
                <w:sz w:val="20"/>
                <w:lang w:val="en-GB" w:eastAsia="es-CL"/>
              </w:rPr>
              <w:t>pc2(-2)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0.0601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-0.0123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-2.5030*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0.3648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0.0047</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(1.0985)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(-0.1019)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(-1.7184)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(0.5154)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(1.3065)</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proofErr w:type="spellStart"/>
            <w:proofErr w:type="gramStart"/>
            <w:r w:rsidRPr="008574E7">
              <w:rPr>
                <w:rFonts w:ascii="Calibri" w:eastAsia="Times New Roman" w:hAnsi="Calibri" w:cs="Calibri"/>
                <w:b/>
                <w:bCs/>
                <w:color w:val="000000"/>
                <w:sz w:val="20"/>
                <w:lang w:val="en-GB" w:eastAsia="es-CL"/>
              </w:rPr>
              <w:t>confid</w:t>
            </w:r>
            <w:proofErr w:type="spellEnd"/>
            <w:r w:rsidRPr="008574E7">
              <w:rPr>
                <w:rFonts w:ascii="Calibri" w:eastAsia="Times New Roman" w:hAnsi="Calibri" w:cs="Calibri"/>
                <w:b/>
                <w:bCs/>
                <w:color w:val="000000"/>
                <w:sz w:val="20"/>
                <w:lang w:val="en-GB" w:eastAsia="es-CL"/>
              </w:rPr>
              <w:t>(</w:t>
            </w:r>
            <w:proofErr w:type="gramEnd"/>
            <w:r w:rsidRPr="008574E7">
              <w:rPr>
                <w:rFonts w:ascii="Calibri" w:eastAsia="Times New Roman" w:hAnsi="Calibri" w:cs="Calibri"/>
                <w:b/>
                <w:bCs/>
                <w:color w:val="000000"/>
                <w:sz w:val="20"/>
                <w:lang w:val="en-GB" w:eastAsia="es-CL"/>
              </w:rPr>
              <w:t>-2)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0.0072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-0.0035</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0.2463**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-0.0951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0.0004</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(1.5311)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(-0.3364)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(1.9764)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(-1.5703)</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(1.1802)</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rPr>
                <w:rFonts w:ascii="Calibri" w:eastAsia="Times New Roman" w:hAnsi="Calibri" w:cs="Calibri"/>
                <w:b/>
                <w:bCs/>
                <w:color w:val="000000"/>
                <w:sz w:val="20"/>
                <w:lang w:val="en-GB" w:eastAsia="es-CL"/>
              </w:rPr>
            </w:pPr>
            <w:proofErr w:type="spellStart"/>
            <w:proofErr w:type="gramStart"/>
            <w:r w:rsidRPr="008574E7">
              <w:rPr>
                <w:rFonts w:ascii="Calibri" w:eastAsia="Times New Roman" w:hAnsi="Calibri" w:cs="Calibri"/>
                <w:b/>
                <w:bCs/>
                <w:color w:val="000000"/>
                <w:sz w:val="20"/>
                <w:lang w:val="en-GB" w:eastAsia="es-CL"/>
              </w:rPr>
              <w:t>uncert</w:t>
            </w:r>
            <w:proofErr w:type="spellEnd"/>
            <w:r w:rsidRPr="008574E7">
              <w:rPr>
                <w:rFonts w:ascii="Calibri" w:eastAsia="Times New Roman" w:hAnsi="Calibri" w:cs="Calibri"/>
                <w:b/>
                <w:bCs/>
                <w:color w:val="000000"/>
                <w:sz w:val="20"/>
                <w:lang w:val="en-GB" w:eastAsia="es-CL"/>
              </w:rPr>
              <w:t>(</w:t>
            </w:r>
            <w:proofErr w:type="gramEnd"/>
            <w:r w:rsidRPr="008574E7">
              <w:rPr>
                <w:rFonts w:ascii="Calibri" w:eastAsia="Times New Roman" w:hAnsi="Calibri" w:cs="Calibri"/>
                <w:b/>
                <w:bCs/>
                <w:color w:val="000000"/>
                <w:sz w:val="20"/>
                <w:lang w:val="en-GB" w:eastAsia="es-CL"/>
              </w:rPr>
              <w:t>-2)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-0.0022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0.0180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-0.2339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0.1549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-0.0004</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(-0.2222)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(0.8294)</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(-0.8960)</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(1.2212)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(-0.5491)</w:t>
            </w:r>
          </w:p>
        </w:tc>
      </w:tr>
      <w:tr w:rsidR="008574E7" w:rsidRPr="008574E7" w:rsidTr="008574E7">
        <w:trPr>
          <w:jc w:val="center"/>
        </w:trPr>
        <w:tc>
          <w:tcPr>
            <w:tcW w:w="1360" w:type="dxa"/>
            <w:tcBorders>
              <w:top w:val="nil"/>
              <w:left w:val="nil"/>
              <w:bottom w:val="nil"/>
              <w:right w:val="nil"/>
            </w:tcBorders>
            <w:noWrap/>
            <w:vAlign w:val="bottom"/>
            <w:hideMark/>
          </w:tcPr>
          <w:p w:rsidR="008574E7" w:rsidRPr="008574E7" w:rsidRDefault="00906432" w:rsidP="008574E7">
            <w:pPr>
              <w:rPr>
                <w:rFonts w:ascii="Calibri" w:eastAsia="Times New Roman" w:hAnsi="Calibri" w:cs="Calibri"/>
                <w:b/>
                <w:bCs/>
                <w:color w:val="000000"/>
                <w:sz w:val="20"/>
                <w:lang w:val="en-GB" w:eastAsia="es-CL"/>
              </w:rPr>
            </w:pPr>
            <w:proofErr w:type="spellStart"/>
            <w:proofErr w:type="gramStart"/>
            <w:r>
              <w:rPr>
                <w:rFonts w:ascii="Calibri" w:eastAsia="Times New Roman" w:hAnsi="Calibri" w:cs="Calibri"/>
                <w:b/>
                <w:bCs/>
                <w:color w:val="000000"/>
                <w:sz w:val="20"/>
                <w:lang w:val="en-GB" w:eastAsia="es-CL"/>
              </w:rPr>
              <w:t>imacec</w:t>
            </w:r>
            <w:proofErr w:type="spellEnd"/>
            <w:r w:rsidR="008574E7" w:rsidRPr="008574E7">
              <w:rPr>
                <w:rFonts w:ascii="Calibri" w:eastAsia="Times New Roman" w:hAnsi="Calibri" w:cs="Calibri"/>
                <w:b/>
                <w:bCs/>
                <w:color w:val="000000"/>
                <w:sz w:val="20"/>
                <w:lang w:val="en-GB" w:eastAsia="es-CL"/>
              </w:rPr>
              <w:t>(</w:t>
            </w:r>
            <w:proofErr w:type="gramEnd"/>
            <w:r w:rsidR="008574E7" w:rsidRPr="008574E7">
              <w:rPr>
                <w:rFonts w:ascii="Calibri" w:eastAsia="Times New Roman" w:hAnsi="Calibri" w:cs="Calibri"/>
                <w:b/>
                <w:bCs/>
                <w:color w:val="000000"/>
                <w:sz w:val="20"/>
                <w:lang w:val="en-GB" w:eastAsia="es-CL"/>
              </w:rPr>
              <w:t>-2)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-1.7559</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-2.2031</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-54.0262</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9.0268</w:t>
            </w:r>
          </w:p>
        </w:tc>
        <w:tc>
          <w:tcPr>
            <w:tcW w:w="1200" w:type="dxa"/>
            <w:tcBorders>
              <w:top w:val="nil"/>
              <w:left w:val="nil"/>
              <w:bottom w:val="nil"/>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0.2369***</w:t>
            </w:r>
          </w:p>
        </w:tc>
      </w:tr>
      <w:tr w:rsidR="008574E7" w:rsidRPr="008574E7" w:rsidTr="008574E7">
        <w:trPr>
          <w:jc w:val="center"/>
        </w:trPr>
        <w:tc>
          <w:tcPr>
            <w:tcW w:w="136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p>
        </w:tc>
        <w:tc>
          <w:tcPr>
            <w:tcW w:w="120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(-1.2729)</w:t>
            </w:r>
          </w:p>
        </w:tc>
        <w:tc>
          <w:tcPr>
            <w:tcW w:w="120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(-0.7224)</w:t>
            </w:r>
          </w:p>
        </w:tc>
        <w:tc>
          <w:tcPr>
            <w:tcW w:w="120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(-1.4702)</w:t>
            </w:r>
          </w:p>
        </w:tc>
        <w:tc>
          <w:tcPr>
            <w:tcW w:w="120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(0.5055)</w:t>
            </w:r>
          </w:p>
        </w:tc>
        <w:tc>
          <w:tcPr>
            <w:tcW w:w="1200" w:type="dxa"/>
            <w:tcBorders>
              <w:top w:val="nil"/>
              <w:left w:val="nil"/>
              <w:bottom w:val="single" w:sz="4" w:space="0" w:color="auto"/>
              <w:right w:val="nil"/>
            </w:tcBorders>
            <w:noWrap/>
            <w:vAlign w:val="bottom"/>
            <w:hideMark/>
          </w:tcPr>
          <w:p w:rsidR="008574E7" w:rsidRPr="008574E7" w:rsidRDefault="008574E7" w:rsidP="008574E7">
            <w:pPr>
              <w:jc w:val="right"/>
              <w:rPr>
                <w:rFonts w:ascii="Calibri" w:eastAsia="Times New Roman" w:hAnsi="Calibri" w:cs="Calibri"/>
                <w:color w:val="000000"/>
                <w:sz w:val="20"/>
                <w:lang w:val="en-GB" w:eastAsia="es-CL"/>
              </w:rPr>
            </w:pPr>
            <w:r w:rsidRPr="008574E7">
              <w:rPr>
                <w:rFonts w:ascii="Calibri" w:eastAsia="Times New Roman" w:hAnsi="Calibri" w:cs="Calibri"/>
                <w:color w:val="000000"/>
                <w:sz w:val="20"/>
                <w:lang w:val="en-GB" w:eastAsia="es-CL"/>
              </w:rPr>
              <w:t>(2.5874)</w:t>
            </w:r>
          </w:p>
        </w:tc>
      </w:tr>
    </w:tbl>
    <w:p w:rsidR="008574E7" w:rsidRPr="008574E7" w:rsidRDefault="008574E7" w:rsidP="008574E7">
      <w:pPr>
        <w:jc w:val="center"/>
        <w:rPr>
          <w:sz w:val="20"/>
          <w:lang w:val="en-GB"/>
        </w:rPr>
      </w:pPr>
      <w:r w:rsidRPr="008574E7">
        <w:rPr>
          <w:sz w:val="20"/>
          <w:lang w:val="en-GB"/>
        </w:rPr>
        <w:t>t-values in parenthesis. * p &lt; 0,1, ** p &lt; 0.05, *** p &lt; 0.01</w:t>
      </w:r>
    </w:p>
    <w:p w:rsidR="008574E7" w:rsidRPr="008574E7" w:rsidRDefault="008574E7" w:rsidP="008574E7">
      <w:pPr>
        <w:jc w:val="both"/>
        <w:rPr>
          <w:lang w:val="en-GB"/>
        </w:rPr>
      </w:pPr>
    </w:p>
    <w:p w:rsidR="00E15403" w:rsidRDefault="009E05B2" w:rsidP="00787086">
      <w:pPr>
        <w:jc w:val="both"/>
        <w:rPr>
          <w:lang w:val="en-US"/>
        </w:rPr>
      </w:pPr>
      <w:r>
        <w:rPr>
          <w:lang w:val="en-US"/>
        </w:rPr>
        <w:t>F</w:t>
      </w:r>
      <w:r w:rsidR="00787086">
        <w:rPr>
          <w:lang w:val="en-US"/>
        </w:rPr>
        <w:t xml:space="preserve">igure 4 show that, during the first period, 2008-2010, the main shocks affecting economic activity were the external shocks (pc1 and pc2) and </w:t>
      </w:r>
      <w:r w:rsidR="00CC2E68">
        <w:rPr>
          <w:lang w:val="en-US"/>
        </w:rPr>
        <w:t xml:space="preserve">the </w:t>
      </w:r>
      <w:r w:rsidR="00787086">
        <w:rPr>
          <w:lang w:val="en-US"/>
        </w:rPr>
        <w:t>confidence shocks. During the period 2011-2013, the confidence shock</w:t>
      </w:r>
      <w:r w:rsidR="009947D9">
        <w:rPr>
          <w:lang w:val="en-US"/>
        </w:rPr>
        <w:t xml:space="preserve">s were </w:t>
      </w:r>
      <w:r w:rsidR="00787086">
        <w:rPr>
          <w:lang w:val="en-US"/>
        </w:rPr>
        <w:t>the most important, followed by the uncertainty shocks and one of the external shocks (pc2). Finally, in the period 2014-2016, the most important negative shocks were the confidence shock</w:t>
      </w:r>
      <w:r w:rsidR="009947D9">
        <w:rPr>
          <w:lang w:val="en-US"/>
        </w:rPr>
        <w:t>s</w:t>
      </w:r>
      <w:r w:rsidR="00787086">
        <w:rPr>
          <w:lang w:val="en-US"/>
        </w:rPr>
        <w:t xml:space="preserve"> and the external shock</w:t>
      </w:r>
      <w:r w:rsidR="009947D9">
        <w:rPr>
          <w:lang w:val="en-US"/>
        </w:rPr>
        <w:t>s</w:t>
      </w:r>
      <w:r w:rsidR="00787086">
        <w:rPr>
          <w:lang w:val="en-US"/>
        </w:rPr>
        <w:t xml:space="preserve"> pc2. Besides, </w:t>
      </w:r>
      <w:proofErr w:type="gramStart"/>
      <w:r w:rsidR="00787086">
        <w:rPr>
          <w:lang w:val="en-US"/>
        </w:rPr>
        <w:t>it can be seen that the</w:t>
      </w:r>
      <w:proofErr w:type="gramEnd"/>
      <w:r w:rsidR="00787086">
        <w:rPr>
          <w:lang w:val="en-US"/>
        </w:rPr>
        <w:t xml:space="preserve"> confidence shock</w:t>
      </w:r>
      <w:r w:rsidR="009947D9">
        <w:rPr>
          <w:lang w:val="en-US"/>
        </w:rPr>
        <w:t>s</w:t>
      </w:r>
      <w:r w:rsidR="00787086">
        <w:rPr>
          <w:lang w:val="en-US"/>
        </w:rPr>
        <w:t xml:space="preserve"> </w:t>
      </w:r>
      <w:r w:rsidR="009947D9">
        <w:rPr>
          <w:lang w:val="en-US"/>
        </w:rPr>
        <w:t xml:space="preserve">have </w:t>
      </w:r>
      <w:r w:rsidR="00787086">
        <w:rPr>
          <w:lang w:val="en-US"/>
        </w:rPr>
        <w:t>been more important than the external shock</w:t>
      </w:r>
      <w:r w:rsidR="009947D9">
        <w:rPr>
          <w:lang w:val="en-US"/>
        </w:rPr>
        <w:t>s</w:t>
      </w:r>
      <w:r w:rsidR="00787086">
        <w:rPr>
          <w:lang w:val="en-US"/>
        </w:rPr>
        <w:t>.</w:t>
      </w:r>
    </w:p>
    <w:p w:rsidR="00787086" w:rsidRDefault="00787086" w:rsidP="00787086">
      <w:pPr>
        <w:jc w:val="both"/>
        <w:rPr>
          <w:lang w:val="en-US"/>
        </w:rPr>
      </w:pPr>
    </w:p>
    <w:p w:rsidR="00787086" w:rsidRPr="00787086" w:rsidRDefault="00787086" w:rsidP="00787086">
      <w:pPr>
        <w:jc w:val="both"/>
        <w:rPr>
          <w:lang w:val="en-GB"/>
        </w:rPr>
      </w:pPr>
      <w:r>
        <w:rPr>
          <w:lang w:val="en-US"/>
        </w:rPr>
        <w:t xml:space="preserve">Figure 5 show the annual average of the sum of the external shocks (pc1 + pc2) and internal shocks (confidence + uncertainty + </w:t>
      </w:r>
      <w:proofErr w:type="spellStart"/>
      <w:r w:rsidR="009947D9">
        <w:rPr>
          <w:lang w:val="en-US"/>
        </w:rPr>
        <w:t>imacec</w:t>
      </w:r>
      <w:proofErr w:type="spellEnd"/>
      <w:r>
        <w:rPr>
          <w:lang w:val="en-US"/>
        </w:rPr>
        <w:t xml:space="preserve">). During the first period, 2008-2010, both types of shocks </w:t>
      </w:r>
      <w:r w:rsidRPr="00787086">
        <w:rPr>
          <w:lang w:val="en-GB"/>
        </w:rPr>
        <w:t xml:space="preserve">were very correlated. Then, between 2011 and 2013, </w:t>
      </w:r>
      <w:r w:rsidR="0023077C">
        <w:rPr>
          <w:lang w:val="en-GB"/>
        </w:rPr>
        <w:t xml:space="preserve">in the first place </w:t>
      </w:r>
      <w:r w:rsidRPr="00787086">
        <w:rPr>
          <w:lang w:val="en-GB"/>
        </w:rPr>
        <w:t>the external shocks were the most important</w:t>
      </w:r>
      <w:r w:rsidR="0023077C">
        <w:rPr>
          <w:lang w:val="en-GB"/>
        </w:rPr>
        <w:t>, but then the internal shocks became more important. Finally, between 2014 and 2016, the external shocks were most important at the beginning of the period, causing the fall in the growth rate of the economy, but then, since 2005, the internal shocks have been the most negative ones.</w:t>
      </w:r>
    </w:p>
    <w:p w:rsidR="0023077C" w:rsidRPr="002359F7" w:rsidRDefault="0023077C" w:rsidP="00B1593D">
      <w:pPr>
        <w:pStyle w:val="Descripcin"/>
        <w:jc w:val="center"/>
        <w:rPr>
          <w:lang w:val="en-US"/>
        </w:rPr>
      </w:pPr>
    </w:p>
    <w:p w:rsidR="00B1593D" w:rsidRPr="0059435A" w:rsidRDefault="00B1593D" w:rsidP="00B1593D">
      <w:pPr>
        <w:pStyle w:val="Descripcin"/>
        <w:jc w:val="center"/>
        <w:rPr>
          <w:lang w:val="en-US"/>
        </w:rPr>
      </w:pPr>
      <w:r w:rsidRPr="0059435A">
        <w:rPr>
          <w:lang w:val="en-US"/>
        </w:rPr>
        <w:lastRenderedPageBreak/>
        <w:t>Figur</w:t>
      </w:r>
      <w:r w:rsidR="0059435A" w:rsidRPr="0059435A">
        <w:rPr>
          <w:lang w:val="en-US"/>
        </w:rPr>
        <w:t>e</w:t>
      </w:r>
      <w:r w:rsidRPr="0059435A">
        <w:rPr>
          <w:lang w:val="en-US"/>
        </w:rPr>
        <w:t xml:space="preserve"> </w:t>
      </w:r>
      <w:r w:rsidR="00C006DF" w:rsidRPr="0059435A">
        <w:rPr>
          <w:lang w:val="en-US"/>
        </w:rPr>
        <w:fldChar w:fldCharType="begin"/>
      </w:r>
      <w:r w:rsidR="00C006DF" w:rsidRPr="0059435A">
        <w:rPr>
          <w:lang w:val="en-US"/>
        </w:rPr>
        <w:instrText xml:space="preserve"> SEQ Figura \* ARABIC </w:instrText>
      </w:r>
      <w:r w:rsidR="00C006DF" w:rsidRPr="0059435A">
        <w:rPr>
          <w:lang w:val="en-US"/>
        </w:rPr>
        <w:fldChar w:fldCharType="separate"/>
      </w:r>
      <w:r w:rsidRPr="0059435A">
        <w:rPr>
          <w:noProof/>
          <w:lang w:val="en-US"/>
        </w:rPr>
        <w:t>4</w:t>
      </w:r>
      <w:r w:rsidR="00C006DF" w:rsidRPr="0059435A">
        <w:rPr>
          <w:noProof/>
          <w:lang w:val="en-US"/>
        </w:rPr>
        <w:fldChar w:fldCharType="end"/>
      </w:r>
      <w:r w:rsidRPr="0059435A">
        <w:rPr>
          <w:lang w:val="en-US"/>
        </w:rPr>
        <w:t xml:space="preserve">. </w:t>
      </w:r>
      <w:r w:rsidR="0059435A" w:rsidRPr="0059435A">
        <w:rPr>
          <w:lang w:val="en-US"/>
        </w:rPr>
        <w:t>Structural s</w:t>
      </w:r>
      <w:r w:rsidR="00E15403" w:rsidRPr="0059435A">
        <w:rPr>
          <w:lang w:val="en-US"/>
        </w:rPr>
        <w:t xml:space="preserve">hocks </w:t>
      </w:r>
      <w:r w:rsidR="0059435A" w:rsidRPr="0059435A">
        <w:rPr>
          <w:lang w:val="en-US"/>
        </w:rPr>
        <w:t xml:space="preserve">to growth rate of </w:t>
      </w:r>
      <w:r w:rsidR="00E15403" w:rsidRPr="0059435A">
        <w:rPr>
          <w:lang w:val="en-US"/>
        </w:rPr>
        <w:t>IMACEC</w:t>
      </w:r>
    </w:p>
    <w:p w:rsidR="007B0B9E" w:rsidRPr="00A10ACC" w:rsidRDefault="0059435A" w:rsidP="00C71B83">
      <w:pPr>
        <w:jc w:val="center"/>
        <w:rPr>
          <w:lang w:val="en-GB"/>
        </w:rPr>
      </w:pPr>
      <w:r>
        <w:rPr>
          <w:noProof/>
          <w:lang w:val="en-GB"/>
        </w:rPr>
        <w:drawing>
          <wp:inline distT="0" distB="0" distL="0" distR="0" wp14:anchorId="269718D6">
            <wp:extent cx="4584700" cy="2755900"/>
            <wp:effectExtent l="0" t="0" r="6350" b="635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4A2BD5" w:rsidRPr="00A10ACC" w:rsidRDefault="004A2BD5" w:rsidP="00B6042F">
      <w:pPr>
        <w:jc w:val="both"/>
        <w:rPr>
          <w:lang w:val="en-GB"/>
        </w:rPr>
      </w:pPr>
    </w:p>
    <w:p w:rsidR="00E15403" w:rsidRPr="0059435A" w:rsidRDefault="0059435A" w:rsidP="00E15403">
      <w:pPr>
        <w:pStyle w:val="Descripcin"/>
        <w:jc w:val="center"/>
        <w:rPr>
          <w:lang w:val="en-GB"/>
        </w:rPr>
      </w:pPr>
      <w:r>
        <w:rPr>
          <w:lang w:val="en-GB"/>
        </w:rPr>
        <w:t>Figure</w:t>
      </w:r>
      <w:r w:rsidR="00E15403" w:rsidRPr="0059435A">
        <w:rPr>
          <w:lang w:val="en-GB"/>
        </w:rPr>
        <w:t xml:space="preserve"> </w:t>
      </w:r>
      <w:r w:rsidR="00C006DF" w:rsidRPr="0059435A">
        <w:rPr>
          <w:lang w:val="en-GB"/>
        </w:rPr>
        <w:fldChar w:fldCharType="begin"/>
      </w:r>
      <w:r w:rsidR="00C006DF" w:rsidRPr="0059435A">
        <w:rPr>
          <w:lang w:val="en-GB"/>
        </w:rPr>
        <w:instrText xml:space="preserve"> SEQ Figura \* ARABIC </w:instrText>
      </w:r>
      <w:r w:rsidR="00C006DF" w:rsidRPr="0059435A">
        <w:rPr>
          <w:lang w:val="en-GB"/>
        </w:rPr>
        <w:fldChar w:fldCharType="separate"/>
      </w:r>
      <w:r w:rsidR="00E15403" w:rsidRPr="0059435A">
        <w:rPr>
          <w:noProof/>
          <w:lang w:val="en-GB"/>
        </w:rPr>
        <w:t>5</w:t>
      </w:r>
      <w:r w:rsidR="00C006DF" w:rsidRPr="0059435A">
        <w:rPr>
          <w:noProof/>
          <w:lang w:val="en-GB"/>
        </w:rPr>
        <w:fldChar w:fldCharType="end"/>
      </w:r>
      <w:r w:rsidR="00E15403" w:rsidRPr="0059435A">
        <w:rPr>
          <w:lang w:val="en-GB"/>
        </w:rPr>
        <w:t xml:space="preserve">. </w:t>
      </w:r>
      <w:r>
        <w:rPr>
          <w:lang w:val="en-GB"/>
        </w:rPr>
        <w:t xml:space="preserve">External and Internal shocks to growth rate of </w:t>
      </w:r>
      <w:r w:rsidR="00E15403" w:rsidRPr="0059435A">
        <w:rPr>
          <w:lang w:val="en-GB"/>
        </w:rPr>
        <w:t>IMACEC</w:t>
      </w:r>
    </w:p>
    <w:p w:rsidR="00E15403" w:rsidRPr="00A10ACC" w:rsidRDefault="0059435A" w:rsidP="00E15403">
      <w:pPr>
        <w:jc w:val="center"/>
        <w:rPr>
          <w:lang w:val="en-GB"/>
        </w:rPr>
      </w:pPr>
      <w:r>
        <w:rPr>
          <w:noProof/>
          <w:lang w:val="en-GB"/>
        </w:rPr>
        <w:drawing>
          <wp:inline distT="0" distB="0" distL="0" distR="0" wp14:anchorId="3C7D6A3F">
            <wp:extent cx="4584700" cy="2755900"/>
            <wp:effectExtent l="0" t="0" r="6350" b="635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15403" w:rsidRPr="00A10ACC" w:rsidRDefault="00E15403" w:rsidP="00B6042F">
      <w:pPr>
        <w:jc w:val="both"/>
        <w:rPr>
          <w:lang w:val="en-GB"/>
        </w:rPr>
      </w:pPr>
    </w:p>
    <w:p w:rsidR="000527E0" w:rsidRPr="00A10ACC" w:rsidRDefault="000527E0" w:rsidP="000527E0">
      <w:pPr>
        <w:pStyle w:val="Ttulo2"/>
        <w:numPr>
          <w:ilvl w:val="1"/>
          <w:numId w:val="4"/>
        </w:numPr>
        <w:rPr>
          <w:lang w:val="en-GB"/>
        </w:rPr>
      </w:pPr>
      <w:r w:rsidRPr="00A10ACC">
        <w:rPr>
          <w:lang w:val="en-GB"/>
        </w:rPr>
        <w:t xml:space="preserve">Rolling Windows </w:t>
      </w:r>
      <w:r w:rsidR="0023077C">
        <w:rPr>
          <w:lang w:val="en-GB"/>
        </w:rPr>
        <w:t>estimations</w:t>
      </w:r>
    </w:p>
    <w:p w:rsidR="000527E0" w:rsidRDefault="000527E0" w:rsidP="00B6042F">
      <w:pPr>
        <w:jc w:val="both"/>
        <w:rPr>
          <w:lang w:val="en-GB"/>
        </w:rPr>
      </w:pPr>
    </w:p>
    <w:p w:rsidR="0023077C" w:rsidRDefault="00310019" w:rsidP="00B6042F">
      <w:pPr>
        <w:jc w:val="both"/>
        <w:rPr>
          <w:lang w:val="en-GB"/>
        </w:rPr>
      </w:pPr>
      <w:r>
        <w:rPr>
          <w:lang w:val="en-GB"/>
        </w:rPr>
        <w:t xml:space="preserve">The second methodological approach is based on Rolling Windows regressions, by using sub-samples of 36 months each one, allowing to perform 76 estimations. </w:t>
      </w:r>
      <w:r w:rsidR="00DC53B9">
        <w:rPr>
          <w:lang w:val="en-GB"/>
        </w:rPr>
        <w:t xml:space="preserve">Each estimation used standardized data (within each sub-sample), to obtain comparable coefficients. The estimated coefficients of each sub-sample were stored and </w:t>
      </w:r>
      <w:r w:rsidR="00A91E8A">
        <w:rPr>
          <w:lang w:val="en-GB"/>
        </w:rPr>
        <w:t>then, f</w:t>
      </w:r>
      <w:r w:rsidR="00DC53B9">
        <w:rPr>
          <w:lang w:val="en-GB"/>
        </w:rPr>
        <w:t xml:space="preserve">or each variable, the sum of the coefficients of each lag </w:t>
      </w:r>
      <w:r w:rsidR="00A91E8A">
        <w:rPr>
          <w:lang w:val="en-GB"/>
        </w:rPr>
        <w:t xml:space="preserve">was </w:t>
      </w:r>
      <w:r w:rsidR="00DC53B9">
        <w:rPr>
          <w:lang w:val="en-GB"/>
        </w:rPr>
        <w:t xml:space="preserve">plotted in </w:t>
      </w:r>
      <w:r w:rsidR="00A91E8A">
        <w:rPr>
          <w:lang w:val="en-GB"/>
        </w:rPr>
        <w:t xml:space="preserve">the </w:t>
      </w:r>
      <w:r w:rsidR="00DC53B9">
        <w:rPr>
          <w:lang w:val="en-GB"/>
        </w:rPr>
        <w:t xml:space="preserve">date corresponding to the last period of </w:t>
      </w:r>
      <w:r w:rsidR="00A91E8A">
        <w:rPr>
          <w:lang w:val="en-GB"/>
        </w:rPr>
        <w:t xml:space="preserve">the corresponding </w:t>
      </w:r>
      <w:r w:rsidR="00DC53B9">
        <w:rPr>
          <w:lang w:val="en-GB"/>
        </w:rPr>
        <w:t>sub-sample.</w:t>
      </w:r>
    </w:p>
    <w:p w:rsidR="00DC53B9" w:rsidRDefault="00DC53B9" w:rsidP="00B6042F">
      <w:pPr>
        <w:jc w:val="both"/>
        <w:rPr>
          <w:lang w:val="en-GB"/>
        </w:rPr>
      </w:pPr>
    </w:p>
    <w:p w:rsidR="004A2BD5" w:rsidRPr="00DC53B9" w:rsidRDefault="00DC53B9" w:rsidP="000527E0">
      <w:pPr>
        <w:jc w:val="both"/>
        <w:rPr>
          <w:lang w:val="en-US"/>
        </w:rPr>
      </w:pPr>
      <w:r>
        <w:rPr>
          <w:lang w:val="en-GB"/>
        </w:rPr>
        <w:lastRenderedPageBreak/>
        <w:t xml:space="preserve">Figures 6 and 7 </w:t>
      </w:r>
      <w:proofErr w:type="gramStart"/>
      <w:r>
        <w:rPr>
          <w:lang w:val="en-GB"/>
        </w:rPr>
        <w:t>show</w:t>
      </w:r>
      <w:proofErr w:type="gramEnd"/>
      <w:r>
        <w:rPr>
          <w:lang w:val="en-GB"/>
        </w:rPr>
        <w:t xml:space="preserve"> that</w:t>
      </w:r>
      <w:r w:rsidR="00A91E8A">
        <w:rPr>
          <w:lang w:val="en-GB"/>
        </w:rPr>
        <w:t>,</w:t>
      </w:r>
      <w:r>
        <w:rPr>
          <w:lang w:val="en-GB"/>
        </w:rPr>
        <w:t xml:space="preserve"> during the period 2008-2010, the most important coefficients (with greater magnitude in absolute value) were those associated to the first external factor, pc1, as well as with the lags of the growth rate of IMACEC. In the second period, 2011-2013, initially the external factors were important, but then their importance decrease and increase (u-shaped). The effects of confidence and uncertainty are small at the beginning of the period, but at the end </w:t>
      </w:r>
      <w:r w:rsidR="00A91E8A">
        <w:rPr>
          <w:lang w:val="en-GB"/>
        </w:rPr>
        <w:t xml:space="preserve">became </w:t>
      </w:r>
      <w:r>
        <w:rPr>
          <w:lang w:val="en-GB"/>
        </w:rPr>
        <w:t xml:space="preserve">important. </w:t>
      </w:r>
      <w:r w:rsidR="00A91E8A">
        <w:rPr>
          <w:lang w:val="en-GB"/>
        </w:rPr>
        <w:t>Next, t</w:t>
      </w:r>
      <w:r>
        <w:rPr>
          <w:lang w:val="en-GB"/>
        </w:rPr>
        <w:t xml:space="preserve">he external </w:t>
      </w:r>
      <w:r w:rsidR="00A91E8A">
        <w:rPr>
          <w:lang w:val="en-GB"/>
        </w:rPr>
        <w:t xml:space="preserve">factor </w:t>
      </w:r>
      <w:r>
        <w:rPr>
          <w:lang w:val="en-GB"/>
        </w:rPr>
        <w:t xml:space="preserve">pc2 was the most important </w:t>
      </w:r>
      <w:r w:rsidR="00A91E8A">
        <w:rPr>
          <w:lang w:val="en-GB"/>
        </w:rPr>
        <w:t xml:space="preserve">determinant </w:t>
      </w:r>
      <w:r>
        <w:rPr>
          <w:lang w:val="en-GB"/>
        </w:rPr>
        <w:t>between 2014 and 2015, while the effect of uncertainty and confidence became important in 2016.</w:t>
      </w:r>
    </w:p>
    <w:p w:rsidR="00517F35" w:rsidRPr="00DC53B9" w:rsidRDefault="00517F35" w:rsidP="00B6042F">
      <w:pPr>
        <w:jc w:val="both"/>
        <w:rPr>
          <w:lang w:val="en-US"/>
        </w:rPr>
      </w:pPr>
    </w:p>
    <w:p w:rsidR="00517F35" w:rsidRPr="0059435A" w:rsidRDefault="0059435A" w:rsidP="00517F35">
      <w:pPr>
        <w:pStyle w:val="Descripcin"/>
        <w:jc w:val="center"/>
        <w:rPr>
          <w:lang w:val="en-GB"/>
        </w:rPr>
      </w:pPr>
      <w:r>
        <w:rPr>
          <w:lang w:val="en-GB"/>
        </w:rPr>
        <w:t>Figure</w:t>
      </w:r>
      <w:r w:rsidR="00517F35" w:rsidRPr="0059435A">
        <w:rPr>
          <w:lang w:val="en-GB"/>
        </w:rPr>
        <w:t xml:space="preserve"> </w:t>
      </w:r>
      <w:r w:rsidR="00C006DF" w:rsidRPr="0059435A">
        <w:rPr>
          <w:lang w:val="en-GB"/>
        </w:rPr>
        <w:fldChar w:fldCharType="begin"/>
      </w:r>
      <w:r w:rsidR="00C006DF" w:rsidRPr="0059435A">
        <w:rPr>
          <w:lang w:val="en-GB"/>
        </w:rPr>
        <w:instrText xml:space="preserve"> SEQ Figura \* ARABIC </w:instrText>
      </w:r>
      <w:r w:rsidR="00C006DF" w:rsidRPr="0059435A">
        <w:rPr>
          <w:lang w:val="en-GB"/>
        </w:rPr>
        <w:fldChar w:fldCharType="separate"/>
      </w:r>
      <w:r w:rsidR="00517F35" w:rsidRPr="0059435A">
        <w:rPr>
          <w:noProof/>
          <w:lang w:val="en-GB"/>
        </w:rPr>
        <w:t>6</w:t>
      </w:r>
      <w:r w:rsidR="00C006DF" w:rsidRPr="0059435A">
        <w:rPr>
          <w:noProof/>
          <w:lang w:val="en-GB"/>
        </w:rPr>
        <w:fldChar w:fldCharType="end"/>
      </w:r>
      <w:r w:rsidR="00517F35" w:rsidRPr="0059435A">
        <w:rPr>
          <w:lang w:val="en-GB"/>
        </w:rPr>
        <w:t xml:space="preserve">. </w:t>
      </w:r>
      <w:r>
        <w:rPr>
          <w:lang w:val="en-GB"/>
        </w:rPr>
        <w:t xml:space="preserve">Coefficients of the equation of the growth rate of </w:t>
      </w:r>
      <w:r w:rsidR="00517F35" w:rsidRPr="0059435A">
        <w:rPr>
          <w:lang w:val="en-GB"/>
        </w:rPr>
        <w:t>IMACEC</w:t>
      </w:r>
    </w:p>
    <w:p w:rsidR="00370DB6" w:rsidRPr="00A10ACC" w:rsidRDefault="00370DB6" w:rsidP="00517F35">
      <w:pPr>
        <w:jc w:val="center"/>
        <w:rPr>
          <w:lang w:val="en-GB"/>
        </w:rPr>
      </w:pPr>
      <w:r>
        <w:rPr>
          <w:noProof/>
          <w:lang w:val="en-GB"/>
        </w:rPr>
        <w:drawing>
          <wp:inline distT="0" distB="0" distL="0" distR="0" wp14:anchorId="3DE1688C">
            <wp:extent cx="4584700" cy="2749550"/>
            <wp:effectExtent l="0" t="0" r="635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4161A8" w:rsidRPr="00A10ACC" w:rsidRDefault="004161A8" w:rsidP="00FF7581">
      <w:pPr>
        <w:pStyle w:val="Descripcin"/>
        <w:jc w:val="center"/>
        <w:rPr>
          <w:lang w:val="en-GB"/>
        </w:rPr>
      </w:pPr>
    </w:p>
    <w:p w:rsidR="00FF7581" w:rsidRPr="00370DB6" w:rsidRDefault="00FF7581" w:rsidP="00FF7581">
      <w:pPr>
        <w:pStyle w:val="Descripcin"/>
        <w:jc w:val="center"/>
        <w:rPr>
          <w:lang w:val="en-US"/>
        </w:rPr>
      </w:pPr>
      <w:r w:rsidRPr="00370DB6">
        <w:rPr>
          <w:lang w:val="en-GB"/>
        </w:rPr>
        <w:t>Figur</w:t>
      </w:r>
      <w:r w:rsidR="00370DB6" w:rsidRPr="00370DB6">
        <w:rPr>
          <w:lang w:val="en-GB"/>
        </w:rPr>
        <w:t>e</w:t>
      </w:r>
      <w:r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4161A8" w:rsidRPr="00370DB6">
        <w:rPr>
          <w:noProof/>
          <w:lang w:val="en-GB"/>
        </w:rPr>
        <w:t>7</w:t>
      </w:r>
      <w:r w:rsidR="00C006DF" w:rsidRPr="00370DB6">
        <w:rPr>
          <w:noProof/>
          <w:lang w:val="en-GB"/>
        </w:rPr>
        <w:fldChar w:fldCharType="end"/>
      </w:r>
      <w:r w:rsidRPr="00370DB6">
        <w:rPr>
          <w:lang w:val="en-GB"/>
        </w:rPr>
        <w:t>.</w:t>
      </w:r>
      <w:r w:rsidR="00370DB6" w:rsidRPr="00370DB6">
        <w:rPr>
          <w:lang w:val="en-GB"/>
        </w:rPr>
        <w:t xml:space="preserve"> </w:t>
      </w:r>
      <w:r w:rsidR="00370DB6" w:rsidRPr="00370DB6">
        <w:rPr>
          <w:lang w:val="en-US"/>
        </w:rPr>
        <w:t xml:space="preserve">Coefficients of the equation of the growth </w:t>
      </w:r>
      <w:r w:rsidR="00370DB6">
        <w:rPr>
          <w:lang w:val="en-US"/>
        </w:rPr>
        <w:t>rate of</w:t>
      </w:r>
      <w:r w:rsidR="00370DB6" w:rsidRPr="00370DB6">
        <w:rPr>
          <w:lang w:val="en-US"/>
        </w:rPr>
        <w:t xml:space="preserve"> </w:t>
      </w:r>
      <w:r w:rsidRPr="00370DB6">
        <w:rPr>
          <w:lang w:val="en-US"/>
        </w:rPr>
        <w:t>IMACEC</w:t>
      </w:r>
      <w:r w:rsidR="004161A8" w:rsidRPr="00370DB6">
        <w:rPr>
          <w:lang w:val="en-US"/>
        </w:rPr>
        <w:t xml:space="preserve"> (</w:t>
      </w:r>
      <w:r w:rsidR="00370DB6">
        <w:rPr>
          <w:lang w:val="en-US"/>
        </w:rPr>
        <w:t>absolute value</w:t>
      </w:r>
      <w:r w:rsidR="004161A8" w:rsidRPr="00370DB6">
        <w:rPr>
          <w:lang w:val="en-US"/>
        </w:rPr>
        <w:t>)</w:t>
      </w:r>
    </w:p>
    <w:p w:rsidR="00370DB6" w:rsidRDefault="00370DB6" w:rsidP="004161A8">
      <w:pPr>
        <w:jc w:val="center"/>
        <w:rPr>
          <w:lang w:val="en-GB"/>
        </w:rPr>
      </w:pPr>
      <w:r>
        <w:rPr>
          <w:noProof/>
          <w:lang w:val="en-GB"/>
        </w:rPr>
        <w:drawing>
          <wp:inline distT="0" distB="0" distL="0" distR="0" wp14:anchorId="60D9177D">
            <wp:extent cx="4584700" cy="2749550"/>
            <wp:effectExtent l="0" t="0" r="635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370DB6" w:rsidRPr="00A10ACC" w:rsidRDefault="00370DB6" w:rsidP="004161A8">
      <w:pPr>
        <w:jc w:val="center"/>
        <w:rPr>
          <w:lang w:val="en-GB"/>
        </w:rPr>
      </w:pPr>
    </w:p>
    <w:p w:rsidR="000527E0" w:rsidRPr="00A10ACC" w:rsidRDefault="000527E0" w:rsidP="004161A8">
      <w:pPr>
        <w:jc w:val="both"/>
        <w:rPr>
          <w:lang w:val="en-GB"/>
        </w:rPr>
      </w:pPr>
    </w:p>
    <w:p w:rsidR="004A2BD5" w:rsidRPr="004A13D9" w:rsidRDefault="00DC53B9" w:rsidP="00E15403">
      <w:pPr>
        <w:jc w:val="both"/>
        <w:rPr>
          <w:lang w:val="en-US"/>
        </w:rPr>
      </w:pPr>
      <w:r>
        <w:rPr>
          <w:lang w:val="en-GB"/>
        </w:rPr>
        <w:lastRenderedPageBreak/>
        <w:t xml:space="preserve">Figures 8 and 9 show </w:t>
      </w:r>
      <w:r w:rsidR="004A13D9">
        <w:rPr>
          <w:lang w:val="en-GB"/>
        </w:rPr>
        <w:t xml:space="preserve">the sum of the coefficients of internal and external variables. According to this analysis, in the period 2008-2010 the external factors </w:t>
      </w:r>
      <w:r w:rsidR="00A91E8A">
        <w:rPr>
          <w:lang w:val="en-GB"/>
        </w:rPr>
        <w:t>had</w:t>
      </w:r>
      <w:r w:rsidR="004A13D9">
        <w:rPr>
          <w:lang w:val="en-GB"/>
        </w:rPr>
        <w:t xml:space="preserve"> the most important effect on economic </w:t>
      </w:r>
      <w:r w:rsidR="004A13D9" w:rsidRPr="004A13D9">
        <w:rPr>
          <w:lang w:val="en-GB"/>
        </w:rPr>
        <w:t>growth. During the period 2011-2013, the effect of both types of variables</w:t>
      </w:r>
      <w:r w:rsidR="004A13D9">
        <w:rPr>
          <w:lang w:val="en-GB"/>
        </w:rPr>
        <w:t xml:space="preserve"> was reduced, but at the end of the period the effects increased. </w:t>
      </w:r>
      <w:r w:rsidR="00370DB6" w:rsidRPr="004A13D9">
        <w:rPr>
          <w:lang w:val="en-US"/>
        </w:rPr>
        <w:t>Finally, between</w:t>
      </w:r>
      <w:r w:rsidR="004A13D9" w:rsidRPr="004A13D9">
        <w:rPr>
          <w:lang w:val="en-US"/>
        </w:rPr>
        <w:t xml:space="preserve"> 2014 and 2016, the external variables were the most important, </w:t>
      </w:r>
      <w:r w:rsidR="004A13D9">
        <w:rPr>
          <w:lang w:val="en-US"/>
        </w:rPr>
        <w:t>at least until 2015, while in 2016 the internal variables became the most important.</w:t>
      </w:r>
    </w:p>
    <w:p w:rsidR="00FF7581" w:rsidRPr="00993461" w:rsidRDefault="00FF7581" w:rsidP="00E15403">
      <w:pPr>
        <w:jc w:val="both"/>
        <w:rPr>
          <w:rFonts w:eastAsiaTheme="majorEastAsia" w:cstheme="majorBidi"/>
          <w:szCs w:val="26"/>
          <w:lang w:val="en-US"/>
        </w:rPr>
      </w:pPr>
    </w:p>
    <w:p w:rsidR="00370DB6" w:rsidRDefault="00FF7581" w:rsidP="00FF7581">
      <w:pPr>
        <w:pStyle w:val="Descripcin"/>
        <w:jc w:val="center"/>
        <w:rPr>
          <w:lang w:val="en-GB"/>
        </w:rPr>
      </w:pPr>
      <w:r w:rsidRPr="00370DB6">
        <w:rPr>
          <w:lang w:val="en-GB"/>
        </w:rPr>
        <w:t>Figur</w:t>
      </w:r>
      <w:r w:rsidR="00370DB6">
        <w:rPr>
          <w:lang w:val="en-GB"/>
        </w:rPr>
        <w:t>e</w:t>
      </w:r>
      <w:r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4161A8" w:rsidRPr="00370DB6">
        <w:rPr>
          <w:noProof/>
          <w:lang w:val="en-GB"/>
        </w:rPr>
        <w:t>8</w:t>
      </w:r>
      <w:r w:rsidR="00C006DF" w:rsidRPr="00370DB6">
        <w:rPr>
          <w:noProof/>
          <w:lang w:val="en-GB"/>
        </w:rPr>
        <w:fldChar w:fldCharType="end"/>
      </w:r>
      <w:r w:rsidRPr="00370DB6">
        <w:rPr>
          <w:lang w:val="en-GB"/>
        </w:rPr>
        <w:t xml:space="preserve">. </w:t>
      </w:r>
      <w:r w:rsidR="00370DB6">
        <w:rPr>
          <w:lang w:val="en-GB"/>
        </w:rPr>
        <w:t>Coefficients of internal and external factors of the equation of growth rate of IMACEC</w:t>
      </w:r>
    </w:p>
    <w:p w:rsidR="00B41190" w:rsidRPr="00A10ACC" w:rsidRDefault="00B41190" w:rsidP="00FF7581">
      <w:pPr>
        <w:jc w:val="center"/>
        <w:rPr>
          <w:lang w:val="en-GB"/>
        </w:rPr>
      </w:pPr>
      <w:r>
        <w:rPr>
          <w:noProof/>
          <w:lang w:val="en-GB"/>
        </w:rPr>
        <w:drawing>
          <wp:inline distT="0" distB="0" distL="0" distR="0" wp14:anchorId="10BA1B5C">
            <wp:extent cx="4584700" cy="2749550"/>
            <wp:effectExtent l="0" t="0" r="635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4161A8" w:rsidRPr="00A10ACC" w:rsidRDefault="004161A8" w:rsidP="00FF7581">
      <w:pPr>
        <w:jc w:val="center"/>
        <w:rPr>
          <w:lang w:val="en-GB"/>
        </w:rPr>
      </w:pPr>
    </w:p>
    <w:p w:rsidR="004161A8" w:rsidRPr="00370DB6" w:rsidRDefault="00370DB6" w:rsidP="00370DB6">
      <w:pPr>
        <w:pStyle w:val="Descripcin"/>
        <w:jc w:val="center"/>
        <w:rPr>
          <w:lang w:val="en-GB"/>
        </w:rPr>
      </w:pPr>
      <w:r w:rsidRPr="00370DB6">
        <w:rPr>
          <w:lang w:val="en-GB"/>
        </w:rPr>
        <w:t>Figure</w:t>
      </w:r>
      <w:r w:rsidR="004161A8"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4161A8" w:rsidRPr="00370DB6">
        <w:rPr>
          <w:noProof/>
          <w:lang w:val="en-GB"/>
        </w:rPr>
        <w:t>9</w:t>
      </w:r>
      <w:r w:rsidR="00C006DF" w:rsidRPr="00370DB6">
        <w:rPr>
          <w:noProof/>
          <w:lang w:val="en-GB"/>
        </w:rPr>
        <w:fldChar w:fldCharType="end"/>
      </w:r>
      <w:r w:rsidR="004161A8" w:rsidRPr="00370DB6">
        <w:rPr>
          <w:lang w:val="en-GB"/>
        </w:rPr>
        <w:t xml:space="preserve">. </w:t>
      </w:r>
      <w:r>
        <w:rPr>
          <w:lang w:val="en-GB"/>
        </w:rPr>
        <w:t>Coefficients of internal and external factors of the equation of growth rate of IMACEC</w:t>
      </w:r>
      <w:r w:rsidR="004161A8" w:rsidRPr="00370DB6">
        <w:rPr>
          <w:lang w:val="en-GB"/>
        </w:rPr>
        <w:t xml:space="preserve"> (</w:t>
      </w:r>
      <w:r>
        <w:rPr>
          <w:lang w:val="en-GB"/>
        </w:rPr>
        <w:t>absolute value</w:t>
      </w:r>
      <w:r w:rsidR="004161A8" w:rsidRPr="00370DB6">
        <w:rPr>
          <w:lang w:val="en-US"/>
        </w:rPr>
        <w:t>)</w:t>
      </w:r>
    </w:p>
    <w:p w:rsidR="00070ADE" w:rsidRDefault="00070ADE" w:rsidP="00FF7581">
      <w:pPr>
        <w:jc w:val="center"/>
        <w:rPr>
          <w:lang w:val="en-GB"/>
        </w:rPr>
      </w:pPr>
      <w:r>
        <w:rPr>
          <w:noProof/>
          <w:lang w:val="en-GB"/>
        </w:rPr>
        <w:drawing>
          <wp:inline distT="0" distB="0" distL="0" distR="0" wp14:anchorId="42E6E681">
            <wp:extent cx="4584700" cy="2755900"/>
            <wp:effectExtent l="0" t="0" r="6350" b="635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070ADE" w:rsidRDefault="00070ADE" w:rsidP="00FF7581">
      <w:pPr>
        <w:jc w:val="center"/>
        <w:rPr>
          <w:lang w:val="en-GB"/>
        </w:rPr>
      </w:pPr>
    </w:p>
    <w:p w:rsidR="00A91E8A" w:rsidRPr="00A10ACC" w:rsidRDefault="00A91E8A" w:rsidP="00A91E8A">
      <w:pPr>
        <w:jc w:val="both"/>
        <w:rPr>
          <w:lang w:val="en-GB"/>
        </w:rPr>
      </w:pPr>
    </w:p>
    <w:p w:rsidR="00427411" w:rsidRPr="00A10ACC" w:rsidRDefault="00993461" w:rsidP="00427411">
      <w:pPr>
        <w:pStyle w:val="Ttulo1"/>
        <w:numPr>
          <w:ilvl w:val="0"/>
          <w:numId w:val="1"/>
        </w:numPr>
        <w:rPr>
          <w:lang w:val="en-GB"/>
        </w:rPr>
      </w:pPr>
      <w:r>
        <w:rPr>
          <w:lang w:val="en-GB"/>
        </w:rPr>
        <w:lastRenderedPageBreak/>
        <w:t>Analysis of confidence</w:t>
      </w:r>
    </w:p>
    <w:p w:rsidR="00427411" w:rsidRPr="00A10ACC" w:rsidRDefault="00427411" w:rsidP="00427411">
      <w:pPr>
        <w:jc w:val="both"/>
        <w:rPr>
          <w:lang w:val="en-GB"/>
        </w:rPr>
      </w:pPr>
    </w:p>
    <w:p w:rsidR="00427411" w:rsidRPr="002359F7" w:rsidRDefault="00993461" w:rsidP="00885AF0">
      <w:pPr>
        <w:jc w:val="both"/>
        <w:rPr>
          <w:lang w:val="en-US"/>
        </w:rPr>
      </w:pPr>
      <w:r w:rsidRPr="00993461">
        <w:rPr>
          <w:lang w:val="en-US"/>
        </w:rPr>
        <w:t xml:space="preserve">In the previous section </w:t>
      </w:r>
      <w:r>
        <w:rPr>
          <w:lang w:val="en-US"/>
        </w:rPr>
        <w:t>I studied the importance of the different factors that have affected the economic activity during the last years</w:t>
      </w:r>
      <w:r w:rsidR="0030197A">
        <w:rPr>
          <w:lang w:val="en-US"/>
        </w:rPr>
        <w:t xml:space="preserve">, analyzing the importance of two types of factors: external and internal factors. Among the internal factors </w:t>
      </w:r>
      <w:r w:rsidR="00363BDC">
        <w:rPr>
          <w:lang w:val="en-US"/>
        </w:rPr>
        <w:t>are</w:t>
      </w:r>
      <w:r w:rsidR="0030197A">
        <w:rPr>
          <w:lang w:val="en-US"/>
        </w:rPr>
        <w:t xml:space="preserve"> confidence and uncertainty (related to confidence), </w:t>
      </w:r>
      <w:r w:rsidR="00363BDC">
        <w:rPr>
          <w:lang w:val="en-US"/>
        </w:rPr>
        <w:t xml:space="preserve">that </w:t>
      </w:r>
      <w:r w:rsidR="0030197A">
        <w:rPr>
          <w:lang w:val="en-US"/>
        </w:rPr>
        <w:t xml:space="preserve">could also be affected by external factors. </w:t>
      </w:r>
      <w:r w:rsidR="00885AF0">
        <w:rPr>
          <w:lang w:val="en-US"/>
        </w:rPr>
        <w:t xml:space="preserve">In this section, I extend the analysis to study the importance of the internal and external </w:t>
      </w:r>
      <w:r w:rsidR="00363BDC">
        <w:rPr>
          <w:lang w:val="en-US"/>
        </w:rPr>
        <w:t xml:space="preserve">factors </w:t>
      </w:r>
      <w:r w:rsidR="00885AF0">
        <w:rPr>
          <w:lang w:val="en-US"/>
        </w:rPr>
        <w:t xml:space="preserve">affecting the confidence of economic agents during the </w:t>
      </w:r>
      <w:r w:rsidR="00363BDC">
        <w:rPr>
          <w:lang w:val="en-US"/>
        </w:rPr>
        <w:t>period of interest</w:t>
      </w:r>
      <w:r w:rsidR="00885AF0">
        <w:rPr>
          <w:lang w:val="en-US"/>
        </w:rPr>
        <w:t>. The model is the same presented in table 1, but focused in the results of the equation in which confidence is the dependent variable.</w:t>
      </w:r>
    </w:p>
    <w:p w:rsidR="00427411" w:rsidRPr="002359F7" w:rsidRDefault="00427411" w:rsidP="00427411">
      <w:pPr>
        <w:jc w:val="both"/>
        <w:rPr>
          <w:lang w:val="en-US"/>
        </w:rPr>
      </w:pPr>
    </w:p>
    <w:p w:rsidR="00427411" w:rsidRPr="00A10ACC" w:rsidRDefault="008574E7" w:rsidP="008574E7">
      <w:pPr>
        <w:pStyle w:val="Ttulo2"/>
        <w:numPr>
          <w:ilvl w:val="1"/>
          <w:numId w:val="4"/>
        </w:numPr>
        <w:rPr>
          <w:lang w:val="en-GB"/>
        </w:rPr>
      </w:pPr>
      <w:r w:rsidRPr="008574E7">
        <w:rPr>
          <w:lang w:val="en-GB"/>
        </w:rPr>
        <w:t xml:space="preserve">Historical decomposition of </w:t>
      </w:r>
      <w:r>
        <w:rPr>
          <w:lang w:val="en-GB"/>
        </w:rPr>
        <w:t>confidence</w:t>
      </w:r>
    </w:p>
    <w:p w:rsidR="00427411" w:rsidRPr="00A10ACC" w:rsidRDefault="00427411" w:rsidP="00427411">
      <w:pPr>
        <w:jc w:val="both"/>
        <w:rPr>
          <w:lang w:val="en-GB"/>
        </w:rPr>
      </w:pPr>
    </w:p>
    <w:p w:rsidR="00E1095B" w:rsidRDefault="00885AF0" w:rsidP="00885AF0">
      <w:pPr>
        <w:jc w:val="both"/>
        <w:rPr>
          <w:lang w:val="en-US"/>
        </w:rPr>
      </w:pPr>
      <w:r w:rsidRPr="00885AF0">
        <w:rPr>
          <w:lang w:val="en-GB"/>
        </w:rPr>
        <w:t>Figure 10 show</w:t>
      </w:r>
      <w:r>
        <w:rPr>
          <w:lang w:val="en-GB"/>
        </w:rPr>
        <w:t>s</w:t>
      </w:r>
      <w:r w:rsidRPr="00885AF0">
        <w:rPr>
          <w:lang w:val="en-GB"/>
        </w:rPr>
        <w:t xml:space="preserve"> </w:t>
      </w:r>
      <w:r>
        <w:rPr>
          <w:lang w:val="en-GB"/>
        </w:rPr>
        <w:t>that, during the period 2008-2010, the main shocks affecting confidence were the own shocks and the external shock</w:t>
      </w:r>
      <w:r w:rsidR="00363BDC">
        <w:rPr>
          <w:lang w:val="en-GB"/>
        </w:rPr>
        <w:t>s</w:t>
      </w:r>
      <w:r>
        <w:rPr>
          <w:lang w:val="en-GB"/>
        </w:rPr>
        <w:t xml:space="preserve"> pc1. During the period 2011-2013, the own shocks are the most important, as well as in the period 2014-2016.</w:t>
      </w:r>
    </w:p>
    <w:p w:rsidR="00885AF0" w:rsidRDefault="00885AF0" w:rsidP="00885AF0">
      <w:pPr>
        <w:jc w:val="both"/>
        <w:rPr>
          <w:lang w:val="en-US"/>
        </w:rPr>
      </w:pPr>
    </w:p>
    <w:p w:rsidR="00885AF0" w:rsidRDefault="00885AF0" w:rsidP="00885AF0">
      <w:pPr>
        <w:jc w:val="both"/>
        <w:rPr>
          <w:lang w:val="en-US"/>
        </w:rPr>
      </w:pPr>
      <w:r>
        <w:rPr>
          <w:lang w:val="en-US"/>
        </w:rPr>
        <w:t xml:space="preserve">Figure 11 shows that, during the period 2008-2010 internal and external were positively correlated, and then, during the </w:t>
      </w:r>
      <w:r w:rsidR="00363BDC">
        <w:rPr>
          <w:lang w:val="en-US"/>
        </w:rPr>
        <w:t xml:space="preserve">next two </w:t>
      </w:r>
      <w:r>
        <w:rPr>
          <w:lang w:val="en-US"/>
        </w:rPr>
        <w:t>periods</w:t>
      </w:r>
      <w:r w:rsidR="00363BDC">
        <w:rPr>
          <w:lang w:val="en-US"/>
        </w:rPr>
        <w:t>,</w:t>
      </w:r>
      <w:r>
        <w:rPr>
          <w:lang w:val="en-US"/>
        </w:rPr>
        <w:t xml:space="preserve"> 2011-2013 and 2014-2016, the internal shocks were the most important to explain the dynamics of confidence.</w:t>
      </w:r>
    </w:p>
    <w:p w:rsidR="00427411" w:rsidRPr="002359F7" w:rsidRDefault="00427411" w:rsidP="00427411">
      <w:pPr>
        <w:rPr>
          <w:lang w:val="en-US"/>
        </w:rPr>
      </w:pPr>
    </w:p>
    <w:p w:rsidR="00E1095B" w:rsidRPr="002359F7" w:rsidRDefault="00E1095B" w:rsidP="00427411">
      <w:pPr>
        <w:rPr>
          <w:lang w:val="en-US"/>
        </w:rPr>
      </w:pPr>
    </w:p>
    <w:p w:rsidR="00427411" w:rsidRPr="00370DB6" w:rsidRDefault="00370DB6" w:rsidP="00427411">
      <w:pPr>
        <w:pStyle w:val="Descripcin"/>
        <w:jc w:val="center"/>
        <w:rPr>
          <w:lang w:val="en-GB"/>
        </w:rPr>
      </w:pPr>
      <w:r w:rsidRPr="00370DB6">
        <w:rPr>
          <w:lang w:val="en-GB"/>
        </w:rPr>
        <w:t>Figure</w:t>
      </w:r>
      <w:r w:rsidR="00427411"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E1095B" w:rsidRPr="00370DB6">
        <w:rPr>
          <w:noProof/>
          <w:lang w:val="en-GB"/>
        </w:rPr>
        <w:t>10</w:t>
      </w:r>
      <w:r w:rsidR="00C006DF" w:rsidRPr="00370DB6">
        <w:rPr>
          <w:noProof/>
          <w:lang w:val="en-GB"/>
        </w:rPr>
        <w:fldChar w:fldCharType="end"/>
      </w:r>
      <w:r w:rsidR="00427411" w:rsidRPr="00370DB6">
        <w:rPr>
          <w:lang w:val="en-GB"/>
        </w:rPr>
        <w:t xml:space="preserve">. </w:t>
      </w:r>
      <w:r>
        <w:rPr>
          <w:lang w:val="en-GB"/>
        </w:rPr>
        <w:t>Structural shocks to confidence</w:t>
      </w:r>
    </w:p>
    <w:p w:rsidR="00070ADE" w:rsidRPr="00A10ACC" w:rsidRDefault="00070ADE" w:rsidP="00427411">
      <w:pPr>
        <w:jc w:val="center"/>
        <w:rPr>
          <w:lang w:val="en-GB"/>
        </w:rPr>
      </w:pPr>
      <w:r>
        <w:rPr>
          <w:noProof/>
          <w:lang w:val="en-GB"/>
        </w:rPr>
        <w:drawing>
          <wp:inline distT="0" distB="0" distL="0" distR="0" wp14:anchorId="4B177A82">
            <wp:extent cx="4584700" cy="2755900"/>
            <wp:effectExtent l="0" t="0" r="6350" b="635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1095B" w:rsidRPr="00A10ACC" w:rsidRDefault="00E1095B" w:rsidP="00427411">
      <w:pPr>
        <w:jc w:val="both"/>
        <w:rPr>
          <w:lang w:val="en-GB"/>
        </w:rPr>
      </w:pPr>
    </w:p>
    <w:p w:rsidR="00E1095B" w:rsidRPr="00A10ACC" w:rsidRDefault="00E1095B" w:rsidP="00427411">
      <w:pPr>
        <w:jc w:val="both"/>
        <w:rPr>
          <w:lang w:val="en-GB"/>
        </w:rPr>
      </w:pPr>
    </w:p>
    <w:p w:rsidR="00E1095B" w:rsidRPr="00A10ACC" w:rsidRDefault="00E1095B" w:rsidP="00427411">
      <w:pPr>
        <w:jc w:val="both"/>
        <w:rPr>
          <w:lang w:val="en-GB"/>
        </w:rPr>
      </w:pPr>
    </w:p>
    <w:p w:rsidR="00E1095B" w:rsidRPr="00A10ACC" w:rsidRDefault="00E1095B" w:rsidP="00427411">
      <w:pPr>
        <w:jc w:val="both"/>
        <w:rPr>
          <w:lang w:val="en-GB"/>
        </w:rPr>
      </w:pPr>
    </w:p>
    <w:p w:rsidR="004A2BD5" w:rsidRPr="00A10ACC" w:rsidRDefault="004A2BD5" w:rsidP="00427411">
      <w:pPr>
        <w:jc w:val="both"/>
        <w:rPr>
          <w:lang w:val="en-GB"/>
        </w:rPr>
      </w:pPr>
    </w:p>
    <w:p w:rsidR="004A2BD5" w:rsidRPr="00A10ACC" w:rsidRDefault="004A2BD5" w:rsidP="00427411">
      <w:pPr>
        <w:jc w:val="both"/>
        <w:rPr>
          <w:lang w:val="en-GB"/>
        </w:rPr>
      </w:pPr>
    </w:p>
    <w:p w:rsidR="004A2BD5" w:rsidRDefault="004A2BD5" w:rsidP="00427411">
      <w:pPr>
        <w:jc w:val="both"/>
        <w:rPr>
          <w:lang w:val="en-GB"/>
        </w:rPr>
      </w:pPr>
    </w:p>
    <w:p w:rsidR="00221A80" w:rsidRDefault="00221A80" w:rsidP="00427411">
      <w:pPr>
        <w:jc w:val="both"/>
        <w:rPr>
          <w:lang w:val="en-GB"/>
        </w:rPr>
      </w:pPr>
    </w:p>
    <w:p w:rsidR="00221A80" w:rsidRDefault="00221A80" w:rsidP="00427411">
      <w:pPr>
        <w:jc w:val="both"/>
        <w:rPr>
          <w:lang w:val="en-GB"/>
        </w:rPr>
      </w:pPr>
    </w:p>
    <w:p w:rsidR="00427411" w:rsidRPr="00370DB6" w:rsidRDefault="00427411" w:rsidP="00427411">
      <w:pPr>
        <w:pStyle w:val="Descripcin"/>
        <w:jc w:val="center"/>
        <w:rPr>
          <w:lang w:val="en-GB"/>
        </w:rPr>
      </w:pPr>
      <w:r w:rsidRPr="00370DB6">
        <w:rPr>
          <w:lang w:val="en-GB"/>
        </w:rPr>
        <w:lastRenderedPageBreak/>
        <w:t>Figur</w:t>
      </w:r>
      <w:r w:rsidR="00370DB6" w:rsidRPr="00370DB6">
        <w:rPr>
          <w:lang w:val="en-GB"/>
        </w:rPr>
        <w:t>e</w:t>
      </w:r>
      <w:r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E1095B" w:rsidRPr="00370DB6">
        <w:rPr>
          <w:noProof/>
          <w:lang w:val="en-GB"/>
        </w:rPr>
        <w:t>11</w:t>
      </w:r>
      <w:r w:rsidR="00C006DF" w:rsidRPr="00370DB6">
        <w:rPr>
          <w:noProof/>
          <w:lang w:val="en-GB"/>
        </w:rPr>
        <w:fldChar w:fldCharType="end"/>
      </w:r>
      <w:r w:rsidRPr="00370DB6">
        <w:rPr>
          <w:lang w:val="en-GB"/>
        </w:rPr>
        <w:t xml:space="preserve">. </w:t>
      </w:r>
      <w:r w:rsidR="00370DB6" w:rsidRPr="00370DB6">
        <w:rPr>
          <w:lang w:val="en-GB"/>
        </w:rPr>
        <w:t>External and internal shocks to confidence</w:t>
      </w:r>
    </w:p>
    <w:p w:rsidR="00427411" w:rsidRDefault="00070ADE" w:rsidP="00070ADE">
      <w:pPr>
        <w:jc w:val="center"/>
        <w:rPr>
          <w:lang w:val="en-GB"/>
        </w:rPr>
      </w:pPr>
      <w:r>
        <w:rPr>
          <w:noProof/>
          <w:lang w:val="en-GB"/>
        </w:rPr>
        <w:drawing>
          <wp:inline distT="0" distB="0" distL="0" distR="0" wp14:anchorId="10E305B1">
            <wp:extent cx="4584700" cy="2749550"/>
            <wp:effectExtent l="0" t="0" r="635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070ADE" w:rsidRPr="00A10ACC" w:rsidRDefault="00070ADE" w:rsidP="00070ADE">
      <w:pPr>
        <w:jc w:val="center"/>
        <w:rPr>
          <w:lang w:val="en-GB"/>
        </w:rPr>
      </w:pPr>
    </w:p>
    <w:p w:rsidR="0023077C" w:rsidRPr="00A10ACC" w:rsidRDefault="0023077C" w:rsidP="0023077C">
      <w:pPr>
        <w:pStyle w:val="Ttulo2"/>
        <w:numPr>
          <w:ilvl w:val="1"/>
          <w:numId w:val="4"/>
        </w:numPr>
        <w:rPr>
          <w:lang w:val="en-GB"/>
        </w:rPr>
      </w:pPr>
      <w:r w:rsidRPr="00A10ACC">
        <w:rPr>
          <w:lang w:val="en-GB"/>
        </w:rPr>
        <w:t xml:space="preserve">Rolling Windows </w:t>
      </w:r>
      <w:r>
        <w:rPr>
          <w:lang w:val="en-GB"/>
        </w:rPr>
        <w:t>estimations</w:t>
      </w:r>
    </w:p>
    <w:p w:rsidR="00427411" w:rsidRDefault="00427411" w:rsidP="00427411">
      <w:pPr>
        <w:jc w:val="both"/>
        <w:rPr>
          <w:lang w:val="en-GB"/>
        </w:rPr>
      </w:pPr>
    </w:p>
    <w:p w:rsidR="00885AF0" w:rsidRDefault="00885AF0" w:rsidP="00427411">
      <w:pPr>
        <w:jc w:val="both"/>
        <w:rPr>
          <w:lang w:val="en-GB"/>
        </w:rPr>
      </w:pPr>
      <w:r>
        <w:rPr>
          <w:lang w:val="en-GB"/>
        </w:rPr>
        <w:t xml:space="preserve">Figures 12 and 13 </w:t>
      </w:r>
      <w:proofErr w:type="gramStart"/>
      <w:r>
        <w:rPr>
          <w:lang w:val="en-GB"/>
        </w:rPr>
        <w:t>show</w:t>
      </w:r>
      <w:proofErr w:type="gramEnd"/>
      <w:r>
        <w:rPr>
          <w:lang w:val="en-GB"/>
        </w:rPr>
        <w:t xml:space="preserve"> that during the periods 2008-2010 and 2011-2013, the most important coefficients (greater magnitude in absolute value) were those associated to confidence. Then, between 2014 and 2016, there </w:t>
      </w:r>
      <w:r w:rsidR="00363BDC">
        <w:rPr>
          <w:lang w:val="en-GB"/>
        </w:rPr>
        <w:t xml:space="preserve">was </w:t>
      </w:r>
      <w:r>
        <w:rPr>
          <w:lang w:val="en-GB"/>
        </w:rPr>
        <w:t>a tempora</w:t>
      </w:r>
      <w:r w:rsidR="00363BDC">
        <w:rPr>
          <w:lang w:val="en-GB"/>
        </w:rPr>
        <w:t>ry</w:t>
      </w:r>
      <w:r>
        <w:rPr>
          <w:lang w:val="en-GB"/>
        </w:rPr>
        <w:t xml:space="preserve"> increase of the importance of the external factor pc2, followed by a subsequent increase, also temporal, of the importance of confidence.</w:t>
      </w:r>
    </w:p>
    <w:p w:rsidR="00E1095B" w:rsidRPr="002359F7" w:rsidRDefault="00E1095B" w:rsidP="00427411">
      <w:pPr>
        <w:jc w:val="both"/>
        <w:rPr>
          <w:lang w:val="en-US"/>
        </w:rPr>
      </w:pPr>
    </w:p>
    <w:p w:rsidR="00427411" w:rsidRPr="00370DB6" w:rsidRDefault="00370DB6" w:rsidP="00427411">
      <w:pPr>
        <w:pStyle w:val="Descripcin"/>
        <w:jc w:val="center"/>
        <w:rPr>
          <w:lang w:val="en-GB"/>
        </w:rPr>
      </w:pPr>
      <w:r w:rsidRPr="00370DB6">
        <w:rPr>
          <w:lang w:val="en-GB"/>
        </w:rPr>
        <w:t>Figure</w:t>
      </w:r>
      <w:r w:rsidR="00427411"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E1095B" w:rsidRPr="00370DB6">
        <w:rPr>
          <w:noProof/>
          <w:lang w:val="en-GB"/>
        </w:rPr>
        <w:t>12</w:t>
      </w:r>
      <w:r w:rsidR="00C006DF" w:rsidRPr="00370DB6">
        <w:rPr>
          <w:noProof/>
          <w:lang w:val="en-GB"/>
        </w:rPr>
        <w:fldChar w:fldCharType="end"/>
      </w:r>
      <w:r w:rsidR="00427411" w:rsidRPr="00370DB6">
        <w:rPr>
          <w:lang w:val="en-GB"/>
        </w:rPr>
        <w:t xml:space="preserve">. </w:t>
      </w:r>
      <w:r w:rsidRPr="00370DB6">
        <w:rPr>
          <w:lang w:val="en-GB"/>
        </w:rPr>
        <w:t>Coefficients of the equation of confidence</w:t>
      </w:r>
    </w:p>
    <w:p w:rsidR="00070ADE" w:rsidRPr="00A10ACC" w:rsidRDefault="00070ADE" w:rsidP="006F060A">
      <w:pPr>
        <w:jc w:val="center"/>
        <w:rPr>
          <w:lang w:val="en-GB"/>
        </w:rPr>
      </w:pPr>
      <w:r>
        <w:rPr>
          <w:noProof/>
          <w:lang w:val="en-GB"/>
        </w:rPr>
        <w:drawing>
          <wp:inline distT="0" distB="0" distL="0" distR="0" wp14:anchorId="0F3DC6DB">
            <wp:extent cx="4584700" cy="2755900"/>
            <wp:effectExtent l="0" t="0" r="6350" b="635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1C3B47" w:rsidRPr="00A10ACC" w:rsidRDefault="001C3B47" w:rsidP="00E1095B">
      <w:pPr>
        <w:rPr>
          <w:lang w:val="en-GB"/>
        </w:rPr>
      </w:pPr>
    </w:p>
    <w:p w:rsidR="001C3B47" w:rsidRDefault="001C3B47" w:rsidP="00E1095B">
      <w:pPr>
        <w:rPr>
          <w:lang w:val="en-GB"/>
        </w:rPr>
      </w:pPr>
    </w:p>
    <w:p w:rsidR="00070ADE" w:rsidRPr="00A10ACC" w:rsidRDefault="00070ADE" w:rsidP="00E1095B">
      <w:pPr>
        <w:rPr>
          <w:lang w:val="en-GB"/>
        </w:rPr>
      </w:pPr>
    </w:p>
    <w:p w:rsidR="006F060A" w:rsidRPr="00A10ACC" w:rsidRDefault="006F060A" w:rsidP="00E1095B">
      <w:pPr>
        <w:rPr>
          <w:lang w:val="en-GB"/>
        </w:rPr>
      </w:pPr>
    </w:p>
    <w:p w:rsidR="00070ADE" w:rsidRDefault="00070ADE" w:rsidP="00427411">
      <w:pPr>
        <w:pStyle w:val="Descripcin"/>
        <w:jc w:val="center"/>
        <w:rPr>
          <w:lang w:val="en-GB"/>
        </w:rPr>
      </w:pPr>
    </w:p>
    <w:p w:rsidR="00427411" w:rsidRPr="00370DB6" w:rsidRDefault="00370DB6" w:rsidP="00427411">
      <w:pPr>
        <w:pStyle w:val="Descripcin"/>
        <w:jc w:val="center"/>
        <w:rPr>
          <w:lang w:val="en-GB"/>
        </w:rPr>
      </w:pPr>
      <w:r w:rsidRPr="00370DB6">
        <w:rPr>
          <w:lang w:val="en-GB"/>
        </w:rPr>
        <w:lastRenderedPageBreak/>
        <w:t>Figure</w:t>
      </w:r>
      <w:r w:rsidR="00427411"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E1095B" w:rsidRPr="00370DB6">
        <w:rPr>
          <w:noProof/>
          <w:lang w:val="en-GB"/>
        </w:rPr>
        <w:t>13</w:t>
      </w:r>
      <w:r w:rsidR="00C006DF" w:rsidRPr="00370DB6">
        <w:rPr>
          <w:noProof/>
          <w:lang w:val="en-GB"/>
        </w:rPr>
        <w:fldChar w:fldCharType="end"/>
      </w:r>
      <w:r w:rsidR="00427411" w:rsidRPr="00370DB6">
        <w:rPr>
          <w:lang w:val="en-GB"/>
        </w:rPr>
        <w:t xml:space="preserve">. </w:t>
      </w:r>
      <w:r w:rsidRPr="00370DB6">
        <w:rPr>
          <w:lang w:val="en-GB"/>
        </w:rPr>
        <w:t>Coefficients of the equation of confidence</w:t>
      </w:r>
      <w:r w:rsidR="00E1095B" w:rsidRPr="00370DB6">
        <w:rPr>
          <w:lang w:val="en-GB"/>
        </w:rPr>
        <w:t xml:space="preserve"> (</w:t>
      </w:r>
      <w:r>
        <w:rPr>
          <w:lang w:val="en-GB"/>
        </w:rPr>
        <w:t>absolute value</w:t>
      </w:r>
      <w:r w:rsidR="00427411" w:rsidRPr="00370DB6">
        <w:rPr>
          <w:lang w:val="en-GB"/>
        </w:rPr>
        <w:t>)</w:t>
      </w:r>
    </w:p>
    <w:p w:rsidR="00070ADE" w:rsidRPr="00A10ACC" w:rsidRDefault="00070ADE" w:rsidP="00427411">
      <w:pPr>
        <w:jc w:val="center"/>
        <w:rPr>
          <w:lang w:val="en-GB"/>
        </w:rPr>
      </w:pPr>
      <w:r>
        <w:rPr>
          <w:noProof/>
          <w:lang w:val="en-GB"/>
        </w:rPr>
        <w:drawing>
          <wp:inline distT="0" distB="0" distL="0" distR="0" wp14:anchorId="721413F0">
            <wp:extent cx="4584700" cy="2749550"/>
            <wp:effectExtent l="0" t="0" r="635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427411" w:rsidRPr="00A10ACC" w:rsidRDefault="00427411" w:rsidP="00427411">
      <w:pPr>
        <w:jc w:val="both"/>
        <w:rPr>
          <w:lang w:val="en-GB"/>
        </w:rPr>
      </w:pPr>
    </w:p>
    <w:p w:rsidR="00885AF0" w:rsidRPr="00885AF0" w:rsidRDefault="00885AF0" w:rsidP="001C3B47">
      <w:pPr>
        <w:jc w:val="both"/>
        <w:rPr>
          <w:rFonts w:eastAsiaTheme="majorEastAsia" w:cstheme="majorBidi"/>
          <w:szCs w:val="26"/>
          <w:lang w:val="en-US"/>
        </w:rPr>
      </w:pPr>
      <w:r w:rsidRPr="00885AF0">
        <w:rPr>
          <w:rFonts w:eastAsiaTheme="majorEastAsia" w:cstheme="majorBidi"/>
          <w:szCs w:val="26"/>
          <w:lang w:val="en-US"/>
        </w:rPr>
        <w:t xml:space="preserve">Figures 14 and 15 show the sum of the coefficients </w:t>
      </w:r>
      <w:r>
        <w:rPr>
          <w:rFonts w:eastAsiaTheme="majorEastAsia" w:cstheme="majorBidi"/>
          <w:szCs w:val="26"/>
          <w:lang w:val="en-US"/>
        </w:rPr>
        <w:t xml:space="preserve">of internal and external variables. </w:t>
      </w:r>
      <w:r w:rsidR="00D37B49">
        <w:rPr>
          <w:rFonts w:eastAsiaTheme="majorEastAsia" w:cstheme="majorBidi"/>
          <w:szCs w:val="26"/>
          <w:lang w:val="en-US"/>
        </w:rPr>
        <w:t xml:space="preserve">In general, it is observed that the internal factors </w:t>
      </w:r>
      <w:r w:rsidR="00363BDC">
        <w:rPr>
          <w:rFonts w:eastAsiaTheme="majorEastAsia" w:cstheme="majorBidi"/>
          <w:szCs w:val="26"/>
          <w:lang w:val="en-US"/>
        </w:rPr>
        <w:t>were</w:t>
      </w:r>
      <w:r w:rsidR="00D37B49">
        <w:rPr>
          <w:rFonts w:eastAsiaTheme="majorEastAsia" w:cstheme="majorBidi"/>
          <w:szCs w:val="26"/>
          <w:lang w:val="en-US"/>
        </w:rPr>
        <w:t xml:space="preserve"> more important than the external factors to determine confidence in Chile during the period of analysis, excepting for some recent periods, like the end of 2013 and the beginning of 2014, and during </w:t>
      </w:r>
      <w:r w:rsidR="00363BDC">
        <w:rPr>
          <w:rFonts w:eastAsiaTheme="majorEastAsia" w:cstheme="majorBidi"/>
          <w:szCs w:val="26"/>
          <w:lang w:val="en-US"/>
        </w:rPr>
        <w:t xml:space="preserve">the </w:t>
      </w:r>
      <w:r w:rsidR="00D37B49">
        <w:rPr>
          <w:rFonts w:eastAsiaTheme="majorEastAsia" w:cstheme="majorBidi"/>
          <w:szCs w:val="26"/>
          <w:lang w:val="en-US"/>
        </w:rPr>
        <w:t>year 2016.</w:t>
      </w:r>
    </w:p>
    <w:p w:rsidR="00427411" w:rsidRPr="002359F7" w:rsidRDefault="00427411" w:rsidP="00427411">
      <w:pPr>
        <w:jc w:val="center"/>
        <w:rPr>
          <w:lang w:val="en-US"/>
        </w:rPr>
      </w:pPr>
    </w:p>
    <w:p w:rsidR="00370DB6" w:rsidRPr="00370DB6" w:rsidRDefault="00370DB6" w:rsidP="00427411">
      <w:pPr>
        <w:pStyle w:val="Descripcin"/>
        <w:jc w:val="center"/>
        <w:rPr>
          <w:lang w:val="en-US"/>
        </w:rPr>
      </w:pPr>
      <w:r w:rsidRPr="00370DB6">
        <w:rPr>
          <w:lang w:val="en-GB"/>
        </w:rPr>
        <w:t>Figure</w:t>
      </w:r>
      <w:r w:rsidR="00427411" w:rsidRPr="00370DB6">
        <w:rPr>
          <w:lang w:val="en-US"/>
        </w:rPr>
        <w:t xml:space="preserve"> </w:t>
      </w:r>
      <w:r w:rsidR="00C006DF" w:rsidRPr="00370DB6">
        <w:rPr>
          <w:lang w:val="en-GB"/>
        </w:rPr>
        <w:fldChar w:fldCharType="begin"/>
      </w:r>
      <w:r w:rsidR="00C006DF" w:rsidRPr="00370DB6">
        <w:rPr>
          <w:lang w:val="en-US"/>
        </w:rPr>
        <w:instrText xml:space="preserve"> SEQ Figura \* ARABIC </w:instrText>
      </w:r>
      <w:r w:rsidR="00C006DF" w:rsidRPr="00370DB6">
        <w:rPr>
          <w:lang w:val="en-GB"/>
        </w:rPr>
        <w:fldChar w:fldCharType="separate"/>
      </w:r>
      <w:r w:rsidR="00E1095B" w:rsidRPr="00370DB6">
        <w:rPr>
          <w:noProof/>
          <w:lang w:val="en-US"/>
        </w:rPr>
        <w:t>14</w:t>
      </w:r>
      <w:r w:rsidR="00C006DF" w:rsidRPr="00370DB6">
        <w:rPr>
          <w:noProof/>
          <w:lang w:val="en-GB"/>
        </w:rPr>
        <w:fldChar w:fldCharType="end"/>
      </w:r>
      <w:r w:rsidRPr="00370DB6">
        <w:rPr>
          <w:lang w:val="en-US"/>
        </w:rPr>
        <w:t>.</w:t>
      </w:r>
      <w:r>
        <w:rPr>
          <w:lang w:val="en-US"/>
        </w:rPr>
        <w:t xml:space="preserve"> </w:t>
      </w:r>
      <w:r w:rsidRPr="00370DB6">
        <w:rPr>
          <w:lang w:val="en-US"/>
        </w:rPr>
        <w:t xml:space="preserve">Coefficients of external and internal factors </w:t>
      </w:r>
      <w:r>
        <w:rPr>
          <w:lang w:val="en-US"/>
        </w:rPr>
        <w:t>of the equation of confidence</w:t>
      </w:r>
    </w:p>
    <w:p w:rsidR="00070ADE" w:rsidRPr="00070ADE" w:rsidRDefault="00070ADE" w:rsidP="00070ADE">
      <w:pPr>
        <w:jc w:val="center"/>
        <w:rPr>
          <w:lang w:val="en-GB"/>
        </w:rPr>
      </w:pPr>
      <w:r>
        <w:rPr>
          <w:noProof/>
          <w:lang w:val="en-GB"/>
        </w:rPr>
        <w:drawing>
          <wp:inline distT="0" distB="0" distL="0" distR="0" wp14:anchorId="68CCA31F">
            <wp:extent cx="4584700" cy="2755900"/>
            <wp:effectExtent l="0" t="0" r="6350" b="635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070ADE" w:rsidRPr="00070ADE" w:rsidRDefault="00070ADE" w:rsidP="00070ADE">
      <w:pPr>
        <w:rPr>
          <w:lang w:val="en-GB"/>
        </w:rPr>
      </w:pPr>
    </w:p>
    <w:p w:rsidR="001C3B47" w:rsidRPr="00A10ACC" w:rsidRDefault="001C3B47" w:rsidP="001C3B47">
      <w:pPr>
        <w:rPr>
          <w:lang w:val="en-GB"/>
        </w:rPr>
      </w:pPr>
    </w:p>
    <w:p w:rsidR="001C3B47" w:rsidRPr="00A10ACC" w:rsidRDefault="001C3B47" w:rsidP="001C3B47">
      <w:pPr>
        <w:rPr>
          <w:lang w:val="en-GB"/>
        </w:rPr>
      </w:pPr>
    </w:p>
    <w:p w:rsidR="001C3B47" w:rsidRDefault="001C3B47" w:rsidP="001C3B47">
      <w:pPr>
        <w:rPr>
          <w:lang w:val="en-GB"/>
        </w:rPr>
      </w:pPr>
    </w:p>
    <w:p w:rsidR="00070ADE" w:rsidRPr="00A10ACC" w:rsidRDefault="00070ADE" w:rsidP="001C3B47">
      <w:pPr>
        <w:rPr>
          <w:lang w:val="en-GB"/>
        </w:rPr>
      </w:pPr>
    </w:p>
    <w:p w:rsidR="001C3B47" w:rsidRPr="00A10ACC" w:rsidRDefault="001C3B47" w:rsidP="001C3B47">
      <w:pPr>
        <w:rPr>
          <w:lang w:val="en-GB"/>
        </w:rPr>
      </w:pPr>
    </w:p>
    <w:p w:rsidR="001C3B47" w:rsidRPr="00A10ACC" w:rsidRDefault="001C3B47" w:rsidP="001C3B47">
      <w:pPr>
        <w:jc w:val="both"/>
        <w:rPr>
          <w:lang w:val="en-GB"/>
        </w:rPr>
      </w:pPr>
    </w:p>
    <w:p w:rsidR="00427411" w:rsidRPr="00370DB6" w:rsidRDefault="00370DB6" w:rsidP="00427411">
      <w:pPr>
        <w:pStyle w:val="Descripcin"/>
        <w:jc w:val="center"/>
        <w:rPr>
          <w:lang w:val="en-GB"/>
        </w:rPr>
      </w:pPr>
      <w:r w:rsidRPr="00370DB6">
        <w:rPr>
          <w:lang w:val="en-GB"/>
        </w:rPr>
        <w:t>Figure</w:t>
      </w:r>
      <w:r w:rsidR="00427411" w:rsidRPr="00370DB6">
        <w:rPr>
          <w:lang w:val="en-GB"/>
        </w:rPr>
        <w:t xml:space="preserve"> </w:t>
      </w:r>
      <w:r w:rsidR="00C006DF" w:rsidRPr="00370DB6">
        <w:rPr>
          <w:lang w:val="en-GB"/>
        </w:rPr>
        <w:fldChar w:fldCharType="begin"/>
      </w:r>
      <w:r w:rsidR="00C006DF" w:rsidRPr="00370DB6">
        <w:rPr>
          <w:lang w:val="en-GB"/>
        </w:rPr>
        <w:instrText xml:space="preserve"> SEQ Figura \* ARABIC </w:instrText>
      </w:r>
      <w:r w:rsidR="00C006DF" w:rsidRPr="00370DB6">
        <w:rPr>
          <w:lang w:val="en-GB"/>
        </w:rPr>
        <w:fldChar w:fldCharType="separate"/>
      </w:r>
      <w:r w:rsidR="00E1095B" w:rsidRPr="00370DB6">
        <w:rPr>
          <w:noProof/>
          <w:lang w:val="en-GB"/>
        </w:rPr>
        <w:t>15</w:t>
      </w:r>
      <w:r w:rsidR="00C006DF" w:rsidRPr="00370DB6">
        <w:rPr>
          <w:noProof/>
          <w:lang w:val="en-GB"/>
        </w:rPr>
        <w:fldChar w:fldCharType="end"/>
      </w:r>
      <w:r w:rsidR="00427411" w:rsidRPr="00370DB6">
        <w:rPr>
          <w:lang w:val="en-GB"/>
        </w:rPr>
        <w:t xml:space="preserve">. </w:t>
      </w:r>
      <w:r w:rsidRPr="00370DB6">
        <w:rPr>
          <w:lang w:val="en-US"/>
        </w:rPr>
        <w:t xml:space="preserve">Coefficients of external and internal factors </w:t>
      </w:r>
      <w:r>
        <w:rPr>
          <w:lang w:val="en-US"/>
        </w:rPr>
        <w:t>of the equation of confidence</w:t>
      </w:r>
      <w:r w:rsidR="00427411" w:rsidRPr="00370DB6">
        <w:rPr>
          <w:lang w:val="en-GB"/>
        </w:rPr>
        <w:t xml:space="preserve"> (</w:t>
      </w:r>
      <w:r>
        <w:rPr>
          <w:lang w:val="en-GB"/>
        </w:rPr>
        <w:t>absolute value</w:t>
      </w:r>
      <w:r w:rsidR="00427411" w:rsidRPr="00370DB6">
        <w:rPr>
          <w:lang w:val="en-GB"/>
        </w:rPr>
        <w:t>)</w:t>
      </w:r>
    </w:p>
    <w:p w:rsidR="00070ADE" w:rsidRPr="00A10ACC" w:rsidRDefault="00070ADE" w:rsidP="00427411">
      <w:pPr>
        <w:jc w:val="center"/>
        <w:rPr>
          <w:lang w:val="en-GB"/>
        </w:rPr>
      </w:pPr>
      <w:r>
        <w:rPr>
          <w:noProof/>
          <w:lang w:val="en-GB"/>
        </w:rPr>
        <w:drawing>
          <wp:inline distT="0" distB="0" distL="0" distR="0" wp14:anchorId="27C35137">
            <wp:extent cx="4584700" cy="2755900"/>
            <wp:effectExtent l="0" t="0" r="6350" b="63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7E4CD1" w:rsidRPr="00A10ACC" w:rsidRDefault="0023077C" w:rsidP="007E4CD1">
      <w:pPr>
        <w:pStyle w:val="Ttulo1"/>
        <w:numPr>
          <w:ilvl w:val="0"/>
          <w:numId w:val="1"/>
        </w:numPr>
        <w:rPr>
          <w:lang w:val="en-GB"/>
        </w:rPr>
      </w:pPr>
      <w:r w:rsidRPr="00A10ACC">
        <w:rPr>
          <w:lang w:val="en-GB"/>
        </w:rPr>
        <w:t>Conclusions</w:t>
      </w:r>
    </w:p>
    <w:p w:rsidR="007E4CD1" w:rsidRDefault="007E4CD1" w:rsidP="0037282C">
      <w:pPr>
        <w:jc w:val="both"/>
        <w:rPr>
          <w:lang w:val="en-GB"/>
        </w:rPr>
      </w:pPr>
    </w:p>
    <w:p w:rsidR="001C3B47" w:rsidRPr="002359F7" w:rsidRDefault="00D37B49" w:rsidP="00D37B49">
      <w:pPr>
        <w:jc w:val="both"/>
        <w:rPr>
          <w:lang w:val="en-US"/>
        </w:rPr>
      </w:pPr>
      <w:r>
        <w:rPr>
          <w:lang w:val="en-GB"/>
        </w:rPr>
        <w:t xml:space="preserve">The objective of this work was to identify which factors are the most important to explain the contraction of economic activity observed during the last three years. To this end I used two methodological approaches that suggest the following explanation: (1) the fall in </w:t>
      </w:r>
      <w:r w:rsidR="00363BDC">
        <w:rPr>
          <w:lang w:val="en-GB"/>
        </w:rPr>
        <w:t xml:space="preserve">the </w:t>
      </w:r>
      <w:r>
        <w:rPr>
          <w:lang w:val="en-GB"/>
        </w:rPr>
        <w:t xml:space="preserve">growth rate of the economy is explained by external factors, probably related with the end of the mining boom, (2) the low growth rates observed since then are explained by a combination of internal and external factors, among which prevail the internal factors. </w:t>
      </w:r>
    </w:p>
    <w:p w:rsidR="00D37B49" w:rsidRPr="002359F7" w:rsidRDefault="00D37B49" w:rsidP="00D37B49">
      <w:pPr>
        <w:jc w:val="both"/>
        <w:rPr>
          <w:lang w:val="en-US"/>
        </w:rPr>
      </w:pPr>
    </w:p>
    <w:p w:rsidR="002B4356" w:rsidRDefault="00D37B49" w:rsidP="0037282C">
      <w:pPr>
        <w:jc w:val="both"/>
        <w:rPr>
          <w:lang w:val="en-US"/>
        </w:rPr>
      </w:pPr>
      <w:r w:rsidRPr="00D37B49">
        <w:rPr>
          <w:lang w:val="en-US"/>
        </w:rPr>
        <w:t xml:space="preserve">In addition, </w:t>
      </w:r>
      <w:r>
        <w:rPr>
          <w:lang w:val="en-US"/>
        </w:rPr>
        <w:t>I</w:t>
      </w:r>
      <w:r w:rsidRPr="00D37B49">
        <w:rPr>
          <w:lang w:val="en-US"/>
        </w:rPr>
        <w:t xml:space="preserve"> studied the factors that have determined </w:t>
      </w:r>
      <w:r>
        <w:rPr>
          <w:lang w:val="en-US"/>
        </w:rPr>
        <w:t xml:space="preserve">the </w:t>
      </w:r>
      <w:r w:rsidRPr="00D37B49">
        <w:rPr>
          <w:lang w:val="en-US"/>
        </w:rPr>
        <w:t>confidence</w:t>
      </w:r>
      <w:r>
        <w:rPr>
          <w:lang w:val="en-US"/>
        </w:rPr>
        <w:t xml:space="preserve"> of the economic agents. The analysis suggest that the dynamics of confidence is mostly explained by internal factors, given that the external factors have been important only in short periods of time.</w:t>
      </w:r>
    </w:p>
    <w:p w:rsidR="00D37B49" w:rsidRPr="00D37B49" w:rsidRDefault="00D37B49" w:rsidP="0037282C">
      <w:pPr>
        <w:jc w:val="both"/>
        <w:rPr>
          <w:lang w:val="en-US"/>
        </w:rPr>
      </w:pPr>
    </w:p>
    <w:p w:rsidR="007E4CD1" w:rsidRPr="00A10ACC" w:rsidRDefault="0023077C" w:rsidP="007E4CD1">
      <w:pPr>
        <w:pStyle w:val="Ttulo1"/>
        <w:numPr>
          <w:ilvl w:val="0"/>
          <w:numId w:val="1"/>
        </w:numPr>
        <w:rPr>
          <w:lang w:val="en-GB"/>
        </w:rPr>
      </w:pPr>
      <w:r w:rsidRPr="00A10ACC">
        <w:rPr>
          <w:lang w:val="en-GB"/>
        </w:rPr>
        <w:t>References</w:t>
      </w:r>
    </w:p>
    <w:p w:rsidR="007E4CD1" w:rsidRPr="00A10ACC" w:rsidRDefault="007E4CD1" w:rsidP="0037282C">
      <w:pPr>
        <w:jc w:val="both"/>
        <w:rPr>
          <w:lang w:val="en-GB"/>
        </w:rPr>
      </w:pPr>
    </w:p>
    <w:p w:rsidR="00655986" w:rsidRPr="00EA779A" w:rsidRDefault="00636A6C" w:rsidP="0037282C">
      <w:pPr>
        <w:jc w:val="both"/>
      </w:pPr>
      <w:r w:rsidRPr="00EA779A">
        <w:t xml:space="preserve">Elías </w:t>
      </w:r>
      <w:proofErr w:type="spellStart"/>
      <w:r w:rsidRPr="00EA779A">
        <w:t>Albagli</w:t>
      </w:r>
      <w:proofErr w:type="spellEnd"/>
      <w:r w:rsidRPr="00EA779A">
        <w:t xml:space="preserve"> y Emiliano </w:t>
      </w:r>
      <w:proofErr w:type="spellStart"/>
      <w:r w:rsidRPr="00EA779A">
        <w:t>Luttini</w:t>
      </w:r>
      <w:proofErr w:type="spellEnd"/>
      <w:r w:rsidRPr="00EA779A">
        <w:t xml:space="preserve"> (2015). </w:t>
      </w:r>
      <w:r w:rsidRPr="00EA779A">
        <w:rPr>
          <w:i/>
        </w:rPr>
        <w:t>Confianza, Incertidumbre e Inversión en Chile: Evidencia Macro y Micro de la Encuesta IMCE</w:t>
      </w:r>
      <w:r w:rsidRPr="00EA779A">
        <w:t>, Informe de Política Monetaria (IPOM) julio 2015.</w:t>
      </w:r>
    </w:p>
    <w:sectPr w:rsidR="00655986" w:rsidRPr="00EA779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5E56" w:rsidRDefault="00905E56" w:rsidP="001D3CF5">
      <w:r>
        <w:separator/>
      </w:r>
    </w:p>
  </w:endnote>
  <w:endnote w:type="continuationSeparator" w:id="0">
    <w:p w:rsidR="00905E56" w:rsidRDefault="00905E56" w:rsidP="001D3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5E56" w:rsidRDefault="00905E56" w:rsidP="001D3CF5">
      <w:r>
        <w:separator/>
      </w:r>
    </w:p>
  </w:footnote>
  <w:footnote w:type="continuationSeparator" w:id="0">
    <w:p w:rsidR="00905E56" w:rsidRDefault="00905E56" w:rsidP="001D3CF5">
      <w:r>
        <w:continuationSeparator/>
      </w:r>
    </w:p>
  </w:footnote>
  <w:footnote w:id="1">
    <w:p w:rsidR="0059435A" w:rsidRPr="00B23FF3" w:rsidRDefault="0059435A" w:rsidP="00B23FF3">
      <w:pPr>
        <w:pStyle w:val="Textonotapie"/>
        <w:jc w:val="both"/>
        <w:rPr>
          <w:lang w:val="en-GB"/>
        </w:rPr>
      </w:pPr>
      <w:r>
        <w:rPr>
          <w:rStyle w:val="Refdenotaalpie"/>
        </w:rPr>
        <w:footnoteRef/>
      </w:r>
      <w:r>
        <w:t xml:space="preserve"> </w:t>
      </w:r>
      <w:proofErr w:type="spellStart"/>
      <w:r w:rsidRPr="00B23FF3">
        <w:rPr>
          <w:lang w:val="en-GB"/>
        </w:rPr>
        <w:t>Índice</w:t>
      </w:r>
      <w:proofErr w:type="spellEnd"/>
      <w:r w:rsidRPr="00B23FF3">
        <w:rPr>
          <w:lang w:val="en-GB"/>
        </w:rPr>
        <w:t xml:space="preserve"> de </w:t>
      </w:r>
      <w:proofErr w:type="spellStart"/>
      <w:r w:rsidRPr="00B23FF3">
        <w:rPr>
          <w:lang w:val="en-GB"/>
        </w:rPr>
        <w:t>Percepción</w:t>
      </w:r>
      <w:proofErr w:type="spellEnd"/>
      <w:r w:rsidRPr="00B23FF3">
        <w:rPr>
          <w:lang w:val="en-GB"/>
        </w:rPr>
        <w:t xml:space="preserve"> del </w:t>
      </w:r>
      <w:proofErr w:type="spellStart"/>
      <w:r w:rsidRPr="00B23FF3">
        <w:rPr>
          <w:lang w:val="en-GB"/>
        </w:rPr>
        <w:t>Consumidor</w:t>
      </w:r>
      <w:proofErr w:type="spellEnd"/>
      <w:r w:rsidRPr="00B23FF3">
        <w:rPr>
          <w:lang w:val="en-GB"/>
        </w:rPr>
        <w:t xml:space="preserve">: consumer confidence index published by the </w:t>
      </w:r>
      <w:proofErr w:type="spellStart"/>
      <w:r w:rsidRPr="00B23FF3">
        <w:rPr>
          <w:lang w:val="en-GB"/>
        </w:rPr>
        <w:t>Center</w:t>
      </w:r>
      <w:proofErr w:type="spellEnd"/>
      <w:r w:rsidRPr="00B23FF3">
        <w:rPr>
          <w:lang w:val="en-GB"/>
        </w:rPr>
        <w:t xml:space="preserve"> for </w:t>
      </w:r>
      <w:r w:rsidR="00221A80">
        <w:rPr>
          <w:lang w:val="en-GB"/>
        </w:rPr>
        <w:t xml:space="preserve">Research in </w:t>
      </w:r>
      <w:r w:rsidRPr="00B23FF3">
        <w:rPr>
          <w:lang w:val="en-GB"/>
        </w:rPr>
        <w:t xml:space="preserve">Business and Economics (Universidad del </w:t>
      </w:r>
      <w:proofErr w:type="spellStart"/>
      <w:r w:rsidRPr="00B23FF3">
        <w:rPr>
          <w:lang w:val="en-GB"/>
        </w:rPr>
        <w:t>Desarrollo</w:t>
      </w:r>
      <w:proofErr w:type="spellEnd"/>
      <w:r w:rsidRPr="00B23FF3">
        <w:rPr>
          <w:lang w:val="en-GB"/>
        </w:rPr>
        <w:t xml:space="preserve">) </w:t>
      </w:r>
      <w:hyperlink r:id="rId1" w:history="1">
        <w:r w:rsidR="00F76484" w:rsidRPr="00666C6A">
          <w:rPr>
            <w:rStyle w:val="Hipervnculo"/>
            <w:lang w:val="en-GB"/>
          </w:rPr>
          <w:t>http://negocios.udd.cl/ceen/</w:t>
        </w:r>
      </w:hyperlink>
      <w:r w:rsidR="00F76484">
        <w:rPr>
          <w:lang w:val="en-GB"/>
        </w:rPr>
        <w:t xml:space="preserve"> </w:t>
      </w:r>
    </w:p>
  </w:footnote>
  <w:footnote w:id="2">
    <w:p w:rsidR="0059435A" w:rsidRPr="0081285C" w:rsidRDefault="0059435A" w:rsidP="0081285C">
      <w:pPr>
        <w:pStyle w:val="Textonotapie"/>
        <w:jc w:val="both"/>
        <w:rPr>
          <w:lang w:val="en-GB"/>
        </w:rPr>
      </w:pPr>
      <w:r w:rsidRPr="0081285C">
        <w:rPr>
          <w:rStyle w:val="Refdenotaalpie"/>
          <w:lang w:val="en-GB"/>
        </w:rPr>
        <w:footnoteRef/>
      </w:r>
      <w:r w:rsidRPr="0081285C">
        <w:rPr>
          <w:lang w:val="en-GB"/>
        </w:rPr>
        <w:t xml:space="preserve"> </w:t>
      </w:r>
      <w:r>
        <w:rPr>
          <w:lang w:val="en-GB"/>
        </w:rPr>
        <w:t>IMACEC (</w:t>
      </w:r>
      <w:proofErr w:type="spellStart"/>
      <w:r w:rsidRPr="0081285C">
        <w:rPr>
          <w:lang w:val="en-GB"/>
        </w:rPr>
        <w:t>Índice</w:t>
      </w:r>
      <w:proofErr w:type="spellEnd"/>
      <w:r w:rsidRPr="0081285C">
        <w:rPr>
          <w:lang w:val="en-GB"/>
        </w:rPr>
        <w:t xml:space="preserve"> </w:t>
      </w:r>
      <w:proofErr w:type="spellStart"/>
      <w:r w:rsidRPr="0081285C">
        <w:rPr>
          <w:lang w:val="en-GB"/>
        </w:rPr>
        <w:t>mensual</w:t>
      </w:r>
      <w:proofErr w:type="spellEnd"/>
      <w:r w:rsidRPr="0081285C">
        <w:rPr>
          <w:lang w:val="en-GB"/>
        </w:rPr>
        <w:t xml:space="preserve"> de </w:t>
      </w:r>
      <w:proofErr w:type="spellStart"/>
      <w:r w:rsidRPr="0081285C">
        <w:rPr>
          <w:lang w:val="en-GB"/>
        </w:rPr>
        <w:t>actividad</w:t>
      </w:r>
      <w:proofErr w:type="spellEnd"/>
      <w:r w:rsidRPr="0081285C">
        <w:rPr>
          <w:lang w:val="en-GB"/>
        </w:rPr>
        <w:t xml:space="preserve"> </w:t>
      </w:r>
      <w:proofErr w:type="spellStart"/>
      <w:r w:rsidRPr="0081285C">
        <w:rPr>
          <w:lang w:val="en-GB"/>
        </w:rPr>
        <w:t>económica</w:t>
      </w:r>
      <w:proofErr w:type="spellEnd"/>
      <w:r>
        <w:rPr>
          <w:lang w:val="en-GB"/>
        </w:rPr>
        <w:t xml:space="preserve">) is a </w:t>
      </w:r>
      <w:r w:rsidRPr="0081285C">
        <w:rPr>
          <w:lang w:val="en-GB"/>
        </w:rPr>
        <w:t xml:space="preserve">monthly </w:t>
      </w:r>
      <w:r>
        <w:rPr>
          <w:lang w:val="en-GB"/>
        </w:rPr>
        <w:t>index</w:t>
      </w:r>
      <w:r w:rsidRPr="0081285C">
        <w:rPr>
          <w:lang w:val="en-GB"/>
        </w:rPr>
        <w:t xml:space="preserve"> of </w:t>
      </w:r>
      <w:r>
        <w:rPr>
          <w:lang w:val="en-GB"/>
        </w:rPr>
        <w:t>economic activity published by the Central Bank of Chile.</w:t>
      </w:r>
    </w:p>
  </w:footnote>
  <w:footnote w:id="3">
    <w:p w:rsidR="0059435A" w:rsidRPr="009E05B2" w:rsidRDefault="0059435A" w:rsidP="009E05B2">
      <w:pPr>
        <w:pStyle w:val="Textonotapie"/>
        <w:jc w:val="both"/>
        <w:rPr>
          <w:lang w:val="en-US"/>
        </w:rPr>
      </w:pPr>
      <w:r>
        <w:rPr>
          <w:rStyle w:val="Refdenotaalpie"/>
        </w:rPr>
        <w:footnoteRef/>
      </w:r>
      <w:r w:rsidRPr="009E05B2">
        <w:rPr>
          <w:lang w:val="en-US"/>
        </w:rPr>
        <w:t xml:space="preserve"> To allow a better identification of the </w:t>
      </w:r>
      <w:r>
        <w:rPr>
          <w:lang w:val="en-US"/>
        </w:rPr>
        <w:t xml:space="preserve">plotted </w:t>
      </w:r>
      <w:r w:rsidRPr="009E05B2">
        <w:rPr>
          <w:lang w:val="en-US"/>
        </w:rPr>
        <w:t>trends</w:t>
      </w:r>
      <w:r>
        <w:rPr>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03DDF"/>
    <w:multiLevelType w:val="multilevel"/>
    <w:tmpl w:val="48685550"/>
    <w:lvl w:ilvl="0">
      <w:start w:val="1"/>
      <w:numFmt w:val="decimal"/>
      <w:lvlText w:val="%1."/>
      <w:lvlJc w:val="left"/>
      <w:pPr>
        <w:ind w:left="360" w:hanging="360"/>
      </w:p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 w15:restartNumberingAfterBreak="0">
    <w:nsid w:val="0C183297"/>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99923B7"/>
    <w:multiLevelType w:val="multilevel"/>
    <w:tmpl w:val="A7A25FD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61635CE0"/>
    <w:multiLevelType w:val="hybridMultilevel"/>
    <w:tmpl w:val="731C957E"/>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4" w15:restartNumberingAfterBreak="0">
    <w:nsid w:val="679B6FF4"/>
    <w:multiLevelType w:val="multilevel"/>
    <w:tmpl w:val="ADECC47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15:restartNumberingAfterBreak="0">
    <w:nsid w:val="67BA1D70"/>
    <w:multiLevelType w:val="hybridMultilevel"/>
    <w:tmpl w:val="33383C10"/>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15:restartNumberingAfterBreak="0">
    <w:nsid w:val="7D2B3393"/>
    <w:multiLevelType w:val="multilevel"/>
    <w:tmpl w:val="7B225D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0"/>
  </w:num>
  <w:num w:numId="2">
    <w:abstractNumId w:val="1"/>
  </w:num>
  <w:num w:numId="3">
    <w:abstractNumId w:val="2"/>
  </w:num>
  <w:num w:numId="4">
    <w:abstractNumId w:val="6"/>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0C05"/>
    <w:rsid w:val="0004120A"/>
    <w:rsid w:val="000527E0"/>
    <w:rsid w:val="00052FAA"/>
    <w:rsid w:val="00070ADE"/>
    <w:rsid w:val="00131B8A"/>
    <w:rsid w:val="0015374D"/>
    <w:rsid w:val="00182C2E"/>
    <w:rsid w:val="001A1413"/>
    <w:rsid w:val="001B08EE"/>
    <w:rsid w:val="001C3B47"/>
    <w:rsid w:val="001C4C42"/>
    <w:rsid w:val="001C6608"/>
    <w:rsid w:val="001D1B7A"/>
    <w:rsid w:val="001D3CF5"/>
    <w:rsid w:val="00221A80"/>
    <w:rsid w:val="002225CF"/>
    <w:rsid w:val="0023077C"/>
    <w:rsid w:val="002359F7"/>
    <w:rsid w:val="00245D90"/>
    <w:rsid w:val="0029408F"/>
    <w:rsid w:val="002B186A"/>
    <w:rsid w:val="002B4356"/>
    <w:rsid w:val="002F4858"/>
    <w:rsid w:val="0030197A"/>
    <w:rsid w:val="00307980"/>
    <w:rsid w:val="00310019"/>
    <w:rsid w:val="003217B7"/>
    <w:rsid w:val="0035009C"/>
    <w:rsid w:val="00363BDC"/>
    <w:rsid w:val="0036405E"/>
    <w:rsid w:val="003706E0"/>
    <w:rsid w:val="00370DB6"/>
    <w:rsid w:val="0037282C"/>
    <w:rsid w:val="0038742F"/>
    <w:rsid w:val="00391BA3"/>
    <w:rsid w:val="00397197"/>
    <w:rsid w:val="003A28A3"/>
    <w:rsid w:val="003A376C"/>
    <w:rsid w:val="003C2F2E"/>
    <w:rsid w:val="003D42FD"/>
    <w:rsid w:val="004073F5"/>
    <w:rsid w:val="004161A8"/>
    <w:rsid w:val="00427411"/>
    <w:rsid w:val="004A13D9"/>
    <w:rsid w:val="004A2BD5"/>
    <w:rsid w:val="004B413E"/>
    <w:rsid w:val="004F3873"/>
    <w:rsid w:val="00510C05"/>
    <w:rsid w:val="00517F35"/>
    <w:rsid w:val="0052267C"/>
    <w:rsid w:val="005312BF"/>
    <w:rsid w:val="005550E3"/>
    <w:rsid w:val="00556535"/>
    <w:rsid w:val="0059435A"/>
    <w:rsid w:val="005975C9"/>
    <w:rsid w:val="005A166F"/>
    <w:rsid w:val="005A7CE0"/>
    <w:rsid w:val="00630B64"/>
    <w:rsid w:val="00634D65"/>
    <w:rsid w:val="00635C7A"/>
    <w:rsid w:val="00636A6C"/>
    <w:rsid w:val="0064428F"/>
    <w:rsid w:val="00655986"/>
    <w:rsid w:val="0066112A"/>
    <w:rsid w:val="006B6231"/>
    <w:rsid w:val="006C76A0"/>
    <w:rsid w:val="006F060A"/>
    <w:rsid w:val="00705742"/>
    <w:rsid w:val="00726EFC"/>
    <w:rsid w:val="00752F1D"/>
    <w:rsid w:val="00755329"/>
    <w:rsid w:val="007810C4"/>
    <w:rsid w:val="00787086"/>
    <w:rsid w:val="007931C0"/>
    <w:rsid w:val="007A7AB9"/>
    <w:rsid w:val="007B0B9E"/>
    <w:rsid w:val="007E4CD1"/>
    <w:rsid w:val="0081285C"/>
    <w:rsid w:val="00823A32"/>
    <w:rsid w:val="008449DC"/>
    <w:rsid w:val="008574E7"/>
    <w:rsid w:val="008749B2"/>
    <w:rsid w:val="00885AF0"/>
    <w:rsid w:val="00885F08"/>
    <w:rsid w:val="008D1D8F"/>
    <w:rsid w:val="008F53C9"/>
    <w:rsid w:val="00905E56"/>
    <w:rsid w:val="00906432"/>
    <w:rsid w:val="00911B56"/>
    <w:rsid w:val="00937E20"/>
    <w:rsid w:val="0094032D"/>
    <w:rsid w:val="009534B8"/>
    <w:rsid w:val="00953819"/>
    <w:rsid w:val="00992768"/>
    <w:rsid w:val="00993461"/>
    <w:rsid w:val="009947D9"/>
    <w:rsid w:val="009955FF"/>
    <w:rsid w:val="009D39F5"/>
    <w:rsid w:val="009E05B2"/>
    <w:rsid w:val="009F1014"/>
    <w:rsid w:val="00A10ACC"/>
    <w:rsid w:val="00A21A1B"/>
    <w:rsid w:val="00A55CD7"/>
    <w:rsid w:val="00A57E28"/>
    <w:rsid w:val="00A90440"/>
    <w:rsid w:val="00A91E8A"/>
    <w:rsid w:val="00AA5C6D"/>
    <w:rsid w:val="00AB2B95"/>
    <w:rsid w:val="00AB7BCE"/>
    <w:rsid w:val="00AE1FEF"/>
    <w:rsid w:val="00AE4A74"/>
    <w:rsid w:val="00AF6D11"/>
    <w:rsid w:val="00B1593D"/>
    <w:rsid w:val="00B23FF3"/>
    <w:rsid w:val="00B40DFD"/>
    <w:rsid w:val="00B41190"/>
    <w:rsid w:val="00B6042F"/>
    <w:rsid w:val="00C006DF"/>
    <w:rsid w:val="00C4771F"/>
    <w:rsid w:val="00C71B83"/>
    <w:rsid w:val="00CC2E68"/>
    <w:rsid w:val="00CE4410"/>
    <w:rsid w:val="00D37B49"/>
    <w:rsid w:val="00D67E45"/>
    <w:rsid w:val="00D82F22"/>
    <w:rsid w:val="00D93093"/>
    <w:rsid w:val="00DA7F3B"/>
    <w:rsid w:val="00DC53B9"/>
    <w:rsid w:val="00DD6BF5"/>
    <w:rsid w:val="00DF0E4D"/>
    <w:rsid w:val="00E10347"/>
    <w:rsid w:val="00E1095B"/>
    <w:rsid w:val="00E15403"/>
    <w:rsid w:val="00E25073"/>
    <w:rsid w:val="00E633FD"/>
    <w:rsid w:val="00EA779A"/>
    <w:rsid w:val="00F154DF"/>
    <w:rsid w:val="00F50FD3"/>
    <w:rsid w:val="00F76484"/>
    <w:rsid w:val="00FA0C58"/>
    <w:rsid w:val="00FC47F8"/>
    <w:rsid w:val="00FF2C1D"/>
    <w:rsid w:val="00FF758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23E91"/>
  <w15:chartTrackingRefBased/>
  <w15:docId w15:val="{9B3D4A5D-B600-42BE-9772-583ABE385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3D42FD"/>
    <w:pPr>
      <w:keepNext/>
      <w:keepLines/>
      <w:spacing w:before="240"/>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3D42FD"/>
    <w:pPr>
      <w:keepNext/>
      <w:keepLines/>
      <w:spacing w:before="40"/>
      <w:outlineLvl w:val="1"/>
    </w:pPr>
    <w:rPr>
      <w:rFonts w:eastAsiaTheme="majorEastAsia" w:cstheme="majorBidi"/>
      <w:b/>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10C05"/>
    <w:rPr>
      <w:color w:val="0563C1" w:themeColor="hyperlink"/>
      <w:u w:val="single"/>
    </w:rPr>
  </w:style>
  <w:style w:type="character" w:styleId="Mencionar">
    <w:name w:val="Mention"/>
    <w:basedOn w:val="Fuentedeprrafopredeter"/>
    <w:uiPriority w:val="99"/>
    <w:semiHidden/>
    <w:unhideWhenUsed/>
    <w:rsid w:val="00510C05"/>
    <w:rPr>
      <w:color w:val="2B579A"/>
      <w:shd w:val="clear" w:color="auto" w:fill="E6E6E6"/>
    </w:rPr>
  </w:style>
  <w:style w:type="paragraph" w:styleId="Textonotapie">
    <w:name w:val="footnote text"/>
    <w:basedOn w:val="Normal"/>
    <w:link w:val="TextonotapieCar"/>
    <w:uiPriority w:val="99"/>
    <w:semiHidden/>
    <w:unhideWhenUsed/>
    <w:rsid w:val="001D3CF5"/>
    <w:rPr>
      <w:sz w:val="20"/>
      <w:szCs w:val="20"/>
    </w:rPr>
  </w:style>
  <w:style w:type="character" w:customStyle="1" w:styleId="TextonotapieCar">
    <w:name w:val="Texto nota pie Car"/>
    <w:basedOn w:val="Fuentedeprrafopredeter"/>
    <w:link w:val="Textonotapie"/>
    <w:uiPriority w:val="99"/>
    <w:semiHidden/>
    <w:rsid w:val="001D3CF5"/>
    <w:rPr>
      <w:sz w:val="20"/>
      <w:szCs w:val="20"/>
    </w:rPr>
  </w:style>
  <w:style w:type="character" w:styleId="Refdenotaalpie">
    <w:name w:val="footnote reference"/>
    <w:basedOn w:val="Fuentedeprrafopredeter"/>
    <w:uiPriority w:val="99"/>
    <w:semiHidden/>
    <w:unhideWhenUsed/>
    <w:rsid w:val="001D3CF5"/>
    <w:rPr>
      <w:vertAlign w:val="superscript"/>
    </w:rPr>
  </w:style>
  <w:style w:type="character" w:customStyle="1" w:styleId="Ttulo1Car">
    <w:name w:val="Título 1 Car"/>
    <w:basedOn w:val="Fuentedeprrafopredeter"/>
    <w:link w:val="Ttulo1"/>
    <w:uiPriority w:val="9"/>
    <w:rsid w:val="003D42FD"/>
    <w:rPr>
      <w:rFonts w:eastAsiaTheme="majorEastAsia" w:cstheme="majorBidi"/>
      <w:b/>
      <w:sz w:val="28"/>
      <w:szCs w:val="32"/>
    </w:rPr>
  </w:style>
  <w:style w:type="character" w:customStyle="1" w:styleId="Ttulo2Car">
    <w:name w:val="Título 2 Car"/>
    <w:basedOn w:val="Fuentedeprrafopredeter"/>
    <w:link w:val="Ttulo2"/>
    <w:uiPriority w:val="9"/>
    <w:rsid w:val="003D42FD"/>
    <w:rPr>
      <w:rFonts w:eastAsiaTheme="majorEastAsia" w:cstheme="majorBidi"/>
      <w:b/>
      <w:szCs w:val="26"/>
    </w:rPr>
  </w:style>
  <w:style w:type="character" w:styleId="Textodelmarcadordeposicin">
    <w:name w:val="Placeholder Text"/>
    <w:basedOn w:val="Fuentedeprrafopredeter"/>
    <w:uiPriority w:val="99"/>
    <w:semiHidden/>
    <w:rsid w:val="003D42FD"/>
    <w:rPr>
      <w:color w:val="808080"/>
    </w:rPr>
  </w:style>
  <w:style w:type="paragraph" w:styleId="Descripcin">
    <w:name w:val="caption"/>
    <w:basedOn w:val="Normal"/>
    <w:next w:val="Normal"/>
    <w:uiPriority w:val="35"/>
    <w:unhideWhenUsed/>
    <w:qFormat/>
    <w:rsid w:val="00752F1D"/>
    <w:pPr>
      <w:spacing w:after="200"/>
    </w:pPr>
    <w:rPr>
      <w:i/>
      <w:iCs/>
      <w:color w:val="44546A" w:themeColor="text2"/>
      <w:sz w:val="18"/>
      <w:szCs w:val="18"/>
    </w:rPr>
  </w:style>
  <w:style w:type="paragraph" w:styleId="Prrafodelista">
    <w:name w:val="List Paragraph"/>
    <w:basedOn w:val="Normal"/>
    <w:uiPriority w:val="34"/>
    <w:qFormat/>
    <w:rsid w:val="00A55CD7"/>
    <w:pPr>
      <w:ind w:left="720"/>
      <w:contextualSpacing/>
    </w:pPr>
  </w:style>
  <w:style w:type="table" w:styleId="Tablaconcuadrcula">
    <w:name w:val="Table Grid"/>
    <w:basedOn w:val="Tablanormal"/>
    <w:uiPriority w:val="39"/>
    <w:rsid w:val="00A57E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F76484"/>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78993154">
      <w:bodyDiv w:val="1"/>
      <w:marLeft w:val="0"/>
      <w:marRight w:val="0"/>
      <w:marTop w:val="0"/>
      <w:marBottom w:val="0"/>
      <w:divBdr>
        <w:top w:val="none" w:sz="0" w:space="0" w:color="auto"/>
        <w:left w:val="none" w:sz="0" w:space="0" w:color="auto"/>
        <w:bottom w:val="none" w:sz="0" w:space="0" w:color="auto"/>
        <w:right w:val="none" w:sz="0" w:space="0" w:color="auto"/>
      </w:divBdr>
    </w:div>
    <w:div w:id="1648586339">
      <w:bodyDiv w:val="1"/>
      <w:marLeft w:val="0"/>
      <w:marRight w:val="0"/>
      <w:marTop w:val="0"/>
      <w:marBottom w:val="0"/>
      <w:divBdr>
        <w:top w:val="none" w:sz="0" w:space="0" w:color="auto"/>
        <w:left w:val="none" w:sz="0" w:space="0" w:color="auto"/>
        <w:bottom w:val="none" w:sz="0" w:space="0" w:color="auto"/>
        <w:right w:val="none" w:sz="0" w:space="0" w:color="auto"/>
      </w:divBdr>
    </w:div>
    <w:div w:id="2079789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uacunas@udd.cl" TargetMode="Externa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10" Type="http://schemas.openxmlformats.org/officeDocument/2006/relationships/image" Target="media/image2.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s>
</file>

<file path=word/_rels/footnotes.xml.rels><?xml version="1.0" encoding="UTF-8" standalone="yes"?>
<Relationships xmlns="http://schemas.openxmlformats.org/package/2006/relationships"><Relationship Id="rId1" Type="http://schemas.openxmlformats.org/officeDocument/2006/relationships/hyperlink" Target="http://negocios.udd.cl/ceen/"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9E9272-B056-42AC-9182-7E8FF4506B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535</TotalTime>
  <Pages>12</Pages>
  <Words>2349</Words>
  <Characters>12924</Characters>
  <Application>Microsoft Office Word</Application>
  <DocSecurity>0</DocSecurity>
  <Lines>107</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Guillermo Acuna</dc:creator>
  <cp:keywords/>
  <dc:description/>
  <cp:lastModifiedBy>Guillermo Acuna</cp:lastModifiedBy>
  <cp:revision>23</cp:revision>
  <dcterms:created xsi:type="dcterms:W3CDTF">2017-07-12T22:32:00Z</dcterms:created>
  <dcterms:modified xsi:type="dcterms:W3CDTF">2017-07-17T20:20:00Z</dcterms:modified>
</cp:coreProperties>
</file>