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559852973"/>
        <w:docPartObj>
          <w:docPartGallery w:val="Cover Pages"/>
          <w:docPartUnique/>
        </w:docPartObj>
      </w:sdtPr>
      <w:sdtEndPr>
        <w:rPr>
          <w:rFonts w:eastAsiaTheme="minorEastAsia"/>
          <w:color w:val="4472C4" w:themeColor="accent1"/>
          <w:lang w:eastAsia="es-CL"/>
        </w:rPr>
      </w:sdtEndPr>
      <w:sdtContent>
        <w:p w14:paraId="180A3EBB" w14:textId="69F9260F" w:rsidR="005E0FB3" w:rsidRDefault="005E0FB3"/>
        <w:p w14:paraId="16C79D98" w14:textId="7C54B52C" w:rsidR="005E0FB3" w:rsidRDefault="005E0FB3"/>
        <w:p w14:paraId="24B94003" w14:textId="69717F6E" w:rsidR="005E0FB3" w:rsidRDefault="005E0FB3"/>
        <w:p w14:paraId="10F954AD" w14:textId="357581E1" w:rsidR="005E0FB3" w:rsidRDefault="006F5A51">
          <w:r>
            <w:rPr>
              <w:noProof/>
            </w:rPr>
            <w:drawing>
              <wp:anchor distT="0" distB="0" distL="114300" distR="114300" simplePos="0" relativeHeight="251664384" behindDoc="0" locked="0" layoutInCell="1" allowOverlap="1" wp14:anchorId="1FA36567" wp14:editId="78046CC7">
                <wp:simplePos x="0" y="0"/>
                <wp:positionH relativeFrom="margin">
                  <wp:align>center</wp:align>
                </wp:positionH>
                <wp:positionV relativeFrom="margin">
                  <wp:posOffset>1095154</wp:posOffset>
                </wp:positionV>
                <wp:extent cx="2486025" cy="833120"/>
                <wp:effectExtent l="0" t="0" r="9525" b="5080"/>
                <wp:wrapSquare wrapText="bothSides"/>
                <wp:docPr id="1" name="Imagen 1" descr="Logos - Imagen U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s - Imagen UD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486025" cy="833120"/>
                        </a:xfrm>
                        <a:prstGeom prst="rect">
                          <a:avLst/>
                        </a:prstGeom>
                        <a:noFill/>
                        <a:ln>
                          <a:noFill/>
                        </a:ln>
                      </pic:spPr>
                    </pic:pic>
                  </a:graphicData>
                </a:graphic>
              </wp:anchor>
            </w:drawing>
          </w:r>
        </w:p>
        <w:p w14:paraId="15B6B9E8" w14:textId="3AF072EB" w:rsidR="005E0FB3" w:rsidRDefault="005E0FB3" w:rsidP="005906C7">
          <w:pPr>
            <w:jc w:val="both"/>
            <w:rPr>
              <w:rFonts w:eastAsiaTheme="minorEastAsia"/>
              <w:color w:val="4472C4" w:themeColor="accent1"/>
              <w:lang w:eastAsia="es-CL"/>
            </w:rPr>
          </w:pPr>
          <w:r>
            <w:rPr>
              <w:noProof/>
            </w:rPr>
            <mc:AlternateContent>
              <mc:Choice Requires="wps">
                <w:drawing>
                  <wp:anchor distT="0" distB="0" distL="182880" distR="182880" simplePos="0" relativeHeight="251660288" behindDoc="0" locked="0" layoutInCell="1" allowOverlap="1" wp14:anchorId="38399948" wp14:editId="00A70DBD">
                    <wp:simplePos x="0" y="0"/>
                    <wp:positionH relativeFrom="margin">
                      <wp:posOffset>7620</wp:posOffset>
                    </wp:positionH>
                    <wp:positionV relativeFrom="page">
                      <wp:posOffset>3284220</wp:posOffset>
                    </wp:positionV>
                    <wp:extent cx="5836920" cy="6720840"/>
                    <wp:effectExtent l="0" t="0" r="11430" b="12700"/>
                    <wp:wrapSquare wrapText="bothSides"/>
                    <wp:docPr id="131" name="Cuadro de texto 131"/>
                    <wp:cNvGraphicFramePr/>
                    <a:graphic xmlns:a="http://schemas.openxmlformats.org/drawingml/2006/main">
                      <a:graphicData uri="http://schemas.microsoft.com/office/word/2010/wordprocessingShape">
                        <wps:wsp>
                          <wps:cNvSpPr txBox="1"/>
                          <wps:spPr>
                            <a:xfrm>
                              <a:off x="0" y="0"/>
                              <a:ext cx="5836920" cy="672084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4777678" w14:textId="77777777" w:rsidR="007E530A" w:rsidRPr="001A3CEE" w:rsidRDefault="00000000" w:rsidP="007E530A">
                                <w:pPr>
                                  <w:pStyle w:val="Sinespaciado"/>
                                  <w:spacing w:before="40" w:after="560" w:line="216" w:lineRule="auto"/>
                                  <w:jc w:val="center"/>
                                  <w:rPr>
                                    <w:color w:val="27457B"/>
                                    <w:sz w:val="44"/>
                                    <w:szCs w:val="44"/>
                                  </w:rPr>
                                </w:pPr>
                                <w:sdt>
                                  <w:sdtPr>
                                    <w:rPr>
                                      <w:rFonts w:ascii="Times New Roman" w:hAnsi="Times New Roman" w:cs="Times New Roman"/>
                                      <w:color w:val="27457B"/>
                                      <w:sz w:val="44"/>
                                      <w:szCs w:val="44"/>
                                    </w:rPr>
                                    <w:alias w:val="Título"/>
                                    <w:tag w:val=""/>
                                    <w:id w:val="1107539553"/>
                                    <w:dataBinding w:prefixMappings="xmlns:ns0='http://purl.org/dc/elements/1.1/' xmlns:ns1='http://schemas.openxmlformats.org/package/2006/metadata/core-properties' " w:xpath="/ns1:coreProperties[1]/ns0:title[1]" w:storeItemID="{6C3C8BC8-F283-45AE-878A-BAB7291924A1}"/>
                                    <w:text/>
                                  </w:sdtPr>
                                  <w:sdtContent>
                                    <w:r w:rsidR="007E530A">
                                      <w:rPr>
                                        <w:rFonts w:ascii="Times New Roman" w:hAnsi="Times New Roman" w:cs="Times New Roman"/>
                                        <w:color w:val="27457B"/>
                                        <w:sz w:val="44"/>
                                        <w:szCs w:val="44"/>
                                      </w:rPr>
                                      <w:t xml:space="preserve">Desarrollo sostenible y competitivo del sector frutícola: Caso de estudio del Programa Territorial Integrado </w:t>
                                    </w:r>
                                    <w:proofErr w:type="spellStart"/>
                                    <w:r w:rsidR="007E530A">
                                      <w:rPr>
                                        <w:rFonts w:ascii="Times New Roman" w:hAnsi="Times New Roman" w:cs="Times New Roman"/>
                                        <w:color w:val="27457B"/>
                                        <w:sz w:val="44"/>
                                        <w:szCs w:val="44"/>
                                      </w:rPr>
                                      <w:t>Tecnofruta</w:t>
                                    </w:r>
                                    <w:proofErr w:type="spellEnd"/>
                                    <w:r w:rsidR="007E530A">
                                      <w:rPr>
                                        <w:rFonts w:ascii="Times New Roman" w:hAnsi="Times New Roman" w:cs="Times New Roman"/>
                                        <w:color w:val="27457B"/>
                                        <w:sz w:val="44"/>
                                        <w:szCs w:val="44"/>
                                      </w:rPr>
                                      <w:t xml:space="preserve"> Biobío</w:t>
                                    </w:r>
                                  </w:sdtContent>
                                </w:sdt>
                              </w:p>
                              <w:sdt>
                                <w:sdtPr>
                                  <w:rPr>
                                    <w:caps/>
                                    <w:color w:val="1F4E79" w:themeColor="accent5" w:themeShade="80"/>
                                    <w:sz w:val="24"/>
                                    <w:szCs w:val="24"/>
                                  </w:rPr>
                                  <w:alias w:val="Subtítulo"/>
                                  <w:tag w:val=""/>
                                  <w:id w:val="-2090151685"/>
                                  <w:dataBinding w:prefixMappings="xmlns:ns0='http://purl.org/dc/elements/1.1/' xmlns:ns1='http://schemas.openxmlformats.org/package/2006/metadata/core-properties' " w:xpath="/ns1:coreProperties[1]/ns0:subject[1]" w:storeItemID="{6C3C8BC8-F283-45AE-878A-BAB7291924A1}"/>
                                  <w:text/>
                                </w:sdtPr>
                                <w:sdtContent>
                                  <w:p w14:paraId="59829988" w14:textId="0734553B" w:rsidR="005E0FB3" w:rsidRPr="001A3CEE" w:rsidRDefault="005E0FB3" w:rsidP="002D44FD">
                                    <w:pPr>
                                      <w:pStyle w:val="Sinespaciado"/>
                                      <w:spacing w:before="40" w:after="560" w:line="216" w:lineRule="auto"/>
                                      <w:jc w:val="center"/>
                                      <w:rPr>
                                        <w:caps/>
                                        <w:color w:val="1F4E79" w:themeColor="accent5" w:themeShade="80"/>
                                        <w:sz w:val="24"/>
                                        <w:szCs w:val="24"/>
                                      </w:rPr>
                                    </w:pPr>
                                    <w:r w:rsidRPr="001A3CEE">
                                      <w:rPr>
                                        <w:caps/>
                                        <w:color w:val="1F4E79" w:themeColor="accent5" w:themeShade="80"/>
                                        <w:sz w:val="24"/>
                                        <w:szCs w:val="24"/>
                                      </w:rPr>
                                      <w:t>MARÍA EMILIA LAMA PEÑA Y lIL</w:t>
                                    </w:r>
                                    <w:r w:rsidR="00144AAF">
                                      <w:rPr>
                                        <w:caps/>
                                        <w:color w:val="1F4E79" w:themeColor="accent5" w:themeShade="80"/>
                                        <w:sz w:val="24"/>
                                        <w:szCs w:val="24"/>
                                      </w:rPr>
                                      <w:t>L</w:t>
                                    </w:r>
                                    <w:r w:rsidRPr="001A3CEE">
                                      <w:rPr>
                                        <w:caps/>
                                        <w:color w:val="1F4E79" w:themeColor="accent5" w:themeShade="80"/>
                                        <w:sz w:val="24"/>
                                        <w:szCs w:val="24"/>
                                      </w:rPr>
                                      <w:t>O</w:t>
                                    </w:r>
                                  </w:p>
                                </w:sdtContent>
                              </w:sdt>
                              <w:sdt>
                                <w:sdtPr>
                                  <w:rPr>
                                    <w:caps/>
                                    <w:color w:val="171717" w:themeColor="background2" w:themeShade="1A"/>
                                    <w:sz w:val="24"/>
                                    <w:szCs w:val="24"/>
                                  </w:rPr>
                                  <w:alias w:val="Autor"/>
                                  <w:tag w:val=""/>
                                  <w:id w:val="-1536112409"/>
                                  <w:dataBinding w:prefixMappings="xmlns:ns0='http://purl.org/dc/elements/1.1/' xmlns:ns1='http://schemas.openxmlformats.org/package/2006/metadata/core-properties' " w:xpath="/ns1:coreProperties[1]/ns0:creator[1]" w:storeItemID="{6C3C8BC8-F283-45AE-878A-BAB7291924A1}"/>
                                  <w:text/>
                                </w:sdtPr>
                                <w:sdtContent>
                                  <w:p w14:paraId="0248E30E" w14:textId="165C8483" w:rsidR="005E0FB3" w:rsidRPr="001A3CEE" w:rsidRDefault="005E0FB3">
                                    <w:pPr>
                                      <w:pStyle w:val="Sinespaciado"/>
                                      <w:spacing w:before="80" w:after="40"/>
                                      <w:rPr>
                                        <w:caps/>
                                        <w:color w:val="171717" w:themeColor="background2" w:themeShade="1A"/>
                                        <w:sz w:val="24"/>
                                        <w:szCs w:val="24"/>
                                      </w:rPr>
                                    </w:pPr>
                                    <w:r w:rsidRPr="001A3CEE">
                                      <w:rPr>
                                        <w:caps/>
                                        <w:color w:val="171717" w:themeColor="background2" w:themeShade="1A"/>
                                        <w:sz w:val="24"/>
                                        <w:szCs w:val="24"/>
                                      </w:rPr>
                                      <w:t xml:space="preserve">PROFESOR GUÍA: DIEGO </w:t>
                                    </w:r>
                                    <w:r w:rsidR="001E16FC">
                                      <w:rPr>
                                        <w:caps/>
                                        <w:color w:val="171717" w:themeColor="background2" w:themeShade="1A"/>
                                        <w:sz w:val="24"/>
                                        <w:szCs w:val="24"/>
                                      </w:rPr>
                                      <w:t>RIVERA SALAZAR</w:t>
                                    </w:r>
                                  </w:p>
                                </w:sdtContent>
                              </w:sdt>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35000</wp14:pctHeight>
                    </wp14:sizeRelV>
                  </wp:anchor>
                </w:drawing>
              </mc:Choice>
              <mc:Fallback>
                <w:pict>
                  <v:shapetype w14:anchorId="38399948" id="_x0000_t202" coordsize="21600,21600" o:spt="202" path="m,l,21600r21600,l21600,xe">
                    <v:stroke joinstyle="miter"/>
                    <v:path gradientshapeok="t" o:connecttype="rect"/>
                  </v:shapetype>
                  <v:shape id="Cuadro de texto 131" o:spid="_x0000_s1026" type="#_x0000_t202" style="position:absolute;left:0;text-align:left;margin-left:.6pt;margin-top:258.6pt;width:459.6pt;height:529.2pt;z-index:251660288;visibility:visible;mso-wrap-style:square;mso-width-percent:0;mso-height-percent:350;mso-wrap-distance-left:14.4pt;mso-wrap-distance-top:0;mso-wrap-distance-right:14.4pt;mso-wrap-distance-bottom:0;mso-position-horizontal:absolute;mso-position-horizontal-relative:margin;mso-position-vertical:absolute;mso-position-vertical-relative:page;mso-width-percent:0;mso-height-percent:35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" filled="f" stroked="f" strokeweight=".5pt">
                    <v:textbox style="mso-fit-shape-to-text:t" inset="0,0,0,0">
                      <w:txbxContent>
                        <w:p w14:paraId="04777678" w14:textId="77777777" w:rsidR="007E530A" w:rsidRPr="001A3CEE" w:rsidRDefault="00000000" w:rsidP="007E530A">
                          <w:pPr>
                            <w:pStyle w:val="Sinespaciado"/>
                            <w:spacing w:before="40" w:after="560" w:line="216" w:lineRule="auto"/>
                            <w:jc w:val="center"/>
                            <w:rPr>
                              <w:color w:val="27457B"/>
                              <w:sz w:val="44"/>
                              <w:szCs w:val="44"/>
                            </w:rPr>
                          </w:pPr>
                          <w:sdt>
                            <w:sdtPr>
                              <w:rPr>
                                <w:rFonts w:ascii="Times New Roman" w:hAnsi="Times New Roman" w:cs="Times New Roman"/>
                                <w:color w:val="27457B"/>
                                <w:sz w:val="44"/>
                                <w:szCs w:val="44"/>
                              </w:rPr>
                              <w:alias w:val="Título"/>
                              <w:tag w:val=""/>
                              <w:id w:val="1107539553"/>
                              <w:dataBinding w:prefixMappings="xmlns:ns0='http://purl.org/dc/elements/1.1/' xmlns:ns1='http://schemas.openxmlformats.org/package/2006/metadata/core-properties' " w:xpath="/ns1:coreProperties[1]/ns0:title[1]" w:storeItemID="{6C3C8BC8-F283-45AE-878A-BAB7291924A1}"/>
                              <w:text/>
                            </w:sdtPr>
                            <w:sdtContent>
                              <w:r w:rsidR="007E530A">
                                <w:rPr>
                                  <w:rFonts w:ascii="Times New Roman" w:hAnsi="Times New Roman" w:cs="Times New Roman"/>
                                  <w:color w:val="27457B"/>
                                  <w:sz w:val="44"/>
                                  <w:szCs w:val="44"/>
                                </w:rPr>
                                <w:t xml:space="preserve">Desarrollo sostenible y competitivo del sector frutícola: Caso de estudio del Programa Territorial Integrado </w:t>
                              </w:r>
                              <w:proofErr w:type="spellStart"/>
                              <w:r w:rsidR="007E530A">
                                <w:rPr>
                                  <w:rFonts w:ascii="Times New Roman" w:hAnsi="Times New Roman" w:cs="Times New Roman"/>
                                  <w:color w:val="27457B"/>
                                  <w:sz w:val="44"/>
                                  <w:szCs w:val="44"/>
                                </w:rPr>
                                <w:t>Tecnofruta</w:t>
                              </w:r>
                              <w:proofErr w:type="spellEnd"/>
                              <w:r w:rsidR="007E530A">
                                <w:rPr>
                                  <w:rFonts w:ascii="Times New Roman" w:hAnsi="Times New Roman" w:cs="Times New Roman"/>
                                  <w:color w:val="27457B"/>
                                  <w:sz w:val="44"/>
                                  <w:szCs w:val="44"/>
                                </w:rPr>
                                <w:t xml:space="preserve"> Biobío</w:t>
                              </w:r>
                            </w:sdtContent>
                          </w:sdt>
                        </w:p>
                        <w:sdt>
                          <w:sdtPr>
                            <w:rPr>
                              <w:caps/>
                              <w:color w:val="1F4E79" w:themeColor="accent5" w:themeShade="80"/>
                              <w:sz w:val="24"/>
                              <w:szCs w:val="24"/>
                            </w:rPr>
                            <w:alias w:val="Subtítulo"/>
                            <w:tag w:val=""/>
                            <w:id w:val="-2090151685"/>
                            <w:dataBinding w:prefixMappings="xmlns:ns0='http://purl.org/dc/elements/1.1/' xmlns:ns1='http://schemas.openxmlformats.org/package/2006/metadata/core-properties' " w:xpath="/ns1:coreProperties[1]/ns0:subject[1]" w:storeItemID="{6C3C8BC8-F283-45AE-878A-BAB7291924A1}"/>
                            <w:text/>
                          </w:sdtPr>
                          <w:sdtContent>
                            <w:p w14:paraId="59829988" w14:textId="0734553B" w:rsidR="005E0FB3" w:rsidRPr="001A3CEE" w:rsidRDefault="005E0FB3" w:rsidP="002D44FD">
                              <w:pPr>
                                <w:pStyle w:val="Sinespaciado"/>
                                <w:spacing w:before="40" w:after="560" w:line="216" w:lineRule="auto"/>
                                <w:jc w:val="center"/>
                                <w:rPr>
                                  <w:caps/>
                                  <w:color w:val="1F4E79" w:themeColor="accent5" w:themeShade="80"/>
                                  <w:sz w:val="24"/>
                                  <w:szCs w:val="24"/>
                                </w:rPr>
                              </w:pPr>
                              <w:r w:rsidRPr="001A3CEE">
                                <w:rPr>
                                  <w:caps/>
                                  <w:color w:val="1F4E79" w:themeColor="accent5" w:themeShade="80"/>
                                  <w:sz w:val="24"/>
                                  <w:szCs w:val="24"/>
                                </w:rPr>
                                <w:t>MARÍA EMILIA LAMA PEÑA Y lIL</w:t>
                              </w:r>
                              <w:r w:rsidR="00144AAF">
                                <w:rPr>
                                  <w:caps/>
                                  <w:color w:val="1F4E79" w:themeColor="accent5" w:themeShade="80"/>
                                  <w:sz w:val="24"/>
                                  <w:szCs w:val="24"/>
                                </w:rPr>
                                <w:t>L</w:t>
                              </w:r>
                              <w:r w:rsidRPr="001A3CEE">
                                <w:rPr>
                                  <w:caps/>
                                  <w:color w:val="1F4E79" w:themeColor="accent5" w:themeShade="80"/>
                                  <w:sz w:val="24"/>
                                  <w:szCs w:val="24"/>
                                </w:rPr>
                                <w:t>O</w:t>
                              </w:r>
                            </w:p>
                          </w:sdtContent>
                        </w:sdt>
                        <w:sdt>
                          <w:sdtPr>
                            <w:rPr>
                              <w:caps/>
                              <w:color w:val="171717" w:themeColor="background2" w:themeShade="1A"/>
                              <w:sz w:val="24"/>
                              <w:szCs w:val="24"/>
                            </w:rPr>
                            <w:alias w:val="Autor"/>
                            <w:tag w:val=""/>
                            <w:id w:val="-1536112409"/>
                            <w:dataBinding w:prefixMappings="xmlns:ns0='http://purl.org/dc/elements/1.1/' xmlns:ns1='http://schemas.openxmlformats.org/package/2006/metadata/core-properties' " w:xpath="/ns1:coreProperties[1]/ns0:creator[1]" w:storeItemID="{6C3C8BC8-F283-45AE-878A-BAB7291924A1}"/>
                            <w:text/>
                          </w:sdtPr>
                          <w:sdtContent>
                            <w:p w14:paraId="0248E30E" w14:textId="165C8483" w:rsidR="005E0FB3" w:rsidRPr="001A3CEE" w:rsidRDefault="005E0FB3">
                              <w:pPr>
                                <w:pStyle w:val="Sinespaciado"/>
                                <w:spacing w:before="80" w:after="40"/>
                                <w:rPr>
                                  <w:caps/>
                                  <w:color w:val="171717" w:themeColor="background2" w:themeShade="1A"/>
                                  <w:sz w:val="24"/>
                                  <w:szCs w:val="24"/>
                                </w:rPr>
                              </w:pPr>
                              <w:r w:rsidRPr="001A3CEE">
                                <w:rPr>
                                  <w:caps/>
                                  <w:color w:val="171717" w:themeColor="background2" w:themeShade="1A"/>
                                  <w:sz w:val="24"/>
                                  <w:szCs w:val="24"/>
                                </w:rPr>
                                <w:t xml:space="preserve">PROFESOR GUÍA: DIEGO </w:t>
                              </w:r>
                              <w:r w:rsidR="001E16FC">
                                <w:rPr>
                                  <w:caps/>
                                  <w:color w:val="171717" w:themeColor="background2" w:themeShade="1A"/>
                                  <w:sz w:val="24"/>
                                  <w:szCs w:val="24"/>
                                </w:rPr>
                                <w:t>RIVERA SALAZAR</w:t>
                              </w:r>
                            </w:p>
                          </w:sdtContent>
                        </w:sdt>
                      </w:txbxContent>
                    </v:textbox>
                    <w10:wrap type="square" anchorx="margin" anchory="page"/>
                  </v:shape>
                </w:pict>
              </mc:Fallback>
            </mc:AlternateContent>
          </w:r>
          <w:r w:rsidRPr="005E0FB3">
            <w:rPr>
              <w:rFonts w:eastAsiaTheme="minorEastAsia"/>
              <w:noProof/>
              <w:color w:val="4472C4" w:themeColor="accent1"/>
              <w:lang w:eastAsia="es-CL"/>
            </w:rPr>
            <mc:AlternateContent>
              <mc:Choice Requires="wps">
                <w:drawing>
                  <wp:anchor distT="45720" distB="45720" distL="114300" distR="114300" simplePos="0" relativeHeight="251662336" behindDoc="0" locked="0" layoutInCell="1" allowOverlap="1" wp14:anchorId="4886CD51" wp14:editId="7C0BB7B3">
                    <wp:simplePos x="0" y="0"/>
                    <wp:positionH relativeFrom="margin">
                      <wp:posOffset>249555</wp:posOffset>
                    </wp:positionH>
                    <wp:positionV relativeFrom="paragraph">
                      <wp:posOffset>4939665</wp:posOffset>
                    </wp:positionV>
                    <wp:extent cx="5353050" cy="1876425"/>
                    <wp:effectExtent l="0" t="0" r="0" b="952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53050" cy="1876425"/>
                            </a:xfrm>
                            <a:prstGeom prst="rect">
                              <a:avLst/>
                            </a:prstGeom>
                            <a:solidFill>
                              <a:srgbClr val="FFFFFF"/>
                            </a:solidFill>
                            <a:ln w="9525">
                              <a:noFill/>
                              <a:miter lim="800000"/>
                              <a:headEnd/>
                              <a:tailEnd/>
                            </a:ln>
                          </wps:spPr>
                          <wps:txbx>
                            <w:txbxContent>
                              <w:p w14:paraId="0C93ABF4" w14:textId="17C49066" w:rsidR="005E0FB3" w:rsidRPr="001A3CEE" w:rsidRDefault="005E0FB3" w:rsidP="005E0FB3">
                                <w:pPr>
                                  <w:jc w:val="center"/>
                                  <w:rPr>
                                    <w:color w:val="171717" w:themeColor="background2" w:themeShade="1A"/>
                                    <w:sz w:val="24"/>
                                    <w:szCs w:val="24"/>
                                    <w:lang w:val="es-ES"/>
                                  </w:rPr>
                                </w:pPr>
                                <w:r w:rsidRPr="001A3CEE">
                                  <w:rPr>
                                    <w:color w:val="171717" w:themeColor="background2" w:themeShade="1A"/>
                                    <w:sz w:val="24"/>
                                    <w:szCs w:val="24"/>
                                    <w:lang w:val="es-ES"/>
                                  </w:rPr>
                                  <w:t>PROYECTO DE GRADO PRESENTADO A LA FACULTAD DE INGENIERÍA DE LA UNIVERSIDAD DEL DESARROLLO PARA OPTAR AL GRADO ACADÉMICO DE MAGÍSTER EN GESTIÓN DE LA SUSTENTABILIDAD</w:t>
                                </w:r>
                              </w:p>
                              <w:p w14:paraId="2A431511" w14:textId="6F8831B2" w:rsidR="005E0FB3" w:rsidRPr="001A3CEE" w:rsidRDefault="005E0FB3" w:rsidP="005E0FB3">
                                <w:pPr>
                                  <w:rPr>
                                    <w:color w:val="171717" w:themeColor="background2" w:themeShade="1A"/>
                                    <w:sz w:val="24"/>
                                    <w:szCs w:val="24"/>
                                    <w:lang w:val="es-ES"/>
                                  </w:rPr>
                                </w:pPr>
                              </w:p>
                              <w:p w14:paraId="56E75E24" w14:textId="4E26BCDE" w:rsidR="005E0FB3" w:rsidRPr="001A3CEE" w:rsidRDefault="005E0FB3" w:rsidP="005E0FB3">
                                <w:pPr>
                                  <w:jc w:val="center"/>
                                  <w:rPr>
                                    <w:color w:val="171717" w:themeColor="background2" w:themeShade="1A"/>
                                    <w:sz w:val="24"/>
                                    <w:szCs w:val="24"/>
                                    <w:lang w:val="es-ES"/>
                                  </w:rPr>
                                </w:pPr>
                                <w:r w:rsidRPr="001A3CEE">
                                  <w:rPr>
                                    <w:color w:val="171717" w:themeColor="background2" w:themeShade="1A"/>
                                    <w:sz w:val="24"/>
                                    <w:szCs w:val="24"/>
                                    <w:lang w:val="es-ES"/>
                                  </w:rPr>
                                  <w:t>CONCEPCIÓN – CHILE</w:t>
                                </w:r>
                              </w:p>
                              <w:p w14:paraId="3FB78A6E" w14:textId="0C12C436" w:rsidR="005E0FB3" w:rsidRPr="001A3CEE" w:rsidRDefault="005E0FB3" w:rsidP="005E0FB3">
                                <w:pPr>
                                  <w:jc w:val="center"/>
                                  <w:rPr>
                                    <w:color w:val="171717" w:themeColor="background2" w:themeShade="1A"/>
                                    <w:sz w:val="24"/>
                                    <w:szCs w:val="24"/>
                                    <w:lang w:val="es-ES"/>
                                  </w:rPr>
                                </w:pPr>
                                <w:r w:rsidRPr="001A3CEE">
                                  <w:rPr>
                                    <w:color w:val="171717" w:themeColor="background2" w:themeShade="1A"/>
                                    <w:sz w:val="24"/>
                                    <w:szCs w:val="24"/>
                                    <w:lang w:val="es-ES"/>
                                  </w:rPr>
                                  <w:t>2025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886CD51" id="Cuadro de texto 2" o:spid="_x0000_s1027" type="#_x0000_t202" style="position:absolute;left:0;text-align:left;margin-left:19.65pt;margin-top:388.95pt;width:421.5pt;height:147.75pt;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" stroked="f">
                    <v:textbox>
                      <w:txbxContent>
                        <w:p w14:paraId="0C93ABF4" w14:textId="17C49066" w:rsidR="005E0FB3" w:rsidRPr="001A3CEE" w:rsidRDefault="005E0FB3" w:rsidP="005E0FB3">
                          <w:pPr>
                            <w:jc w:val="center"/>
                            <w:rPr>
                              <w:color w:val="171717" w:themeColor="background2" w:themeShade="1A"/>
                              <w:sz w:val="24"/>
                              <w:szCs w:val="24"/>
                              <w:lang w:val="es-ES"/>
                            </w:rPr>
                          </w:pPr>
                          <w:r w:rsidRPr="001A3CEE">
                            <w:rPr>
                              <w:color w:val="171717" w:themeColor="background2" w:themeShade="1A"/>
                              <w:sz w:val="24"/>
                              <w:szCs w:val="24"/>
                              <w:lang w:val="es-ES"/>
                            </w:rPr>
                            <w:t>PROYECTO DE GRADO PRESENTADO A LA FACULTAD DE INGENIERÍA DE LA UNIVERSIDAD DEL DESARROLLO PARA OPTAR AL GRADO ACADÉMICO DE MAGÍSTER EN GESTIÓN DE LA SUSTENTABILIDAD</w:t>
                          </w:r>
                        </w:p>
                        <w:p w14:paraId="2A431511" w14:textId="6F8831B2" w:rsidR="005E0FB3" w:rsidRPr="001A3CEE" w:rsidRDefault="005E0FB3" w:rsidP="005E0FB3">
                          <w:pPr>
                            <w:rPr>
                              <w:color w:val="171717" w:themeColor="background2" w:themeShade="1A"/>
                              <w:sz w:val="24"/>
                              <w:szCs w:val="24"/>
                              <w:lang w:val="es-ES"/>
                            </w:rPr>
                          </w:pPr>
                        </w:p>
                        <w:p w14:paraId="56E75E24" w14:textId="4E26BCDE" w:rsidR="005E0FB3" w:rsidRPr="001A3CEE" w:rsidRDefault="005E0FB3" w:rsidP="005E0FB3">
                          <w:pPr>
                            <w:jc w:val="center"/>
                            <w:rPr>
                              <w:color w:val="171717" w:themeColor="background2" w:themeShade="1A"/>
                              <w:sz w:val="24"/>
                              <w:szCs w:val="24"/>
                              <w:lang w:val="es-ES"/>
                            </w:rPr>
                          </w:pPr>
                          <w:r w:rsidRPr="001A3CEE">
                            <w:rPr>
                              <w:color w:val="171717" w:themeColor="background2" w:themeShade="1A"/>
                              <w:sz w:val="24"/>
                              <w:szCs w:val="24"/>
                              <w:lang w:val="es-ES"/>
                            </w:rPr>
                            <w:t>CONCEPCIÓN – CHILE</w:t>
                          </w:r>
                        </w:p>
                        <w:p w14:paraId="3FB78A6E" w14:textId="0C12C436" w:rsidR="005E0FB3" w:rsidRPr="001A3CEE" w:rsidRDefault="005E0FB3" w:rsidP="005E0FB3">
                          <w:pPr>
                            <w:jc w:val="center"/>
                            <w:rPr>
                              <w:color w:val="171717" w:themeColor="background2" w:themeShade="1A"/>
                              <w:sz w:val="24"/>
                              <w:szCs w:val="24"/>
                              <w:lang w:val="es-ES"/>
                            </w:rPr>
                          </w:pPr>
                          <w:r w:rsidRPr="001A3CEE">
                            <w:rPr>
                              <w:color w:val="171717" w:themeColor="background2" w:themeShade="1A"/>
                              <w:sz w:val="24"/>
                              <w:szCs w:val="24"/>
                              <w:lang w:val="es-ES"/>
                            </w:rPr>
                            <w:t>2025</w:t>
                          </w:r>
                        </w:p>
                      </w:txbxContent>
                    </v:textbox>
                    <w10:wrap type="square" anchorx="margin"/>
                  </v:shape>
                </w:pict>
              </mc:Fallback>
            </mc:AlternateContent>
          </w:r>
          <w:r>
            <w:rPr>
              <w:noProof/>
            </w:rPr>
            <w:t xml:space="preserve">                             </w:t>
          </w:r>
          <w:r w:rsidR="001A3CEE">
            <w:rPr>
              <w:noProof/>
            </w:rPr>
            <w:tab/>
          </w:r>
          <w:r>
            <w:rPr>
              <w:noProof/>
            </w:rPr>
            <w:t xml:space="preserve">            </w:t>
          </w:r>
          <w:r>
            <w:rPr>
              <w:noProof/>
            </w:rPr>
            <mc:AlternateContent>
              <mc:Choice Requires="wps">
                <w:drawing>
                  <wp:anchor distT="0" distB="0" distL="114300" distR="114300" simplePos="0" relativeHeight="251659264" behindDoc="0" locked="0" layoutInCell="1" allowOverlap="1" wp14:anchorId="43ED858E" wp14:editId="0A296F95">
                    <wp:simplePos x="0" y="0"/>
                    <wp:positionH relativeFrom="margin">
                      <wp:align>right</wp:align>
                    </wp:positionH>
                    <mc:AlternateContent>
                      <mc:Choice Requires="wp14">
                        <wp:positionV relativeFrom="page">
                          <wp14:pctPosVOffset>2300</wp14:pctPosVOffset>
                        </wp:positionV>
                      </mc:Choice>
                      <mc:Fallback>
                        <wp:positionV relativeFrom="page">
                          <wp:posOffset>231140</wp:posOffset>
                        </wp:positionV>
                      </mc:Fallback>
                    </mc:AlternateContent>
                    <wp:extent cx="594360" cy="987552"/>
                    <wp:effectExtent l="0" t="0" r="0" b="5080"/>
                    <wp:wrapNone/>
                    <wp:docPr id="132" name="Rectángulo 13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94360" cy="987552"/>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olor w:val="FFFFFF" w:themeColor="background1"/>
                                    <w:sz w:val="24"/>
                                    <w:szCs w:val="24"/>
                                  </w:rPr>
                                  <w:alias w:val="Año"/>
                                  <w:tag w:val=""/>
                                  <w:id w:val="-785116381"/>
                                  <w:showingPlcHdr/>
                                  <w:dataBinding w:prefixMappings="xmlns:ns0='http://schemas.microsoft.com/office/2006/coverPageProps' " w:xpath="/ns0:CoverPageProperties[1]/ns0:PublishDate[1]" w:storeItemID="{55AF091B-3C7A-41E3-B477-F2FDAA23CFDA}"/>
                                  <w:date>
                                    <w:dateFormat w:val="yyyy"/>
                                    <w:lid w:val="es-ES"/>
                                    <w:storeMappedDataAs w:val="dateTime"/>
                                    <w:calendar w:val="gregorian"/>
                                  </w:date>
                                </w:sdtPr>
                                <w:sdtContent>
                                  <w:p w14:paraId="413B5219" w14:textId="73A12B23" w:rsidR="005E0FB3" w:rsidRDefault="005E0FB3">
                                    <w:pPr>
                                      <w:pStyle w:val="Sinespaciado"/>
                                      <w:jc w:val="right"/>
                                      <w:rPr>
                                        <w:color w:val="FFFFFF" w:themeColor="background1"/>
                                        <w:sz w:val="24"/>
                                        <w:szCs w:val="24"/>
                                      </w:rPr>
                                    </w:pPr>
                                    <w:r>
                                      <w:rPr>
                                        <w:color w:val="FFFFFF" w:themeColor="background1"/>
                                        <w:sz w:val="24"/>
                                        <w:szCs w:val="24"/>
                                      </w:rPr>
                                      <w:t xml:space="preserve">     </w:t>
                                    </w:r>
                                  </w:p>
                                </w:sdtContent>
                              </w:sdt>
                            </w:txbxContent>
                          </wps:txbx>
                          <wps:bodyPr rot="0" spcFirstLastPara="0" vertOverflow="overflow" horzOverflow="overflow" vert="horz" wrap="square" lIns="45720" tIns="45720" rIns="45720" bIns="45720" numCol="1" spcCol="0" rtlCol="0" fromWordArt="0" anchor="b" anchorCtr="0" forceAA="0" compatLnSpc="1">
                            <a:prstTxWarp prst="textNoShape">
                              <a:avLst/>
                            </a:prstTxWarp>
                            <a:noAutofit/>
                          </wps:bodyPr>
                        </wps:wsp>
                      </a:graphicData>
                    </a:graphic>
                    <wp14:sizeRelH relativeFrom="page">
                      <wp14:pctWidth>7600</wp14:pctWidth>
                    </wp14:sizeRelH>
                    <wp14:sizeRelV relativeFrom="page">
                      <wp14:pctHeight>9800</wp14:pctHeight>
                    </wp14:sizeRelV>
                  </wp:anchor>
                </w:drawing>
              </mc:Choice>
              <mc:Fallback>
                <w:pict>
                  <v:rect w14:anchorId="43ED858E" id="Rectángulo 132" o:spid="_x0000_s1028" style="position:absolute;left:0;text-align:left;margin-left:-4.4pt;margin-top:0;width:46.8pt;height:77.75pt;z-index:251659264;visibility:visible;mso-wrap-style:square;mso-width-percent:76;mso-height-percent:98;mso-top-percent:23;mso-wrap-distance-left:9pt;mso-wrap-distance-top:0;mso-wrap-distance-right:9pt;mso-wrap-distance-bottom:0;mso-position-horizontal:right;mso-position-horizontal-relative:margin;mso-position-vertical-relative:page;mso-width-percent:76;mso-height-percent:98;mso-top-percent:23;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" fillcolor="#4472c4 [3204]" stroked="f" strokeweight="1pt">
                    <o:lock v:ext="edit" aspectratio="t"/>
                    <v:textbox inset="3.6pt,,3.6pt">
                      <w:txbxContent>
                        <w:sdt>
                          <w:sdtPr>
                            <w:rPr>
                              <w:color w:val="FFFFFF" w:themeColor="background1"/>
                              <w:sz w:val="24"/>
                              <w:szCs w:val="24"/>
                            </w:rPr>
                            <w:alias w:val="Año"/>
                            <w:tag w:val=""/>
                            <w:id w:val="-785116381"/>
                            <w:showingPlcHdr/>
                            <w:dataBinding w:prefixMappings="xmlns:ns0='http://schemas.microsoft.com/office/2006/coverPageProps' " w:xpath="/ns0:CoverPageProperties[1]/ns0:PublishDate[1]" w:storeItemID="{55AF091B-3C7A-41E3-B477-F2FDAA23CFDA}"/>
                            <w:date>
                              <w:dateFormat w:val="yyyy"/>
                              <w:lid w:val="es-ES"/>
                              <w:storeMappedDataAs w:val="dateTime"/>
                              <w:calendar w:val="gregorian"/>
                            </w:date>
                          </w:sdtPr>
                          <w:sdtContent>
                            <w:p w14:paraId="413B5219" w14:textId="73A12B23" w:rsidR="005E0FB3" w:rsidRDefault="005E0FB3">
                              <w:pPr>
                                <w:pStyle w:val="Sinespaciado"/>
                                <w:jc w:val="right"/>
                                <w:rPr>
                                  <w:color w:val="FFFFFF" w:themeColor="background1"/>
                                  <w:sz w:val="24"/>
                                  <w:szCs w:val="24"/>
                                </w:rPr>
                              </w:pPr>
                              <w:r>
                                <w:rPr>
                                  <w:color w:val="FFFFFF" w:themeColor="background1"/>
                                  <w:sz w:val="24"/>
                                  <w:szCs w:val="24"/>
                                </w:rPr>
                                <w:t xml:space="preserve">     </w:t>
                              </w:r>
                            </w:p>
                          </w:sdtContent>
                        </w:sdt>
                      </w:txbxContent>
                    </v:textbox>
                    <w10:wrap anchorx="margin" anchory="page"/>
                  </v:rect>
                </w:pict>
              </mc:Fallback>
            </mc:AlternateContent>
          </w:r>
          <w:r>
            <w:rPr>
              <w:rFonts w:eastAsiaTheme="minorEastAsia"/>
              <w:color w:val="4472C4" w:themeColor="accent1"/>
              <w:lang w:eastAsia="es-CL"/>
            </w:rPr>
            <w:br w:type="page"/>
          </w:r>
          <w:r>
            <w:rPr>
              <w:rFonts w:eastAsiaTheme="minorEastAsia"/>
              <w:color w:val="4472C4" w:themeColor="accent1"/>
              <w:lang w:eastAsia="es-CL"/>
            </w:rPr>
            <w:lastRenderedPageBreak/>
            <w:tab/>
          </w:r>
        </w:p>
      </w:sdtContent>
    </w:sdt>
    <w:p w14:paraId="3FE134EC" w14:textId="14576760" w:rsidR="00DA4DD5" w:rsidRDefault="007E6923" w:rsidP="005906C7">
      <w:pPr>
        <w:ind w:left="1416" w:firstLine="708"/>
      </w:pPr>
      <w:r>
        <w:rPr>
          <w:noProof/>
        </w:rPr>
        <w:drawing>
          <wp:anchor distT="0" distB="0" distL="114300" distR="114300" simplePos="0" relativeHeight="251663360" behindDoc="0" locked="0" layoutInCell="1" allowOverlap="1" wp14:anchorId="444FB1F7" wp14:editId="474CCBAC">
            <wp:simplePos x="2424223" y="1180214"/>
            <wp:positionH relativeFrom="margin">
              <wp:align>center</wp:align>
            </wp:positionH>
            <wp:positionV relativeFrom="margin">
              <wp:align>top</wp:align>
            </wp:positionV>
            <wp:extent cx="2486025" cy="833738"/>
            <wp:effectExtent l="0" t="0" r="0" b="5080"/>
            <wp:wrapSquare wrapText="bothSides"/>
            <wp:docPr id="3" name="Imagen 3" descr="Logos - Imagen U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s - Imagen UD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486025" cy="833738"/>
                    </a:xfrm>
                    <a:prstGeom prst="rect">
                      <a:avLst/>
                    </a:prstGeom>
                    <a:noFill/>
                    <a:ln>
                      <a:noFill/>
                    </a:ln>
                  </pic:spPr>
                </pic:pic>
              </a:graphicData>
            </a:graphic>
          </wp:anchor>
        </w:drawing>
      </w:r>
    </w:p>
    <w:p w14:paraId="78258445" w14:textId="682E50B6" w:rsidR="007E6923" w:rsidRDefault="007E6923" w:rsidP="00434EF1">
      <w:pPr>
        <w:jc w:val="both"/>
      </w:pPr>
    </w:p>
    <w:p w14:paraId="53DB3E0B" w14:textId="77777777" w:rsidR="006F5A51" w:rsidRDefault="006F5A51" w:rsidP="00434EF1">
      <w:pPr>
        <w:jc w:val="both"/>
      </w:pPr>
    </w:p>
    <w:p w14:paraId="731F4EE0" w14:textId="15E9D605" w:rsidR="007E6923" w:rsidRPr="001A3CEE" w:rsidRDefault="00000000" w:rsidP="007E6923">
      <w:pPr>
        <w:pStyle w:val="Sinespaciado"/>
        <w:spacing w:before="40" w:after="560" w:line="216" w:lineRule="auto"/>
        <w:jc w:val="center"/>
        <w:rPr>
          <w:color w:val="27457B"/>
          <w:sz w:val="44"/>
          <w:szCs w:val="44"/>
        </w:rPr>
      </w:pPr>
      <w:sdt>
        <w:sdtPr>
          <w:rPr>
            <w:rFonts w:ascii="Times New Roman" w:hAnsi="Times New Roman" w:cs="Times New Roman"/>
            <w:color w:val="27457B"/>
            <w:sz w:val="44"/>
            <w:szCs w:val="44"/>
          </w:rPr>
          <w:alias w:val="Título"/>
          <w:tag w:val=""/>
          <w:id w:val="-1550905846"/>
          <w:dataBinding w:prefixMappings="xmlns:ns0='http://purl.org/dc/elements/1.1/' xmlns:ns1='http://schemas.openxmlformats.org/package/2006/metadata/core-properties' " w:xpath="/ns1:coreProperties[1]/ns0:title[1]" w:storeItemID="{6C3C8BC8-F283-45AE-878A-BAB7291924A1}"/>
          <w:text/>
        </w:sdtPr>
        <w:sdtContent>
          <w:r w:rsidR="00F323FF">
            <w:rPr>
              <w:rFonts w:ascii="Times New Roman" w:hAnsi="Times New Roman" w:cs="Times New Roman"/>
              <w:color w:val="27457B"/>
              <w:sz w:val="44"/>
              <w:szCs w:val="44"/>
            </w:rPr>
            <w:t xml:space="preserve">Desarrollo sostenible y competitivo del sector frutícola: Caso de estudio del Programa Territorial Integrado </w:t>
          </w:r>
          <w:proofErr w:type="spellStart"/>
          <w:r w:rsidR="00F323FF">
            <w:rPr>
              <w:rFonts w:ascii="Times New Roman" w:hAnsi="Times New Roman" w:cs="Times New Roman"/>
              <w:color w:val="27457B"/>
              <w:sz w:val="44"/>
              <w:szCs w:val="44"/>
            </w:rPr>
            <w:t>Tecnofruta</w:t>
          </w:r>
          <w:proofErr w:type="spellEnd"/>
          <w:r w:rsidR="00F323FF">
            <w:rPr>
              <w:rFonts w:ascii="Times New Roman" w:hAnsi="Times New Roman" w:cs="Times New Roman"/>
              <w:color w:val="27457B"/>
              <w:sz w:val="44"/>
              <w:szCs w:val="44"/>
            </w:rPr>
            <w:t xml:space="preserve"> Biobío</w:t>
          </w:r>
        </w:sdtContent>
      </w:sdt>
    </w:p>
    <w:p w14:paraId="5A1E2F7C" w14:textId="5777292B" w:rsidR="007E6923" w:rsidRPr="007E6923" w:rsidRDefault="007E6923" w:rsidP="007E6923">
      <w:pPr>
        <w:jc w:val="center"/>
        <w:rPr>
          <w:sz w:val="28"/>
          <w:szCs w:val="28"/>
        </w:rPr>
      </w:pPr>
      <w:r>
        <w:rPr>
          <w:sz w:val="28"/>
          <w:szCs w:val="28"/>
        </w:rPr>
        <w:t xml:space="preserve">POR: </w:t>
      </w:r>
      <w:r w:rsidRPr="007E6923">
        <w:rPr>
          <w:sz w:val="28"/>
          <w:szCs w:val="28"/>
        </w:rPr>
        <w:t>MARÍA EMILIA LAMA PEÑA Y LILLO</w:t>
      </w:r>
    </w:p>
    <w:p w14:paraId="68B60CC9" w14:textId="77777777" w:rsidR="007E6923" w:rsidRPr="00467F7D" w:rsidRDefault="007E6923" w:rsidP="00467F7D">
      <w:pPr>
        <w:jc w:val="center"/>
        <w:rPr>
          <w:sz w:val="24"/>
          <w:szCs w:val="24"/>
        </w:rPr>
      </w:pPr>
    </w:p>
    <w:p w14:paraId="010C20B8" w14:textId="1A930210" w:rsidR="007E6923" w:rsidRDefault="007E6923" w:rsidP="00467F7D">
      <w:pPr>
        <w:jc w:val="center"/>
        <w:rPr>
          <w:sz w:val="24"/>
          <w:szCs w:val="24"/>
        </w:rPr>
      </w:pPr>
      <w:r w:rsidRPr="00467F7D">
        <w:rPr>
          <w:sz w:val="24"/>
          <w:szCs w:val="24"/>
        </w:rPr>
        <w:t>Proyecto de Grado presentado a la comisión integrada por:</w:t>
      </w:r>
    </w:p>
    <w:p w14:paraId="5EDCF0C3" w14:textId="77777777" w:rsidR="00467F7D" w:rsidRPr="00467F7D" w:rsidRDefault="00467F7D" w:rsidP="00467F7D">
      <w:pPr>
        <w:jc w:val="center"/>
        <w:rPr>
          <w:sz w:val="28"/>
          <w:szCs w:val="28"/>
        </w:rPr>
      </w:pPr>
    </w:p>
    <w:p w14:paraId="3460881F" w14:textId="14C2F310" w:rsidR="007E6923" w:rsidRPr="00467F7D" w:rsidRDefault="007E6923" w:rsidP="00434EF1">
      <w:pPr>
        <w:jc w:val="both"/>
        <w:rPr>
          <w:sz w:val="24"/>
          <w:szCs w:val="24"/>
        </w:rPr>
      </w:pPr>
      <w:r w:rsidRPr="00467F7D">
        <w:rPr>
          <w:b/>
          <w:bCs/>
          <w:sz w:val="24"/>
          <w:szCs w:val="24"/>
        </w:rPr>
        <w:t xml:space="preserve">Profesor guía </w:t>
      </w:r>
      <w:r w:rsidRPr="00467F7D">
        <w:rPr>
          <w:sz w:val="24"/>
          <w:szCs w:val="24"/>
        </w:rPr>
        <w:t>: Diego Rivera</w:t>
      </w:r>
      <w:r w:rsidR="00D1767B">
        <w:rPr>
          <w:sz w:val="24"/>
          <w:szCs w:val="24"/>
        </w:rPr>
        <w:t xml:space="preserve"> Salazar</w:t>
      </w:r>
    </w:p>
    <w:p w14:paraId="0487511F" w14:textId="15F358B9" w:rsidR="00A7607F" w:rsidRDefault="00A16F29" w:rsidP="00434EF1">
      <w:pPr>
        <w:jc w:val="both"/>
        <w:rPr>
          <w:b/>
          <w:bCs/>
          <w:sz w:val="24"/>
          <w:szCs w:val="24"/>
        </w:rPr>
      </w:pPr>
      <w:r>
        <w:rPr>
          <w:b/>
          <w:bCs/>
          <w:sz w:val="24"/>
          <w:szCs w:val="24"/>
        </w:rPr>
        <w:t>Miembro comisión 1</w:t>
      </w:r>
      <w:r w:rsidR="007E6923" w:rsidRPr="00467F7D">
        <w:rPr>
          <w:b/>
          <w:bCs/>
          <w:sz w:val="24"/>
          <w:szCs w:val="24"/>
        </w:rPr>
        <w:t xml:space="preserve">: </w:t>
      </w:r>
      <w:r w:rsidR="00224775" w:rsidRPr="00224775">
        <w:rPr>
          <w:sz w:val="24"/>
          <w:szCs w:val="24"/>
        </w:rPr>
        <w:t>Felipe Mora</w:t>
      </w:r>
    </w:p>
    <w:p w14:paraId="4345341F" w14:textId="07700206" w:rsidR="007E6923" w:rsidRPr="00467F7D" w:rsidRDefault="00A16F29" w:rsidP="00434EF1">
      <w:pPr>
        <w:jc w:val="both"/>
        <w:rPr>
          <w:sz w:val="24"/>
          <w:szCs w:val="24"/>
        </w:rPr>
      </w:pPr>
      <w:r>
        <w:rPr>
          <w:b/>
          <w:bCs/>
          <w:sz w:val="24"/>
          <w:szCs w:val="24"/>
        </w:rPr>
        <w:t>Miembro comisión 2</w:t>
      </w:r>
      <w:r w:rsidR="00224775">
        <w:rPr>
          <w:b/>
          <w:bCs/>
          <w:sz w:val="24"/>
          <w:szCs w:val="24"/>
        </w:rPr>
        <w:t xml:space="preserve">: </w:t>
      </w:r>
      <w:r w:rsidR="00224775" w:rsidRPr="00224775">
        <w:rPr>
          <w:sz w:val="24"/>
          <w:szCs w:val="24"/>
        </w:rPr>
        <w:t>Ximena Riffo Vargas</w:t>
      </w:r>
    </w:p>
    <w:p w14:paraId="5B3E1106" w14:textId="5FBB69F2" w:rsidR="007E6923" w:rsidRDefault="007E6923" w:rsidP="00434EF1">
      <w:pPr>
        <w:jc w:val="both"/>
      </w:pPr>
    </w:p>
    <w:p w14:paraId="33DC5497" w14:textId="26A5E6A5" w:rsidR="007E6923" w:rsidRDefault="007E6923" w:rsidP="00434EF1">
      <w:pPr>
        <w:jc w:val="both"/>
      </w:pPr>
    </w:p>
    <w:p w14:paraId="686BB3FD" w14:textId="06E4CEA6" w:rsidR="007E6923" w:rsidRDefault="007E6923" w:rsidP="00434EF1">
      <w:pPr>
        <w:jc w:val="both"/>
      </w:pPr>
    </w:p>
    <w:p w14:paraId="7ECB7BE4" w14:textId="77777777" w:rsidR="007E6923" w:rsidRDefault="007E6923" w:rsidP="00434EF1">
      <w:pPr>
        <w:jc w:val="both"/>
      </w:pPr>
    </w:p>
    <w:p w14:paraId="212A8F97" w14:textId="78D36034" w:rsidR="007E6923" w:rsidRPr="00467F7D" w:rsidRDefault="007E6923" w:rsidP="00434EF1">
      <w:pPr>
        <w:jc w:val="both"/>
        <w:rPr>
          <w:sz w:val="24"/>
          <w:szCs w:val="24"/>
        </w:rPr>
      </w:pPr>
    </w:p>
    <w:p w14:paraId="601EAE9D" w14:textId="2E928D9D" w:rsidR="007E6923" w:rsidRPr="00467F7D" w:rsidRDefault="007E6923" w:rsidP="007E6923">
      <w:pPr>
        <w:jc w:val="center"/>
        <w:rPr>
          <w:sz w:val="24"/>
          <w:szCs w:val="24"/>
        </w:rPr>
      </w:pPr>
      <w:r w:rsidRPr="00467F7D">
        <w:rPr>
          <w:sz w:val="24"/>
          <w:szCs w:val="24"/>
        </w:rPr>
        <w:t>Para completar las exigencias del Grado de Magister en Gestión de la Sustentabilidad.</w:t>
      </w:r>
    </w:p>
    <w:p w14:paraId="474F7EAD" w14:textId="5F5CD4A2" w:rsidR="007E6923" w:rsidRPr="00467F7D" w:rsidRDefault="007E6923" w:rsidP="007E6923">
      <w:pPr>
        <w:jc w:val="center"/>
        <w:rPr>
          <w:sz w:val="24"/>
          <w:szCs w:val="24"/>
        </w:rPr>
      </w:pPr>
      <w:r w:rsidRPr="00467F7D">
        <w:rPr>
          <w:sz w:val="24"/>
          <w:szCs w:val="24"/>
        </w:rPr>
        <w:t>Diciembre 2025</w:t>
      </w:r>
    </w:p>
    <w:p w14:paraId="07563FF8" w14:textId="5CCDF88A" w:rsidR="007E6923" w:rsidRDefault="007E6923" w:rsidP="007E6923">
      <w:pPr>
        <w:jc w:val="center"/>
        <w:rPr>
          <w:sz w:val="24"/>
          <w:szCs w:val="24"/>
        </w:rPr>
      </w:pPr>
      <w:r w:rsidRPr="00467F7D">
        <w:rPr>
          <w:sz w:val="24"/>
          <w:szCs w:val="24"/>
        </w:rPr>
        <w:t>Concepción, Chile</w:t>
      </w:r>
    </w:p>
    <w:p w14:paraId="64C4B5D9" w14:textId="644DBFBA" w:rsidR="006F5A51" w:rsidRDefault="006F5A51" w:rsidP="007E6923">
      <w:pPr>
        <w:jc w:val="center"/>
        <w:rPr>
          <w:sz w:val="24"/>
          <w:szCs w:val="24"/>
        </w:rPr>
      </w:pPr>
    </w:p>
    <w:p w14:paraId="5A4D72AA" w14:textId="77777777" w:rsidR="00E214D0" w:rsidRDefault="00E214D0" w:rsidP="007E6923">
      <w:pPr>
        <w:jc w:val="center"/>
        <w:rPr>
          <w:sz w:val="24"/>
          <w:szCs w:val="24"/>
        </w:rPr>
      </w:pPr>
    </w:p>
    <w:p w14:paraId="4B3D7E09" w14:textId="573A2F66" w:rsidR="00E214D0" w:rsidRDefault="00E214D0" w:rsidP="007E6923">
      <w:pPr>
        <w:jc w:val="center"/>
        <w:rPr>
          <w:sz w:val="24"/>
          <w:szCs w:val="24"/>
        </w:rPr>
      </w:pPr>
    </w:p>
    <w:p w14:paraId="26E9006E" w14:textId="77777777" w:rsidR="007E530A" w:rsidRDefault="007E530A" w:rsidP="007E6923">
      <w:pPr>
        <w:jc w:val="center"/>
        <w:rPr>
          <w:sz w:val="24"/>
          <w:szCs w:val="24"/>
        </w:rPr>
      </w:pPr>
    </w:p>
    <w:p w14:paraId="15C13B35" w14:textId="43C5146A" w:rsidR="006F5A51" w:rsidRPr="00FA3948" w:rsidRDefault="006F5A51" w:rsidP="006F5A51">
      <w:pPr>
        <w:pStyle w:val="Ttulo2"/>
        <w:jc w:val="center"/>
        <w:rPr>
          <w:b/>
          <w:bCs/>
          <w:sz w:val="28"/>
          <w:szCs w:val="28"/>
        </w:rPr>
      </w:pPr>
      <w:bookmarkStart w:id="0" w:name="_Toc215418136"/>
      <w:r w:rsidRPr="00FA3948">
        <w:rPr>
          <w:b/>
          <w:bCs/>
          <w:sz w:val="28"/>
          <w:szCs w:val="28"/>
        </w:rPr>
        <w:lastRenderedPageBreak/>
        <w:t>DECLARACIÓN DE ORIGINALIDAD</w:t>
      </w:r>
      <w:bookmarkEnd w:id="0"/>
    </w:p>
    <w:p w14:paraId="7AAD0D62" w14:textId="77777777" w:rsidR="006F5A51" w:rsidRPr="006F5A51" w:rsidRDefault="006F5A51" w:rsidP="006F5A51"/>
    <w:p w14:paraId="16A6DC72" w14:textId="543C3835" w:rsidR="006F5A51" w:rsidRPr="002D44FD" w:rsidRDefault="006F5A51" w:rsidP="006F5A51">
      <w:pPr>
        <w:jc w:val="both"/>
        <w:rPr>
          <w:b/>
          <w:bCs/>
          <w:sz w:val="24"/>
          <w:szCs w:val="24"/>
        </w:rPr>
      </w:pPr>
      <w:r w:rsidRPr="006F5A51">
        <w:rPr>
          <w:sz w:val="24"/>
          <w:szCs w:val="24"/>
        </w:rPr>
        <w:t xml:space="preserve">Por medio de la presente, declaro que el trabajo titulado: </w:t>
      </w:r>
      <w:sdt>
        <w:sdtPr>
          <w:rPr>
            <w:b/>
            <w:bCs/>
            <w:sz w:val="24"/>
            <w:szCs w:val="24"/>
          </w:rPr>
          <w:alias w:val="Título"/>
          <w:tag w:val=""/>
          <w:id w:val="-44379091"/>
          <w:dataBinding w:prefixMappings="xmlns:ns0='http://purl.org/dc/elements/1.1/' xmlns:ns1='http://schemas.openxmlformats.org/package/2006/metadata/core-properties' " w:xpath="/ns1:coreProperties[1]/ns0:title[1]" w:storeItemID="{6C3C8BC8-F283-45AE-878A-BAB7291924A1}"/>
          <w:text/>
        </w:sdtPr>
        <w:sdtContent>
          <w:r w:rsidR="00F323FF">
            <w:rPr>
              <w:b/>
              <w:bCs/>
              <w:sz w:val="24"/>
              <w:szCs w:val="24"/>
            </w:rPr>
            <w:t xml:space="preserve">Desarrollo sostenible y competitivo del sector frutícola: Caso de estudio del Programa Territorial Integrado </w:t>
          </w:r>
          <w:proofErr w:type="spellStart"/>
          <w:r w:rsidR="00F323FF">
            <w:rPr>
              <w:b/>
              <w:bCs/>
              <w:sz w:val="24"/>
              <w:szCs w:val="24"/>
            </w:rPr>
            <w:t>Tecnofruta</w:t>
          </w:r>
          <w:proofErr w:type="spellEnd"/>
          <w:r w:rsidR="00F323FF">
            <w:rPr>
              <w:b/>
              <w:bCs/>
              <w:sz w:val="24"/>
              <w:szCs w:val="24"/>
            </w:rPr>
            <w:t xml:space="preserve"> Biobío</w:t>
          </w:r>
        </w:sdtContent>
      </w:sdt>
      <w:r w:rsidRPr="006F5A51">
        <w:rPr>
          <w:sz w:val="24"/>
          <w:szCs w:val="24"/>
        </w:rPr>
        <w:t xml:space="preserve">, que presento a la Universidad del Desarrollo de Chile, es de mi autoría y no ha sido publicado previamente, ni está siendo considerado para publicación bajo otra filiación. En igual sentido, declaro que el trabajo de tesis y su contenido, son originales y que todos los datos y referencias a trabajos ya publicados con anterioridad han sido debidamente identificados, referenciados o citados en el documento, y que estas citas han sido incluidas en las referencias bibliográficas. Afirmo, asimismo, que los materiales presentados no se encuentran protegidos por derechos de autor; y en caso de que así lo estuvieran, me hago responsable de cualquier litigo o reclamo relacionado con la violación de derechos de propiedad intelectual, exonerando de toda responsabilidad a la Universidad del Desarrollo de Chile. </w:t>
      </w:r>
      <w:r>
        <w:rPr>
          <w:sz w:val="24"/>
          <w:szCs w:val="24"/>
        </w:rPr>
        <w:tab/>
      </w:r>
    </w:p>
    <w:p w14:paraId="224E2DAE" w14:textId="1A63C7ED" w:rsidR="006F5A51" w:rsidRDefault="006F5A51" w:rsidP="006F5A51">
      <w:pPr>
        <w:jc w:val="both"/>
        <w:rPr>
          <w:sz w:val="24"/>
          <w:szCs w:val="24"/>
        </w:rPr>
      </w:pPr>
      <w:r w:rsidRPr="006F5A51">
        <w:rPr>
          <w:sz w:val="24"/>
          <w:szCs w:val="24"/>
        </w:rPr>
        <w:t>Finalmente, me comprometo a no someter este trabajo (o parte de este), a consideración en ninguna revista o congreso para publicación sin contar con la aprobación y haber pasado el debido proceso de revisión en Universidad del Desarrollo. En caso de que un artículo sea aprobado para su publicación, autorizo a la Universidad del Desarrollo a incluir dicho artículo en sus revistas, y a reproducirlo, editarlo, distribuirlo, exhibirlo y comunicarlo en el país y en el extranjero, por medios impresos, electrónicos, Internet o cualquier otro medio, para propósitos científicos y sin fines de lucro.</w:t>
      </w:r>
    </w:p>
    <w:p w14:paraId="00F97FA8" w14:textId="7BFE60AB" w:rsidR="006F5A51" w:rsidRDefault="006F5A51" w:rsidP="006F5A51">
      <w:pPr>
        <w:jc w:val="both"/>
        <w:rPr>
          <w:sz w:val="24"/>
          <w:szCs w:val="24"/>
        </w:rPr>
      </w:pPr>
    </w:p>
    <w:p w14:paraId="68CF77A1" w14:textId="7A2D50E6" w:rsidR="003D3F0A" w:rsidRDefault="003D3F0A" w:rsidP="006F5A51">
      <w:pPr>
        <w:jc w:val="both"/>
        <w:rPr>
          <w:sz w:val="24"/>
          <w:szCs w:val="24"/>
        </w:rPr>
      </w:pPr>
    </w:p>
    <w:p w14:paraId="37857999" w14:textId="1F5530F6" w:rsidR="003D3F0A" w:rsidRDefault="003D3F0A" w:rsidP="003D3F0A">
      <w:pPr>
        <w:jc w:val="center"/>
        <w:rPr>
          <w:sz w:val="24"/>
          <w:szCs w:val="24"/>
        </w:rPr>
      </w:pPr>
      <w:r>
        <w:rPr>
          <w:noProof/>
          <w:lang w:eastAsia="es-CL"/>
        </w:rPr>
        <w:drawing>
          <wp:inline distT="0" distB="0" distL="0" distR="0" wp14:anchorId="2CADF09A" wp14:editId="0E2EC8B1">
            <wp:extent cx="2466698" cy="110711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rma.jpg"/>
                    <pic:cNvPicPr/>
                  </pic:nvPicPr>
                  <pic:blipFill rotWithShape="1">
                    <a:blip r:embed="rId11" cstate="print">
                      <a:extLst>
                        <a:ext uri="{BEBA8EAE-BF5A-486C-A8C5-ECC9F3942E4B}">
                          <a14:imgProps xmlns:a14="http://schemas.microsoft.com/office/drawing/2010/main">
                            <a14:imgLayer r:embed="rId12">
                              <a14:imgEffect>
                                <a14:brightnessContrast bright="40000" contrast="-40000"/>
                              </a14:imgEffect>
                            </a14:imgLayer>
                          </a14:imgProps>
                        </a:ext>
                        <a:ext uri="{28A0092B-C50C-407E-A947-70E740481C1C}">
                          <a14:useLocalDpi xmlns:a14="http://schemas.microsoft.com/office/drawing/2010/main" val="0"/>
                        </a:ext>
                      </a:extLst>
                    </a:blip>
                    <a:srcRect t="45998" b="20340"/>
                    <a:stretch/>
                  </pic:blipFill>
                  <pic:spPr bwMode="auto">
                    <a:xfrm>
                      <a:off x="0" y="0"/>
                      <a:ext cx="2491953" cy="1118445"/>
                    </a:xfrm>
                    <a:prstGeom prst="rect">
                      <a:avLst/>
                    </a:prstGeom>
                    <a:ln>
                      <a:noFill/>
                    </a:ln>
                    <a:extLst>
                      <a:ext uri="{53640926-AAD7-44D8-BBD7-CCE9431645EC}">
                        <a14:shadowObscured xmlns:a14="http://schemas.microsoft.com/office/drawing/2010/main"/>
                      </a:ext>
                    </a:extLst>
                  </pic:spPr>
                </pic:pic>
              </a:graphicData>
            </a:graphic>
          </wp:inline>
        </w:drawing>
      </w:r>
    </w:p>
    <w:p w14:paraId="22440B43" w14:textId="79A261C2" w:rsidR="003D3F0A" w:rsidRDefault="003D3F0A" w:rsidP="003D3F0A">
      <w:pPr>
        <w:jc w:val="center"/>
        <w:rPr>
          <w:b/>
          <w:bCs/>
          <w:sz w:val="24"/>
          <w:szCs w:val="24"/>
        </w:rPr>
      </w:pPr>
      <w:r w:rsidRPr="00A91BCD">
        <w:rPr>
          <w:b/>
          <w:bCs/>
          <w:sz w:val="24"/>
          <w:szCs w:val="24"/>
        </w:rPr>
        <w:t>María Emilia Lama Peña y Lillo</w:t>
      </w:r>
    </w:p>
    <w:p w14:paraId="09543D27" w14:textId="77777777" w:rsidR="0038493C" w:rsidRDefault="0038493C" w:rsidP="003D3F0A">
      <w:pPr>
        <w:jc w:val="center"/>
        <w:rPr>
          <w:b/>
          <w:bCs/>
          <w:sz w:val="24"/>
          <w:szCs w:val="24"/>
        </w:rPr>
      </w:pPr>
    </w:p>
    <w:p w14:paraId="3B6E500F" w14:textId="77777777" w:rsidR="0038493C" w:rsidRDefault="0038493C" w:rsidP="003D3F0A">
      <w:pPr>
        <w:jc w:val="center"/>
        <w:rPr>
          <w:b/>
          <w:bCs/>
          <w:sz w:val="24"/>
          <w:szCs w:val="24"/>
        </w:rPr>
      </w:pPr>
    </w:p>
    <w:p w14:paraId="76B4DC09" w14:textId="77777777" w:rsidR="0038493C" w:rsidRDefault="0038493C" w:rsidP="003D3F0A">
      <w:pPr>
        <w:jc w:val="center"/>
        <w:rPr>
          <w:b/>
          <w:bCs/>
          <w:sz w:val="24"/>
          <w:szCs w:val="24"/>
        </w:rPr>
      </w:pPr>
    </w:p>
    <w:p w14:paraId="6F14C368" w14:textId="77777777" w:rsidR="0038493C" w:rsidRDefault="0038493C" w:rsidP="003D3F0A">
      <w:pPr>
        <w:jc w:val="center"/>
        <w:rPr>
          <w:b/>
          <w:bCs/>
          <w:sz w:val="24"/>
          <w:szCs w:val="24"/>
        </w:rPr>
      </w:pPr>
    </w:p>
    <w:p w14:paraId="3B83AAE2" w14:textId="77777777" w:rsidR="0038493C" w:rsidRDefault="0038493C" w:rsidP="003D3F0A">
      <w:pPr>
        <w:jc w:val="center"/>
        <w:rPr>
          <w:b/>
          <w:bCs/>
          <w:sz w:val="24"/>
          <w:szCs w:val="24"/>
        </w:rPr>
      </w:pPr>
    </w:p>
    <w:p w14:paraId="658D3E25" w14:textId="013E1300" w:rsidR="00A91BCD" w:rsidRDefault="00A91BCD" w:rsidP="009864B4">
      <w:pPr>
        <w:rPr>
          <w:b/>
          <w:bCs/>
          <w:sz w:val="24"/>
          <w:szCs w:val="24"/>
        </w:rPr>
      </w:pPr>
      <w:r>
        <w:rPr>
          <w:b/>
          <w:bCs/>
          <w:sz w:val="24"/>
          <w:szCs w:val="24"/>
        </w:rPr>
        <w:lastRenderedPageBreak/>
        <w:tab/>
      </w:r>
      <w:r>
        <w:rPr>
          <w:b/>
          <w:bCs/>
          <w:sz w:val="24"/>
          <w:szCs w:val="24"/>
        </w:rPr>
        <w:tab/>
      </w:r>
    </w:p>
    <w:p w14:paraId="74C8D1AF" w14:textId="5721104C" w:rsidR="00A91BCD" w:rsidRDefault="00A91BCD" w:rsidP="003D3F0A">
      <w:pPr>
        <w:jc w:val="center"/>
        <w:rPr>
          <w:b/>
          <w:bCs/>
          <w:sz w:val="24"/>
          <w:szCs w:val="24"/>
        </w:rPr>
      </w:pPr>
    </w:p>
    <w:p w14:paraId="7F013053" w14:textId="77777777" w:rsidR="005D762B" w:rsidRDefault="005D762B" w:rsidP="003D3F0A">
      <w:pPr>
        <w:jc w:val="center"/>
        <w:rPr>
          <w:b/>
          <w:bCs/>
          <w:sz w:val="24"/>
          <w:szCs w:val="24"/>
        </w:rPr>
      </w:pPr>
    </w:p>
    <w:p w14:paraId="20C466EA" w14:textId="77777777" w:rsidR="005D762B" w:rsidRDefault="005D762B" w:rsidP="003D3F0A">
      <w:pPr>
        <w:jc w:val="center"/>
        <w:rPr>
          <w:b/>
          <w:bCs/>
          <w:sz w:val="24"/>
          <w:szCs w:val="24"/>
        </w:rPr>
      </w:pPr>
    </w:p>
    <w:p w14:paraId="674A22C0" w14:textId="77777777" w:rsidR="005D762B" w:rsidRDefault="005D762B" w:rsidP="003D3F0A">
      <w:pPr>
        <w:jc w:val="center"/>
        <w:rPr>
          <w:b/>
          <w:bCs/>
          <w:sz w:val="24"/>
          <w:szCs w:val="24"/>
        </w:rPr>
      </w:pPr>
    </w:p>
    <w:p w14:paraId="5B640DEB" w14:textId="77777777" w:rsidR="005D762B" w:rsidRDefault="005D762B" w:rsidP="003D3F0A">
      <w:pPr>
        <w:jc w:val="center"/>
        <w:rPr>
          <w:b/>
          <w:bCs/>
          <w:sz w:val="24"/>
          <w:szCs w:val="24"/>
        </w:rPr>
      </w:pPr>
    </w:p>
    <w:p w14:paraId="745A1BB2" w14:textId="77777777" w:rsidR="005D762B" w:rsidRDefault="005D762B" w:rsidP="003D3F0A">
      <w:pPr>
        <w:jc w:val="center"/>
        <w:rPr>
          <w:b/>
          <w:bCs/>
          <w:sz w:val="24"/>
          <w:szCs w:val="24"/>
        </w:rPr>
      </w:pPr>
    </w:p>
    <w:p w14:paraId="6158205A" w14:textId="77777777" w:rsidR="005D762B" w:rsidRDefault="005D762B" w:rsidP="003D3F0A">
      <w:pPr>
        <w:jc w:val="center"/>
        <w:rPr>
          <w:b/>
          <w:bCs/>
          <w:sz w:val="24"/>
          <w:szCs w:val="24"/>
        </w:rPr>
      </w:pPr>
    </w:p>
    <w:p w14:paraId="2A7B18D7" w14:textId="111F3797" w:rsidR="00A91BCD" w:rsidRDefault="00A91BCD" w:rsidP="003D3F0A">
      <w:pPr>
        <w:jc w:val="center"/>
        <w:rPr>
          <w:b/>
          <w:bCs/>
          <w:sz w:val="24"/>
          <w:szCs w:val="24"/>
        </w:rPr>
      </w:pPr>
    </w:p>
    <w:p w14:paraId="4AFBE28C" w14:textId="3C2EF5AB" w:rsidR="00A91BCD" w:rsidRDefault="00A91BCD" w:rsidP="003D3F0A">
      <w:pPr>
        <w:jc w:val="center"/>
        <w:rPr>
          <w:b/>
          <w:bCs/>
          <w:sz w:val="24"/>
          <w:szCs w:val="24"/>
        </w:rPr>
      </w:pPr>
    </w:p>
    <w:p w14:paraId="5374A12B" w14:textId="4DE654B3" w:rsidR="004D0164" w:rsidRDefault="00A00FAE" w:rsidP="008936D6">
      <w:pPr>
        <w:jc w:val="both"/>
        <w:rPr>
          <w:rStyle w:val="Ttulo2Car"/>
        </w:rPr>
      </w:pPr>
      <w:r w:rsidRPr="009864B4">
        <w:rPr>
          <w:i/>
          <w:iCs/>
          <w:noProof/>
          <w:sz w:val="24"/>
          <w:szCs w:val="24"/>
        </w:rPr>
        <mc:AlternateContent>
          <mc:Choice Requires="wps">
            <w:drawing>
              <wp:anchor distT="45720" distB="45720" distL="114300" distR="114300" simplePos="0" relativeHeight="251666432" behindDoc="0" locked="0" layoutInCell="1" allowOverlap="1" wp14:anchorId="60B78FF5" wp14:editId="7406C1DD">
                <wp:simplePos x="0" y="0"/>
                <wp:positionH relativeFrom="column">
                  <wp:posOffset>1948815</wp:posOffset>
                </wp:positionH>
                <wp:positionV relativeFrom="paragraph">
                  <wp:posOffset>200660</wp:posOffset>
                </wp:positionV>
                <wp:extent cx="4114800" cy="4171950"/>
                <wp:effectExtent l="0" t="0" r="0" b="0"/>
                <wp:wrapSquare wrapText="bothSides"/>
                <wp:docPr id="158639835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0" cy="4171950"/>
                        </a:xfrm>
                        <a:prstGeom prst="rect">
                          <a:avLst/>
                        </a:prstGeom>
                        <a:solidFill>
                          <a:srgbClr val="FFFFFF"/>
                        </a:solidFill>
                        <a:ln w="9525">
                          <a:noFill/>
                          <a:miter lim="800000"/>
                          <a:headEnd/>
                          <a:tailEnd/>
                        </a:ln>
                      </wps:spPr>
                      <wps:txbx>
                        <w:txbxContent>
                          <w:p w14:paraId="2EA1ECED" w14:textId="3433F76C" w:rsidR="00BA46D8" w:rsidRPr="00AE15DB" w:rsidRDefault="009864B4" w:rsidP="009864B4">
                            <w:pPr>
                              <w:jc w:val="right"/>
                              <w:rPr>
                                <w:i/>
                                <w:iCs/>
                                <w:sz w:val="24"/>
                                <w:szCs w:val="24"/>
                              </w:rPr>
                            </w:pPr>
                            <w:r w:rsidRPr="00AE15DB">
                              <w:rPr>
                                <w:i/>
                                <w:iCs/>
                                <w:sz w:val="24"/>
                                <w:szCs w:val="24"/>
                              </w:rPr>
                              <w:t xml:space="preserve">Dedico este trabajo </w:t>
                            </w:r>
                            <w:r w:rsidR="00B021B8" w:rsidRPr="00AE15DB">
                              <w:rPr>
                                <w:i/>
                                <w:iCs/>
                                <w:sz w:val="24"/>
                                <w:szCs w:val="24"/>
                              </w:rPr>
                              <w:t>en agradecimiento</w:t>
                            </w:r>
                            <w:r w:rsidRPr="00AE15DB">
                              <w:rPr>
                                <w:i/>
                                <w:iCs/>
                                <w:sz w:val="24"/>
                                <w:szCs w:val="24"/>
                              </w:rPr>
                              <w:t xml:space="preserve"> a quienes me </w:t>
                            </w:r>
                            <w:r w:rsidR="00763C5D" w:rsidRPr="00AE15DB">
                              <w:rPr>
                                <w:i/>
                                <w:iCs/>
                                <w:sz w:val="24"/>
                                <w:szCs w:val="24"/>
                              </w:rPr>
                              <w:t>acompañaron</w:t>
                            </w:r>
                            <w:r w:rsidRPr="00AE15DB">
                              <w:rPr>
                                <w:i/>
                                <w:iCs/>
                                <w:sz w:val="24"/>
                                <w:szCs w:val="24"/>
                              </w:rPr>
                              <w:t xml:space="preserve"> en esta aventura</w:t>
                            </w:r>
                            <w:r w:rsidR="00B021B8" w:rsidRPr="00AE15DB">
                              <w:rPr>
                                <w:i/>
                                <w:iCs/>
                                <w:sz w:val="24"/>
                                <w:szCs w:val="24"/>
                              </w:rPr>
                              <w:t>.</w:t>
                            </w:r>
                            <w:r w:rsidRPr="00AE15DB">
                              <w:rPr>
                                <w:i/>
                                <w:iCs/>
                                <w:sz w:val="24"/>
                                <w:szCs w:val="24"/>
                              </w:rPr>
                              <w:t xml:space="preserve"> </w:t>
                            </w:r>
                            <w:r w:rsidR="00BA46D8" w:rsidRPr="00AE15DB">
                              <w:rPr>
                                <w:i/>
                                <w:iCs/>
                                <w:sz w:val="24"/>
                                <w:szCs w:val="24"/>
                              </w:rPr>
                              <w:br/>
                            </w:r>
                            <w:r w:rsidR="00BA46D8" w:rsidRPr="00AE15DB">
                              <w:rPr>
                                <w:i/>
                                <w:iCs/>
                                <w:sz w:val="24"/>
                                <w:szCs w:val="24"/>
                              </w:rPr>
                              <w:br/>
                            </w:r>
                            <w:r w:rsidR="00B021B8" w:rsidRPr="00AE15DB">
                              <w:rPr>
                                <w:i/>
                                <w:iCs/>
                                <w:sz w:val="24"/>
                                <w:szCs w:val="24"/>
                              </w:rPr>
                              <w:t>A</w:t>
                            </w:r>
                            <w:r w:rsidRPr="00AE15DB">
                              <w:rPr>
                                <w:i/>
                                <w:iCs/>
                                <w:sz w:val="24"/>
                                <w:szCs w:val="24"/>
                              </w:rPr>
                              <w:t xml:space="preserve"> mis padres</w:t>
                            </w:r>
                            <w:r w:rsidR="00656832" w:rsidRPr="00AE15DB">
                              <w:rPr>
                                <w:i/>
                                <w:iCs/>
                                <w:sz w:val="24"/>
                                <w:szCs w:val="24"/>
                              </w:rPr>
                              <w:t>,</w:t>
                            </w:r>
                            <w:r w:rsidR="00B021B8" w:rsidRPr="00AE15DB">
                              <w:rPr>
                                <w:i/>
                                <w:iCs/>
                                <w:sz w:val="24"/>
                                <w:szCs w:val="24"/>
                              </w:rPr>
                              <w:t xml:space="preserve"> por</w:t>
                            </w:r>
                            <w:r w:rsidR="00876480" w:rsidRPr="00AE15DB">
                              <w:rPr>
                                <w:i/>
                                <w:iCs/>
                                <w:sz w:val="24"/>
                                <w:szCs w:val="24"/>
                              </w:rPr>
                              <w:t xml:space="preserve"> sus</w:t>
                            </w:r>
                            <w:r w:rsidR="000C5BBA" w:rsidRPr="00AE15DB">
                              <w:rPr>
                                <w:i/>
                                <w:iCs/>
                                <w:sz w:val="24"/>
                                <w:szCs w:val="24"/>
                              </w:rPr>
                              <w:t xml:space="preserve"> </w:t>
                            </w:r>
                            <w:r w:rsidR="00F95D5F" w:rsidRPr="00AE15DB">
                              <w:rPr>
                                <w:i/>
                                <w:iCs/>
                                <w:sz w:val="24"/>
                                <w:szCs w:val="24"/>
                              </w:rPr>
                              <w:t>permanentes</w:t>
                            </w:r>
                            <w:r w:rsidR="00876480" w:rsidRPr="00AE15DB">
                              <w:rPr>
                                <w:i/>
                                <w:iCs/>
                                <w:sz w:val="24"/>
                                <w:szCs w:val="24"/>
                              </w:rPr>
                              <w:t xml:space="preserve"> palabras de aliento y</w:t>
                            </w:r>
                            <w:r w:rsidR="00B021B8" w:rsidRPr="00AE15DB">
                              <w:rPr>
                                <w:i/>
                                <w:iCs/>
                                <w:sz w:val="24"/>
                                <w:szCs w:val="24"/>
                              </w:rPr>
                              <w:t xml:space="preserve"> </w:t>
                            </w:r>
                            <w:r w:rsidR="006952E9" w:rsidRPr="00AE15DB">
                              <w:rPr>
                                <w:i/>
                                <w:iCs/>
                                <w:sz w:val="24"/>
                                <w:szCs w:val="24"/>
                              </w:rPr>
                              <w:t xml:space="preserve">por </w:t>
                            </w:r>
                            <w:r w:rsidR="00B021B8" w:rsidRPr="00AE15DB">
                              <w:rPr>
                                <w:i/>
                                <w:iCs/>
                                <w:sz w:val="24"/>
                                <w:szCs w:val="24"/>
                              </w:rPr>
                              <w:t xml:space="preserve">haberme inculcado </w:t>
                            </w:r>
                            <w:r w:rsidR="0098633C" w:rsidRPr="00AE15DB">
                              <w:rPr>
                                <w:i/>
                                <w:iCs/>
                                <w:sz w:val="24"/>
                                <w:szCs w:val="24"/>
                              </w:rPr>
                              <w:t>los</w:t>
                            </w:r>
                            <w:r w:rsidR="00B021B8" w:rsidRPr="00AE15DB">
                              <w:rPr>
                                <w:i/>
                                <w:iCs/>
                                <w:sz w:val="24"/>
                                <w:szCs w:val="24"/>
                              </w:rPr>
                              <w:t xml:space="preserve"> </w:t>
                            </w:r>
                            <w:r w:rsidR="00305472" w:rsidRPr="00AE15DB">
                              <w:rPr>
                                <w:i/>
                                <w:iCs/>
                                <w:sz w:val="24"/>
                                <w:szCs w:val="24"/>
                              </w:rPr>
                              <w:t>valor</w:t>
                            </w:r>
                            <w:r w:rsidR="0098633C" w:rsidRPr="00AE15DB">
                              <w:rPr>
                                <w:i/>
                                <w:iCs/>
                                <w:sz w:val="24"/>
                                <w:szCs w:val="24"/>
                              </w:rPr>
                              <w:t>es</w:t>
                            </w:r>
                            <w:r w:rsidR="00305472" w:rsidRPr="00AE15DB">
                              <w:rPr>
                                <w:i/>
                                <w:iCs/>
                                <w:sz w:val="24"/>
                                <w:szCs w:val="24"/>
                              </w:rPr>
                              <w:t xml:space="preserve"> de</w:t>
                            </w:r>
                            <w:r w:rsidR="00D46F19" w:rsidRPr="00AE15DB">
                              <w:rPr>
                                <w:i/>
                                <w:iCs/>
                                <w:sz w:val="24"/>
                                <w:szCs w:val="24"/>
                              </w:rPr>
                              <w:t>l esfuerzo, la perseverancia y el deseo constante de</w:t>
                            </w:r>
                            <w:r w:rsidR="00305472" w:rsidRPr="00AE15DB">
                              <w:rPr>
                                <w:i/>
                                <w:iCs/>
                                <w:sz w:val="24"/>
                                <w:szCs w:val="24"/>
                              </w:rPr>
                              <w:t xml:space="preserve"> superación</w:t>
                            </w:r>
                            <w:r w:rsidR="00D46F19" w:rsidRPr="00AE15DB">
                              <w:rPr>
                                <w:i/>
                                <w:iCs/>
                                <w:sz w:val="24"/>
                                <w:szCs w:val="24"/>
                              </w:rPr>
                              <w:t>.</w:t>
                            </w:r>
                            <w:r w:rsidR="003C4FA3" w:rsidRPr="00AE15DB">
                              <w:rPr>
                                <w:i/>
                                <w:iCs/>
                                <w:sz w:val="24"/>
                                <w:szCs w:val="24"/>
                              </w:rPr>
                              <w:t xml:space="preserve"> </w:t>
                            </w:r>
                          </w:p>
                          <w:p w14:paraId="3E21E6C9" w14:textId="02D44795" w:rsidR="009864B4" w:rsidRPr="0038493C" w:rsidRDefault="00D46F19" w:rsidP="009864B4">
                            <w:pPr>
                              <w:jc w:val="right"/>
                              <w:rPr>
                                <w:i/>
                                <w:iCs/>
                                <w:sz w:val="24"/>
                                <w:szCs w:val="24"/>
                              </w:rPr>
                            </w:pPr>
                            <w:r w:rsidRPr="00AE15DB">
                              <w:rPr>
                                <w:i/>
                                <w:iCs/>
                                <w:sz w:val="24"/>
                                <w:szCs w:val="24"/>
                              </w:rPr>
                              <w:t>A</w:t>
                            </w:r>
                            <w:r w:rsidR="003C4FA3" w:rsidRPr="00AE15DB">
                              <w:rPr>
                                <w:i/>
                                <w:iCs/>
                                <w:sz w:val="24"/>
                                <w:szCs w:val="24"/>
                              </w:rPr>
                              <w:t xml:space="preserve"> </w:t>
                            </w:r>
                            <w:r w:rsidR="00793EF9" w:rsidRPr="00AE15DB">
                              <w:rPr>
                                <w:i/>
                                <w:iCs/>
                                <w:sz w:val="24"/>
                                <w:szCs w:val="24"/>
                              </w:rPr>
                              <w:t>mi pareja</w:t>
                            </w:r>
                            <w:r w:rsidR="00013768" w:rsidRPr="00AE15DB">
                              <w:rPr>
                                <w:i/>
                                <w:iCs/>
                                <w:sz w:val="24"/>
                                <w:szCs w:val="24"/>
                              </w:rPr>
                              <w:t>,</w:t>
                            </w:r>
                            <w:r w:rsidR="003749D1" w:rsidRPr="00AE15DB">
                              <w:rPr>
                                <w:i/>
                                <w:iCs/>
                                <w:sz w:val="24"/>
                                <w:szCs w:val="24"/>
                              </w:rPr>
                              <w:t xml:space="preserve"> mi pilar </w:t>
                            </w:r>
                            <w:r w:rsidR="00F663BA" w:rsidRPr="00AE15DB">
                              <w:rPr>
                                <w:i/>
                                <w:iCs/>
                                <w:sz w:val="24"/>
                                <w:szCs w:val="24"/>
                              </w:rPr>
                              <w:t>del</w:t>
                            </w:r>
                            <w:r w:rsidR="003749D1" w:rsidRPr="00AE15DB">
                              <w:rPr>
                                <w:i/>
                                <w:iCs/>
                                <w:sz w:val="24"/>
                                <w:szCs w:val="24"/>
                              </w:rPr>
                              <w:t xml:space="preserve"> día a día</w:t>
                            </w:r>
                            <w:r w:rsidR="00F663BA" w:rsidRPr="00AE15DB">
                              <w:rPr>
                                <w:i/>
                                <w:iCs/>
                                <w:sz w:val="24"/>
                                <w:szCs w:val="24"/>
                              </w:rPr>
                              <w:t>, p</w:t>
                            </w:r>
                            <w:r w:rsidR="00BA46D8" w:rsidRPr="00AE15DB">
                              <w:rPr>
                                <w:i/>
                                <w:iCs/>
                                <w:sz w:val="24"/>
                                <w:szCs w:val="24"/>
                              </w:rPr>
                              <w:t>or adaptarse con paciencia y generosidad a estos años de estudio</w:t>
                            </w:r>
                            <w:r w:rsidR="007721B4" w:rsidRPr="00AE15DB">
                              <w:rPr>
                                <w:i/>
                                <w:iCs/>
                                <w:sz w:val="24"/>
                                <w:szCs w:val="24"/>
                              </w:rPr>
                              <w:t xml:space="preserve"> </w:t>
                            </w:r>
                            <w:r w:rsidR="00BA46D8" w:rsidRPr="00AE15DB">
                              <w:rPr>
                                <w:i/>
                                <w:iCs/>
                                <w:sz w:val="24"/>
                                <w:szCs w:val="24"/>
                              </w:rPr>
                              <w:t>y por hacer este proceso más llevadero</w:t>
                            </w:r>
                            <w:r w:rsidR="008A549C" w:rsidRPr="00AE15DB">
                              <w:rPr>
                                <w:i/>
                                <w:iCs/>
                                <w:sz w:val="24"/>
                                <w:szCs w:val="24"/>
                              </w:rPr>
                              <w:t xml:space="preserve">, </w:t>
                            </w:r>
                            <w:r w:rsidR="00C14F69" w:rsidRPr="00AE15DB">
                              <w:rPr>
                                <w:i/>
                                <w:iCs/>
                                <w:sz w:val="24"/>
                                <w:szCs w:val="24"/>
                              </w:rPr>
                              <w:t xml:space="preserve">brindándome </w:t>
                            </w:r>
                            <w:r w:rsidR="00B21689" w:rsidRPr="00AE15DB">
                              <w:rPr>
                                <w:i/>
                                <w:iCs/>
                                <w:sz w:val="24"/>
                                <w:szCs w:val="24"/>
                              </w:rPr>
                              <w:t xml:space="preserve">apoyo, consejos y tranquilidad en cada </w:t>
                            </w:r>
                            <w:r w:rsidR="00547C12" w:rsidRPr="00AE15DB">
                              <w:rPr>
                                <w:i/>
                                <w:iCs/>
                                <w:sz w:val="24"/>
                                <w:szCs w:val="24"/>
                              </w:rPr>
                              <w:t xml:space="preserve">etapa </w:t>
                            </w:r>
                            <w:r w:rsidR="00870A4C" w:rsidRPr="00AE15DB">
                              <w:rPr>
                                <w:i/>
                                <w:iCs/>
                                <w:sz w:val="24"/>
                                <w:szCs w:val="24"/>
                              </w:rPr>
                              <w:t>de este desafío.</w:t>
                            </w:r>
                            <w:r w:rsidR="00BA46D8" w:rsidRPr="00AE15DB">
                              <w:rPr>
                                <w:i/>
                                <w:iCs/>
                                <w:sz w:val="24"/>
                                <w:szCs w:val="24"/>
                              </w:rPr>
                              <w:t xml:space="preserve"> </w:t>
                            </w:r>
                            <w:r w:rsidR="00D67D8E" w:rsidRPr="00AE15DB">
                              <w:rPr>
                                <w:i/>
                                <w:iCs/>
                                <w:sz w:val="24"/>
                                <w:szCs w:val="24"/>
                              </w:rPr>
                              <w:br/>
                            </w:r>
                            <w:r w:rsidR="00D67D8E" w:rsidRPr="00AE15DB">
                              <w:rPr>
                                <w:i/>
                                <w:iCs/>
                                <w:sz w:val="24"/>
                                <w:szCs w:val="24"/>
                              </w:rPr>
                              <w:br/>
                            </w:r>
                            <w:r w:rsidR="00AC7BF1" w:rsidRPr="00AE15DB">
                              <w:rPr>
                                <w:i/>
                                <w:iCs/>
                                <w:sz w:val="24"/>
                                <w:szCs w:val="24"/>
                              </w:rPr>
                              <w:t>Finalmente, a mis compañeros de CORFO en el magíster, con quienes compartir este camino hizo la experiencia no solo más amena, sino también entretenida</w:t>
                            </w:r>
                            <w:r w:rsidR="00631677" w:rsidRPr="00AE15DB">
                              <w:rPr>
                                <w:i/>
                                <w:iCs/>
                                <w:sz w:val="24"/>
                                <w:szCs w:val="24"/>
                              </w:rPr>
                              <w:t xml:space="preserve">. De cada uno de ellos aprendí profundamente, tanto en lo profesional como en lo </w:t>
                            </w:r>
                            <w:r w:rsidR="008C7352" w:rsidRPr="00AE15DB">
                              <w:rPr>
                                <w:i/>
                                <w:iCs/>
                                <w:sz w:val="24"/>
                                <w:szCs w:val="24"/>
                              </w:rPr>
                              <w:t>personal</w:t>
                            </w:r>
                            <w:r w:rsidR="00597D16">
                              <w:rPr>
                                <w:i/>
                                <w:iCs/>
                                <w:sz w:val="24"/>
                                <w:szCs w:val="24"/>
                              </w:rPr>
                              <w:t>.</w:t>
                            </w:r>
                            <w:r w:rsidR="003C4FA3">
                              <w:rPr>
                                <w:i/>
                                <w:iCs/>
                                <w:sz w:val="24"/>
                                <w:szCs w:val="24"/>
                              </w:rPr>
                              <w:t xml:space="preserve">  </w:t>
                            </w:r>
                            <w:r w:rsidR="009864B4">
                              <w:rPr>
                                <w:i/>
                                <w:iCs/>
                                <w:sz w:val="24"/>
                                <w:szCs w:val="24"/>
                              </w:rPr>
                              <w:t xml:space="preserve"> </w:t>
                            </w:r>
                          </w:p>
                          <w:p w14:paraId="6E8A8E90" w14:textId="35E3624E" w:rsidR="009864B4" w:rsidRDefault="009864B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B78FF5" id="_x0000_s1029" type="#_x0000_t202" style="position:absolute;left:0;text-align:left;margin-left:153.45pt;margin-top:15.8pt;width:324pt;height:328.5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" stroked="f">
                <v:textbox>
                  <w:txbxContent>
                    <w:p w14:paraId="2EA1ECED" w14:textId="3433F76C" w:rsidR="00BA46D8" w:rsidRPr="00AE15DB" w:rsidRDefault="009864B4" w:rsidP="009864B4">
                      <w:pPr>
                        <w:jc w:val="right"/>
                        <w:rPr>
                          <w:i/>
                          <w:iCs/>
                          <w:sz w:val="24"/>
                          <w:szCs w:val="24"/>
                        </w:rPr>
                      </w:pPr>
                      <w:r w:rsidRPr="00AE15DB">
                        <w:rPr>
                          <w:i/>
                          <w:iCs/>
                          <w:sz w:val="24"/>
                          <w:szCs w:val="24"/>
                        </w:rPr>
                        <w:t xml:space="preserve">Dedico este trabajo </w:t>
                      </w:r>
                      <w:r w:rsidR="00B021B8" w:rsidRPr="00AE15DB">
                        <w:rPr>
                          <w:i/>
                          <w:iCs/>
                          <w:sz w:val="24"/>
                          <w:szCs w:val="24"/>
                        </w:rPr>
                        <w:t>en agradecimiento</w:t>
                      </w:r>
                      <w:r w:rsidRPr="00AE15DB">
                        <w:rPr>
                          <w:i/>
                          <w:iCs/>
                          <w:sz w:val="24"/>
                          <w:szCs w:val="24"/>
                        </w:rPr>
                        <w:t xml:space="preserve"> a quienes me </w:t>
                      </w:r>
                      <w:r w:rsidR="00763C5D" w:rsidRPr="00AE15DB">
                        <w:rPr>
                          <w:i/>
                          <w:iCs/>
                          <w:sz w:val="24"/>
                          <w:szCs w:val="24"/>
                        </w:rPr>
                        <w:t>acompañaron</w:t>
                      </w:r>
                      <w:r w:rsidRPr="00AE15DB">
                        <w:rPr>
                          <w:i/>
                          <w:iCs/>
                          <w:sz w:val="24"/>
                          <w:szCs w:val="24"/>
                        </w:rPr>
                        <w:t xml:space="preserve"> en esta aventura</w:t>
                      </w:r>
                      <w:r w:rsidR="00B021B8" w:rsidRPr="00AE15DB">
                        <w:rPr>
                          <w:i/>
                          <w:iCs/>
                          <w:sz w:val="24"/>
                          <w:szCs w:val="24"/>
                        </w:rPr>
                        <w:t>.</w:t>
                      </w:r>
                      <w:r w:rsidRPr="00AE15DB">
                        <w:rPr>
                          <w:i/>
                          <w:iCs/>
                          <w:sz w:val="24"/>
                          <w:szCs w:val="24"/>
                        </w:rPr>
                        <w:t xml:space="preserve"> </w:t>
                      </w:r>
                      <w:r w:rsidR="00BA46D8" w:rsidRPr="00AE15DB">
                        <w:rPr>
                          <w:i/>
                          <w:iCs/>
                          <w:sz w:val="24"/>
                          <w:szCs w:val="24"/>
                        </w:rPr>
                        <w:br/>
                      </w:r>
                      <w:r w:rsidR="00BA46D8" w:rsidRPr="00AE15DB">
                        <w:rPr>
                          <w:i/>
                          <w:iCs/>
                          <w:sz w:val="24"/>
                          <w:szCs w:val="24"/>
                        </w:rPr>
                        <w:br/>
                      </w:r>
                      <w:r w:rsidR="00B021B8" w:rsidRPr="00AE15DB">
                        <w:rPr>
                          <w:i/>
                          <w:iCs/>
                          <w:sz w:val="24"/>
                          <w:szCs w:val="24"/>
                        </w:rPr>
                        <w:t>A</w:t>
                      </w:r>
                      <w:r w:rsidRPr="00AE15DB">
                        <w:rPr>
                          <w:i/>
                          <w:iCs/>
                          <w:sz w:val="24"/>
                          <w:szCs w:val="24"/>
                        </w:rPr>
                        <w:t xml:space="preserve"> mis padres</w:t>
                      </w:r>
                      <w:r w:rsidR="00656832" w:rsidRPr="00AE15DB">
                        <w:rPr>
                          <w:i/>
                          <w:iCs/>
                          <w:sz w:val="24"/>
                          <w:szCs w:val="24"/>
                        </w:rPr>
                        <w:t>,</w:t>
                      </w:r>
                      <w:r w:rsidR="00B021B8" w:rsidRPr="00AE15DB">
                        <w:rPr>
                          <w:i/>
                          <w:iCs/>
                          <w:sz w:val="24"/>
                          <w:szCs w:val="24"/>
                        </w:rPr>
                        <w:t xml:space="preserve"> por</w:t>
                      </w:r>
                      <w:r w:rsidR="00876480" w:rsidRPr="00AE15DB">
                        <w:rPr>
                          <w:i/>
                          <w:iCs/>
                          <w:sz w:val="24"/>
                          <w:szCs w:val="24"/>
                        </w:rPr>
                        <w:t xml:space="preserve"> sus</w:t>
                      </w:r>
                      <w:r w:rsidR="000C5BBA" w:rsidRPr="00AE15DB">
                        <w:rPr>
                          <w:i/>
                          <w:iCs/>
                          <w:sz w:val="24"/>
                          <w:szCs w:val="24"/>
                        </w:rPr>
                        <w:t xml:space="preserve"> </w:t>
                      </w:r>
                      <w:r w:rsidR="00F95D5F" w:rsidRPr="00AE15DB">
                        <w:rPr>
                          <w:i/>
                          <w:iCs/>
                          <w:sz w:val="24"/>
                          <w:szCs w:val="24"/>
                        </w:rPr>
                        <w:t>permanentes</w:t>
                      </w:r>
                      <w:r w:rsidR="00876480" w:rsidRPr="00AE15DB">
                        <w:rPr>
                          <w:i/>
                          <w:iCs/>
                          <w:sz w:val="24"/>
                          <w:szCs w:val="24"/>
                        </w:rPr>
                        <w:t xml:space="preserve"> palabras de aliento y</w:t>
                      </w:r>
                      <w:r w:rsidR="00B021B8" w:rsidRPr="00AE15DB">
                        <w:rPr>
                          <w:i/>
                          <w:iCs/>
                          <w:sz w:val="24"/>
                          <w:szCs w:val="24"/>
                        </w:rPr>
                        <w:t xml:space="preserve"> </w:t>
                      </w:r>
                      <w:r w:rsidR="006952E9" w:rsidRPr="00AE15DB">
                        <w:rPr>
                          <w:i/>
                          <w:iCs/>
                          <w:sz w:val="24"/>
                          <w:szCs w:val="24"/>
                        </w:rPr>
                        <w:t xml:space="preserve">por </w:t>
                      </w:r>
                      <w:r w:rsidR="00B021B8" w:rsidRPr="00AE15DB">
                        <w:rPr>
                          <w:i/>
                          <w:iCs/>
                          <w:sz w:val="24"/>
                          <w:szCs w:val="24"/>
                        </w:rPr>
                        <w:t xml:space="preserve">haberme inculcado </w:t>
                      </w:r>
                      <w:r w:rsidR="0098633C" w:rsidRPr="00AE15DB">
                        <w:rPr>
                          <w:i/>
                          <w:iCs/>
                          <w:sz w:val="24"/>
                          <w:szCs w:val="24"/>
                        </w:rPr>
                        <w:t>los</w:t>
                      </w:r>
                      <w:r w:rsidR="00B021B8" w:rsidRPr="00AE15DB">
                        <w:rPr>
                          <w:i/>
                          <w:iCs/>
                          <w:sz w:val="24"/>
                          <w:szCs w:val="24"/>
                        </w:rPr>
                        <w:t xml:space="preserve"> </w:t>
                      </w:r>
                      <w:r w:rsidR="00305472" w:rsidRPr="00AE15DB">
                        <w:rPr>
                          <w:i/>
                          <w:iCs/>
                          <w:sz w:val="24"/>
                          <w:szCs w:val="24"/>
                        </w:rPr>
                        <w:t>valor</w:t>
                      </w:r>
                      <w:r w:rsidR="0098633C" w:rsidRPr="00AE15DB">
                        <w:rPr>
                          <w:i/>
                          <w:iCs/>
                          <w:sz w:val="24"/>
                          <w:szCs w:val="24"/>
                        </w:rPr>
                        <w:t>es</w:t>
                      </w:r>
                      <w:r w:rsidR="00305472" w:rsidRPr="00AE15DB">
                        <w:rPr>
                          <w:i/>
                          <w:iCs/>
                          <w:sz w:val="24"/>
                          <w:szCs w:val="24"/>
                        </w:rPr>
                        <w:t xml:space="preserve"> de</w:t>
                      </w:r>
                      <w:r w:rsidR="00D46F19" w:rsidRPr="00AE15DB">
                        <w:rPr>
                          <w:i/>
                          <w:iCs/>
                          <w:sz w:val="24"/>
                          <w:szCs w:val="24"/>
                        </w:rPr>
                        <w:t>l esfuerzo, la perseverancia y el deseo constante de</w:t>
                      </w:r>
                      <w:r w:rsidR="00305472" w:rsidRPr="00AE15DB">
                        <w:rPr>
                          <w:i/>
                          <w:iCs/>
                          <w:sz w:val="24"/>
                          <w:szCs w:val="24"/>
                        </w:rPr>
                        <w:t xml:space="preserve"> superación</w:t>
                      </w:r>
                      <w:r w:rsidR="00D46F19" w:rsidRPr="00AE15DB">
                        <w:rPr>
                          <w:i/>
                          <w:iCs/>
                          <w:sz w:val="24"/>
                          <w:szCs w:val="24"/>
                        </w:rPr>
                        <w:t>.</w:t>
                      </w:r>
                      <w:r w:rsidR="003C4FA3" w:rsidRPr="00AE15DB">
                        <w:rPr>
                          <w:i/>
                          <w:iCs/>
                          <w:sz w:val="24"/>
                          <w:szCs w:val="24"/>
                        </w:rPr>
                        <w:t xml:space="preserve"> </w:t>
                      </w:r>
                    </w:p>
                    <w:p w14:paraId="3E21E6C9" w14:textId="02D44795" w:rsidR="009864B4" w:rsidRPr="0038493C" w:rsidRDefault="00D46F19" w:rsidP="009864B4">
                      <w:pPr>
                        <w:jc w:val="right"/>
                        <w:rPr>
                          <w:i/>
                          <w:iCs/>
                          <w:sz w:val="24"/>
                          <w:szCs w:val="24"/>
                        </w:rPr>
                      </w:pPr>
                      <w:r w:rsidRPr="00AE15DB">
                        <w:rPr>
                          <w:i/>
                          <w:iCs/>
                          <w:sz w:val="24"/>
                          <w:szCs w:val="24"/>
                        </w:rPr>
                        <w:t>A</w:t>
                      </w:r>
                      <w:r w:rsidR="003C4FA3" w:rsidRPr="00AE15DB">
                        <w:rPr>
                          <w:i/>
                          <w:iCs/>
                          <w:sz w:val="24"/>
                          <w:szCs w:val="24"/>
                        </w:rPr>
                        <w:t xml:space="preserve"> </w:t>
                      </w:r>
                      <w:r w:rsidR="00793EF9" w:rsidRPr="00AE15DB">
                        <w:rPr>
                          <w:i/>
                          <w:iCs/>
                          <w:sz w:val="24"/>
                          <w:szCs w:val="24"/>
                        </w:rPr>
                        <w:t>mi pareja</w:t>
                      </w:r>
                      <w:r w:rsidR="00013768" w:rsidRPr="00AE15DB">
                        <w:rPr>
                          <w:i/>
                          <w:iCs/>
                          <w:sz w:val="24"/>
                          <w:szCs w:val="24"/>
                        </w:rPr>
                        <w:t>,</w:t>
                      </w:r>
                      <w:r w:rsidR="003749D1" w:rsidRPr="00AE15DB">
                        <w:rPr>
                          <w:i/>
                          <w:iCs/>
                          <w:sz w:val="24"/>
                          <w:szCs w:val="24"/>
                        </w:rPr>
                        <w:t xml:space="preserve"> mi pilar </w:t>
                      </w:r>
                      <w:r w:rsidR="00F663BA" w:rsidRPr="00AE15DB">
                        <w:rPr>
                          <w:i/>
                          <w:iCs/>
                          <w:sz w:val="24"/>
                          <w:szCs w:val="24"/>
                        </w:rPr>
                        <w:t>del</w:t>
                      </w:r>
                      <w:r w:rsidR="003749D1" w:rsidRPr="00AE15DB">
                        <w:rPr>
                          <w:i/>
                          <w:iCs/>
                          <w:sz w:val="24"/>
                          <w:szCs w:val="24"/>
                        </w:rPr>
                        <w:t xml:space="preserve"> día a día</w:t>
                      </w:r>
                      <w:r w:rsidR="00F663BA" w:rsidRPr="00AE15DB">
                        <w:rPr>
                          <w:i/>
                          <w:iCs/>
                          <w:sz w:val="24"/>
                          <w:szCs w:val="24"/>
                        </w:rPr>
                        <w:t>, p</w:t>
                      </w:r>
                      <w:r w:rsidR="00BA46D8" w:rsidRPr="00AE15DB">
                        <w:rPr>
                          <w:i/>
                          <w:iCs/>
                          <w:sz w:val="24"/>
                          <w:szCs w:val="24"/>
                        </w:rPr>
                        <w:t>or adaptarse con paciencia y generosidad a estos años de estudio</w:t>
                      </w:r>
                      <w:r w:rsidR="007721B4" w:rsidRPr="00AE15DB">
                        <w:rPr>
                          <w:i/>
                          <w:iCs/>
                          <w:sz w:val="24"/>
                          <w:szCs w:val="24"/>
                        </w:rPr>
                        <w:t xml:space="preserve"> </w:t>
                      </w:r>
                      <w:r w:rsidR="00BA46D8" w:rsidRPr="00AE15DB">
                        <w:rPr>
                          <w:i/>
                          <w:iCs/>
                          <w:sz w:val="24"/>
                          <w:szCs w:val="24"/>
                        </w:rPr>
                        <w:t>y por hacer este proceso más llevadero</w:t>
                      </w:r>
                      <w:r w:rsidR="008A549C" w:rsidRPr="00AE15DB">
                        <w:rPr>
                          <w:i/>
                          <w:iCs/>
                          <w:sz w:val="24"/>
                          <w:szCs w:val="24"/>
                        </w:rPr>
                        <w:t xml:space="preserve">, </w:t>
                      </w:r>
                      <w:r w:rsidR="00C14F69" w:rsidRPr="00AE15DB">
                        <w:rPr>
                          <w:i/>
                          <w:iCs/>
                          <w:sz w:val="24"/>
                          <w:szCs w:val="24"/>
                        </w:rPr>
                        <w:t xml:space="preserve">brindándome </w:t>
                      </w:r>
                      <w:r w:rsidR="00B21689" w:rsidRPr="00AE15DB">
                        <w:rPr>
                          <w:i/>
                          <w:iCs/>
                          <w:sz w:val="24"/>
                          <w:szCs w:val="24"/>
                        </w:rPr>
                        <w:t xml:space="preserve">apoyo, consejos y tranquilidad en cada </w:t>
                      </w:r>
                      <w:r w:rsidR="00547C12" w:rsidRPr="00AE15DB">
                        <w:rPr>
                          <w:i/>
                          <w:iCs/>
                          <w:sz w:val="24"/>
                          <w:szCs w:val="24"/>
                        </w:rPr>
                        <w:t xml:space="preserve">etapa </w:t>
                      </w:r>
                      <w:r w:rsidR="00870A4C" w:rsidRPr="00AE15DB">
                        <w:rPr>
                          <w:i/>
                          <w:iCs/>
                          <w:sz w:val="24"/>
                          <w:szCs w:val="24"/>
                        </w:rPr>
                        <w:t>de este desafío.</w:t>
                      </w:r>
                      <w:r w:rsidR="00BA46D8" w:rsidRPr="00AE15DB">
                        <w:rPr>
                          <w:i/>
                          <w:iCs/>
                          <w:sz w:val="24"/>
                          <w:szCs w:val="24"/>
                        </w:rPr>
                        <w:t xml:space="preserve"> </w:t>
                      </w:r>
                      <w:r w:rsidR="00D67D8E" w:rsidRPr="00AE15DB">
                        <w:rPr>
                          <w:i/>
                          <w:iCs/>
                          <w:sz w:val="24"/>
                          <w:szCs w:val="24"/>
                        </w:rPr>
                        <w:br/>
                      </w:r>
                      <w:r w:rsidR="00D67D8E" w:rsidRPr="00AE15DB">
                        <w:rPr>
                          <w:i/>
                          <w:iCs/>
                          <w:sz w:val="24"/>
                          <w:szCs w:val="24"/>
                        </w:rPr>
                        <w:br/>
                      </w:r>
                      <w:r w:rsidR="00AC7BF1" w:rsidRPr="00AE15DB">
                        <w:rPr>
                          <w:i/>
                          <w:iCs/>
                          <w:sz w:val="24"/>
                          <w:szCs w:val="24"/>
                        </w:rPr>
                        <w:t>Finalmente, a mis compañeros de CORFO en el magíster, con quienes compartir este camino hizo la experiencia no solo más amena, sino también entretenida</w:t>
                      </w:r>
                      <w:r w:rsidR="00631677" w:rsidRPr="00AE15DB">
                        <w:rPr>
                          <w:i/>
                          <w:iCs/>
                          <w:sz w:val="24"/>
                          <w:szCs w:val="24"/>
                        </w:rPr>
                        <w:t xml:space="preserve">. De cada uno de ellos aprendí profundamente, tanto en lo profesional como en lo </w:t>
                      </w:r>
                      <w:r w:rsidR="008C7352" w:rsidRPr="00AE15DB">
                        <w:rPr>
                          <w:i/>
                          <w:iCs/>
                          <w:sz w:val="24"/>
                          <w:szCs w:val="24"/>
                        </w:rPr>
                        <w:t>personal</w:t>
                      </w:r>
                      <w:r w:rsidR="00597D16">
                        <w:rPr>
                          <w:i/>
                          <w:iCs/>
                          <w:sz w:val="24"/>
                          <w:szCs w:val="24"/>
                        </w:rPr>
                        <w:t>.</w:t>
                      </w:r>
                      <w:r w:rsidR="003C4FA3">
                        <w:rPr>
                          <w:i/>
                          <w:iCs/>
                          <w:sz w:val="24"/>
                          <w:szCs w:val="24"/>
                        </w:rPr>
                        <w:t xml:space="preserve">  </w:t>
                      </w:r>
                      <w:r w:rsidR="009864B4">
                        <w:rPr>
                          <w:i/>
                          <w:iCs/>
                          <w:sz w:val="24"/>
                          <w:szCs w:val="24"/>
                        </w:rPr>
                        <w:t xml:space="preserve"> </w:t>
                      </w:r>
                    </w:p>
                    <w:p w14:paraId="6E8A8E90" w14:textId="35E3624E" w:rsidR="009864B4" w:rsidRDefault="009864B4"/>
                  </w:txbxContent>
                </v:textbox>
                <w10:wrap type="square"/>
              </v:shape>
            </w:pict>
          </mc:Fallback>
        </mc:AlternateContent>
      </w:r>
    </w:p>
    <w:p w14:paraId="2493D089" w14:textId="6F273342" w:rsidR="0038493C" w:rsidRDefault="0038493C" w:rsidP="0038493C">
      <w:pPr>
        <w:rPr>
          <w:rStyle w:val="Ttulo2Car"/>
        </w:rPr>
      </w:pPr>
    </w:p>
    <w:p w14:paraId="7D98002E" w14:textId="77777777" w:rsidR="005D6971" w:rsidRDefault="005D6971" w:rsidP="008936D6">
      <w:pPr>
        <w:jc w:val="both"/>
        <w:rPr>
          <w:rStyle w:val="Ttulo2Car"/>
        </w:rPr>
      </w:pPr>
    </w:p>
    <w:p w14:paraId="3AFC88D1" w14:textId="6A74A025" w:rsidR="005D6971" w:rsidRDefault="00273F91" w:rsidP="008936D6">
      <w:pPr>
        <w:jc w:val="both"/>
        <w:rPr>
          <w:rStyle w:val="Ttulo2Car"/>
        </w:rPr>
      </w:pPr>
      <w:r>
        <w:rPr>
          <w:rStyle w:val="Ttulo2Car"/>
        </w:rPr>
        <w:t>.</w:t>
      </w:r>
    </w:p>
    <w:p w14:paraId="3E35DB2E" w14:textId="77777777" w:rsidR="005D6971" w:rsidRDefault="005D6971" w:rsidP="008936D6">
      <w:pPr>
        <w:jc w:val="both"/>
        <w:rPr>
          <w:rStyle w:val="Ttulo2Car"/>
        </w:rPr>
      </w:pPr>
    </w:p>
    <w:p w14:paraId="63EB607A" w14:textId="77777777" w:rsidR="005D6971" w:rsidRDefault="005D6971" w:rsidP="008936D6">
      <w:pPr>
        <w:jc w:val="both"/>
        <w:rPr>
          <w:rStyle w:val="Ttulo2Car"/>
        </w:rPr>
      </w:pPr>
    </w:p>
    <w:p w14:paraId="6E5ECD97" w14:textId="77777777" w:rsidR="005D6971" w:rsidRDefault="005D6971" w:rsidP="008936D6">
      <w:pPr>
        <w:jc w:val="both"/>
        <w:rPr>
          <w:rStyle w:val="Ttulo2Car"/>
        </w:rPr>
      </w:pPr>
    </w:p>
    <w:p w14:paraId="56E88310" w14:textId="77777777" w:rsidR="005D6971" w:rsidRDefault="005D6971" w:rsidP="008936D6">
      <w:pPr>
        <w:jc w:val="both"/>
        <w:rPr>
          <w:rStyle w:val="Ttulo2Car"/>
        </w:rPr>
      </w:pPr>
    </w:p>
    <w:p w14:paraId="584F13CF" w14:textId="77777777" w:rsidR="005D6971" w:rsidRDefault="005D6971" w:rsidP="008936D6">
      <w:pPr>
        <w:jc w:val="both"/>
        <w:rPr>
          <w:rStyle w:val="Ttulo2Car"/>
        </w:rPr>
      </w:pPr>
    </w:p>
    <w:p w14:paraId="62F88B00" w14:textId="77777777" w:rsidR="005D6971" w:rsidRDefault="005D6971" w:rsidP="008936D6">
      <w:pPr>
        <w:jc w:val="both"/>
        <w:rPr>
          <w:rStyle w:val="Ttulo2Car"/>
        </w:rPr>
      </w:pPr>
    </w:p>
    <w:p w14:paraId="4089F980" w14:textId="77777777" w:rsidR="005D6971" w:rsidRDefault="005D6971" w:rsidP="008936D6">
      <w:pPr>
        <w:jc w:val="both"/>
        <w:rPr>
          <w:rStyle w:val="Ttulo2Car"/>
        </w:rPr>
      </w:pPr>
    </w:p>
    <w:p w14:paraId="07C2BC86" w14:textId="77777777" w:rsidR="005D6971" w:rsidRDefault="005D6971" w:rsidP="008936D6">
      <w:pPr>
        <w:jc w:val="both"/>
        <w:rPr>
          <w:rStyle w:val="Ttulo2Car"/>
        </w:rPr>
      </w:pPr>
    </w:p>
    <w:p w14:paraId="6220545E" w14:textId="77777777" w:rsidR="0038493C" w:rsidRDefault="0038493C" w:rsidP="008936D6">
      <w:pPr>
        <w:jc w:val="both"/>
        <w:rPr>
          <w:rStyle w:val="Ttulo2Car"/>
        </w:rPr>
      </w:pPr>
    </w:p>
    <w:p w14:paraId="7D18943B" w14:textId="77777777" w:rsidR="005D762B" w:rsidRDefault="005D762B" w:rsidP="008936D6">
      <w:pPr>
        <w:jc w:val="both"/>
        <w:rPr>
          <w:rStyle w:val="Ttulo2Car"/>
        </w:rPr>
      </w:pPr>
    </w:p>
    <w:p w14:paraId="1CF6934C" w14:textId="77777777" w:rsidR="005D6971" w:rsidRDefault="005D6971" w:rsidP="008936D6">
      <w:pPr>
        <w:jc w:val="both"/>
        <w:rPr>
          <w:rStyle w:val="Ttulo2Car"/>
        </w:rPr>
      </w:pPr>
    </w:p>
    <w:p w14:paraId="6C5912DC" w14:textId="3C160A25" w:rsidR="00044ABE" w:rsidRPr="00044ABE" w:rsidRDefault="00000000" w:rsidP="00F323FF">
      <w:pPr>
        <w:jc w:val="center"/>
        <w:rPr>
          <w:rFonts w:asciiTheme="majorHAnsi" w:eastAsiaTheme="majorEastAsia" w:hAnsiTheme="majorHAnsi" w:cstheme="majorBidi"/>
          <w:color w:val="2F5496" w:themeColor="accent1" w:themeShade="BF"/>
          <w:sz w:val="32"/>
          <w:szCs w:val="32"/>
        </w:rPr>
      </w:pPr>
      <w:sdt>
        <w:sdtPr>
          <w:rPr>
            <w:rFonts w:asciiTheme="majorHAnsi" w:eastAsiaTheme="majorEastAsia" w:hAnsiTheme="majorHAnsi" w:cstheme="majorBidi"/>
            <w:color w:val="2F5496" w:themeColor="accent1" w:themeShade="BF"/>
            <w:sz w:val="32"/>
            <w:szCs w:val="32"/>
          </w:rPr>
          <w:alias w:val="Título"/>
          <w:tag w:val=""/>
          <w:id w:val="-1869130752"/>
          <w:dataBinding w:prefixMappings="xmlns:ns0='http://purl.org/dc/elements/1.1/' xmlns:ns1='http://schemas.openxmlformats.org/package/2006/metadata/core-properties' " w:xpath="/ns1:coreProperties[1]/ns0:title[1]" w:storeItemID="{6C3C8BC8-F283-45AE-878A-BAB7291924A1}"/>
          <w:text/>
        </w:sdtPr>
        <w:sdtContent>
          <w:r w:rsidR="00044ABE">
            <w:rPr>
              <w:rFonts w:asciiTheme="majorHAnsi" w:eastAsiaTheme="majorEastAsia" w:hAnsiTheme="majorHAnsi" w:cstheme="majorBidi"/>
              <w:color w:val="2F5496" w:themeColor="accent1" w:themeShade="BF"/>
              <w:sz w:val="32"/>
              <w:szCs w:val="32"/>
            </w:rPr>
            <w:t xml:space="preserve">Desarrollo sostenible y competitivo del sector frutícola: Caso de estudio del Programa Territorial Integrado </w:t>
          </w:r>
          <w:proofErr w:type="spellStart"/>
          <w:r w:rsidR="00044ABE">
            <w:rPr>
              <w:rFonts w:asciiTheme="majorHAnsi" w:eastAsiaTheme="majorEastAsia" w:hAnsiTheme="majorHAnsi" w:cstheme="majorBidi"/>
              <w:color w:val="2F5496" w:themeColor="accent1" w:themeShade="BF"/>
              <w:sz w:val="32"/>
              <w:szCs w:val="32"/>
            </w:rPr>
            <w:t>Tecnofruta</w:t>
          </w:r>
          <w:proofErr w:type="spellEnd"/>
          <w:r w:rsidR="00044ABE">
            <w:rPr>
              <w:rFonts w:asciiTheme="majorHAnsi" w:eastAsiaTheme="majorEastAsia" w:hAnsiTheme="majorHAnsi" w:cstheme="majorBidi"/>
              <w:color w:val="2F5496" w:themeColor="accent1" w:themeShade="BF"/>
              <w:sz w:val="32"/>
              <w:szCs w:val="32"/>
            </w:rPr>
            <w:t xml:space="preserve"> Biobío</w:t>
          </w:r>
        </w:sdtContent>
      </w:sdt>
    </w:p>
    <w:p w14:paraId="18B9C1D2" w14:textId="5D4575F3" w:rsidR="00795218" w:rsidRPr="00D1767B" w:rsidRDefault="00D1767B" w:rsidP="00D1767B">
      <w:pPr>
        <w:jc w:val="center"/>
        <w:rPr>
          <w:sz w:val="24"/>
          <w:szCs w:val="24"/>
        </w:rPr>
      </w:pPr>
      <w:r w:rsidRPr="00D1767B">
        <w:rPr>
          <w:sz w:val="24"/>
          <w:szCs w:val="24"/>
        </w:rPr>
        <w:t>María Emilia Lama Peña y Lillo</w:t>
      </w:r>
    </w:p>
    <w:p w14:paraId="2B62D86A" w14:textId="4A608B6D" w:rsidR="00D1767B" w:rsidRDefault="00D1767B" w:rsidP="00474E0D">
      <w:pPr>
        <w:jc w:val="center"/>
      </w:pPr>
      <w:r w:rsidRPr="00D1767B">
        <w:rPr>
          <w:sz w:val="24"/>
          <w:szCs w:val="24"/>
        </w:rPr>
        <w:t>Bajo la supervisión del Profesor Diego Rivera</w:t>
      </w:r>
      <w:r>
        <w:rPr>
          <w:sz w:val="24"/>
          <w:szCs w:val="24"/>
        </w:rPr>
        <w:t xml:space="preserve"> Salazar</w:t>
      </w:r>
      <w:r w:rsidRPr="00D1767B">
        <w:rPr>
          <w:sz w:val="24"/>
          <w:szCs w:val="24"/>
        </w:rPr>
        <w:t xml:space="preserve">, </w:t>
      </w:r>
      <w:r w:rsidR="00A16F29">
        <w:rPr>
          <w:sz w:val="24"/>
          <w:szCs w:val="24"/>
        </w:rPr>
        <w:t>Profesor Titular</w:t>
      </w:r>
      <w:r w:rsidRPr="00D1767B">
        <w:rPr>
          <w:sz w:val="24"/>
          <w:szCs w:val="24"/>
        </w:rPr>
        <w:t>, en la Universidad del Desarrollo de Chile</w:t>
      </w:r>
      <w:r w:rsidR="00D21809">
        <w:rPr>
          <w:sz w:val="24"/>
          <w:szCs w:val="24"/>
        </w:rPr>
        <w:t>.</w:t>
      </w:r>
    </w:p>
    <w:p w14:paraId="5B5FB947" w14:textId="09B622D4" w:rsidR="00D1767B" w:rsidRDefault="00D1767B" w:rsidP="00D21809">
      <w:pPr>
        <w:pStyle w:val="Ttulo1"/>
        <w:jc w:val="center"/>
      </w:pPr>
      <w:bookmarkStart w:id="1" w:name="_Toc215418137"/>
      <w:r>
        <w:t>Resumen</w:t>
      </w:r>
      <w:bookmarkEnd w:id="1"/>
    </w:p>
    <w:p w14:paraId="7A4FC42E" w14:textId="749AE25B" w:rsidR="00795218" w:rsidRPr="00C01F6D" w:rsidRDefault="00C01F6D" w:rsidP="00C01F6D">
      <w:pPr>
        <w:jc w:val="both"/>
      </w:pPr>
      <w:r w:rsidRPr="00C01F6D">
        <w:t xml:space="preserve">El </w:t>
      </w:r>
      <w:r w:rsidR="00C225E5">
        <w:t xml:space="preserve">siguiente </w:t>
      </w:r>
      <w:r w:rsidRPr="00C01F6D">
        <w:t xml:space="preserve">trabajo </w:t>
      </w:r>
      <w:r w:rsidR="00042FE7">
        <w:t xml:space="preserve">presenta </w:t>
      </w:r>
      <w:r w:rsidR="00E0212E">
        <w:t xml:space="preserve">un caso de estudio sobre </w:t>
      </w:r>
      <w:r w:rsidRPr="00C01F6D">
        <w:t xml:space="preserve">el levantamiento de la etapa de validación estratégica del Programa Territorial Integrado (PTI) </w:t>
      </w:r>
      <w:proofErr w:type="spellStart"/>
      <w:r w:rsidRPr="00C01F6D">
        <w:t>Tecnofruta</w:t>
      </w:r>
      <w:proofErr w:type="spellEnd"/>
      <w:r w:rsidRPr="00C01F6D">
        <w:t xml:space="preserve"> Biobío, impulsado por CORFO Biobío, como un caso de estudio de gestión territorial aplicada al desarrollo sostenible y competitivo del sector frutícola. El </w:t>
      </w:r>
      <w:r w:rsidR="003C358B">
        <w:t xml:space="preserve">programa </w:t>
      </w:r>
      <w:r w:rsidRPr="00C01F6D">
        <w:t>se enmarca en los programas Fortalece Pyme Los Ángeles (2021–2024)</w:t>
      </w:r>
      <w:r w:rsidR="003C358B">
        <w:t xml:space="preserve"> y el</w:t>
      </w:r>
      <w:r w:rsidRPr="00C01F6D">
        <w:t xml:space="preserve"> </w:t>
      </w:r>
      <w:r w:rsidR="003C358B" w:rsidRPr="00EC5428">
        <w:t>Instrumento de Fomento Integrado (IFI)</w:t>
      </w:r>
      <w:r w:rsidR="003C358B" w:rsidRPr="00DB7A61">
        <w:t xml:space="preserve"> Recuperación sostenible y resiliente de la actividad frutícola de la macrozona centro-sur (Etapa de formulación 2025)</w:t>
      </w:r>
      <w:r w:rsidR="003C358B" w:rsidRPr="00EC5428">
        <w:t xml:space="preserve">, </w:t>
      </w:r>
      <w:r w:rsidRPr="00C01F6D">
        <w:t xml:space="preserve">los cuales entregaron información empírica clave para la identificación de brechas estructurales, tecnológicas y de capital humano del </w:t>
      </w:r>
      <w:r w:rsidRPr="00B643F3">
        <w:t>sector.</w:t>
      </w:r>
      <w:r w:rsidR="004F76CD">
        <w:t xml:space="preserve"> </w:t>
      </w:r>
      <w:r w:rsidR="00B643F3" w:rsidRPr="00134578">
        <w:t>El análisis</w:t>
      </w:r>
      <w:r w:rsidRPr="00134578">
        <w:t xml:space="preserve"> </w:t>
      </w:r>
      <w:r w:rsidRPr="00B643F3">
        <w:t xml:space="preserve">adopta un </w:t>
      </w:r>
      <w:r w:rsidRPr="00C01F6D">
        <w:t>enfoque cualitativo de tipo descriptivo-analítico, basado en el método de estudio de caso</w:t>
      </w:r>
      <w:r w:rsidR="004F76CD">
        <w:t>. C</w:t>
      </w:r>
      <w:r w:rsidRPr="00C01F6D">
        <w:t>onsidera fuentes primarias y secundarias, informes de diagnóstico, estadísticas sectoriales y una reunión con actores relevantes del ecosistema frutícola regional</w:t>
      </w:r>
      <w:r w:rsidR="000D1B86">
        <w:t xml:space="preserve">; </w:t>
      </w:r>
      <w:r w:rsidRPr="00C01F6D">
        <w:t xml:space="preserve">INIA </w:t>
      </w:r>
      <w:proofErr w:type="spellStart"/>
      <w:r w:rsidRPr="00C01F6D">
        <w:t>Quilamapu</w:t>
      </w:r>
      <w:proofErr w:type="spellEnd"/>
      <w:r w:rsidRPr="00C01F6D">
        <w:t xml:space="preserve"> y Grupo GTT</w:t>
      </w:r>
      <w:r w:rsidR="000D1B86">
        <w:t>,</w:t>
      </w:r>
      <w:r w:rsidRPr="00C01F6D">
        <w:t xml:space="preserve"> para validar los hallazgos y fortalecer la pertinencia territorial del análisis.</w:t>
      </w:r>
      <w:r w:rsidR="004F76CD">
        <w:t xml:space="preserve"> </w:t>
      </w:r>
      <w:r w:rsidRPr="00C01F6D">
        <w:t xml:space="preserve">Los resultados </w:t>
      </w:r>
      <w:r w:rsidR="004F76CD">
        <w:t>de la etapa de diagnóstico muestran</w:t>
      </w:r>
      <w:r w:rsidRPr="00C01F6D">
        <w:t xml:space="preserve"> que la fruticultura de la Región del Biobío enfrenta desafíos transversales asociados a la baja digitalización de procesos, déficit de capital humano especializado, escasa articulación territorial y limitada adopción tecnológica, factores que condicionan su sostenibilidad y competitividad frente a los mercados internacionales y al cambio climático. A partir de la validación de estas brechas, el </w:t>
      </w:r>
      <w:r w:rsidR="000D1B86">
        <w:t>estudio</w:t>
      </w:r>
      <w:r w:rsidRPr="00C01F6D">
        <w:t xml:space="preserve"> propone lineamientos para la </w:t>
      </w:r>
      <w:r w:rsidR="000D1B86">
        <w:t xml:space="preserve">formulación de la </w:t>
      </w:r>
      <w:r w:rsidRPr="00C01F6D">
        <w:t xml:space="preserve">etapa de </w:t>
      </w:r>
      <w:r w:rsidR="000D1B86">
        <w:t>validación</w:t>
      </w:r>
      <w:r w:rsidRPr="00C01F6D">
        <w:t xml:space="preserve"> del PTI </w:t>
      </w:r>
      <w:proofErr w:type="spellStart"/>
      <w:r w:rsidRPr="00C01F6D">
        <w:t>Tecnofruta</w:t>
      </w:r>
      <w:proofErr w:type="spellEnd"/>
      <w:r w:rsidRPr="00C01F6D">
        <w:t xml:space="preserve"> Biobío, orientados a consolidar una gobernanza territorial colaborativa, fortalecer las capacidades técnicas y promover la incorporación de tecnologías habilitantes y prácticas sostenibles en la producción frutícola.</w:t>
      </w:r>
      <w:r w:rsidR="004F76CD">
        <w:t xml:space="preserve"> </w:t>
      </w:r>
      <w:r w:rsidRPr="00C01F6D">
        <w:t>El trabajo aporta una mirada aplicada sobre la función estratégica de los instrumentos de fomento de CORFO en la construcción de modelos de gestión territorial sostenibles, y documenta una experiencia inédita de validación liderada internamente por una dirección regional, ofreciendo aprendizajes replicables para otros territorios que buscan impulsar la competitividad de sectores productivos estratégicos mediante la articulación público-privada.</w:t>
      </w:r>
    </w:p>
    <w:p w14:paraId="3A6E50EE" w14:textId="35238816" w:rsidR="00D21809" w:rsidRDefault="00D21809">
      <w:pPr>
        <w:rPr>
          <w:rFonts w:asciiTheme="majorHAnsi" w:eastAsiaTheme="majorEastAsia" w:hAnsiTheme="majorHAnsi" w:cstheme="majorBidi"/>
          <w:color w:val="2F5496" w:themeColor="accent1" w:themeShade="BF"/>
          <w:sz w:val="32"/>
          <w:szCs w:val="32"/>
        </w:rPr>
      </w:pPr>
    </w:p>
    <w:p w14:paraId="2F2894BA" w14:textId="42DE6A27" w:rsidR="00D21809" w:rsidRPr="00D21809" w:rsidRDefault="00D21809">
      <w:pPr>
        <w:rPr>
          <w:rFonts w:asciiTheme="majorHAnsi" w:eastAsiaTheme="majorEastAsia" w:hAnsiTheme="majorHAnsi" w:cstheme="majorBidi"/>
          <w:b/>
          <w:bCs/>
          <w:color w:val="2F5496" w:themeColor="accent1" w:themeShade="BF"/>
          <w:sz w:val="32"/>
          <w:szCs w:val="32"/>
        </w:rPr>
      </w:pPr>
    </w:p>
    <w:p w14:paraId="7782869F" w14:textId="11C48E54" w:rsidR="003300DA" w:rsidRDefault="00D21809" w:rsidP="003300DA">
      <w:pPr>
        <w:jc w:val="both"/>
      </w:pPr>
      <w:r w:rsidRPr="00D21809">
        <w:rPr>
          <w:b/>
          <w:bCs/>
        </w:rPr>
        <w:t>Palabras clave:</w:t>
      </w:r>
      <w:r>
        <w:t xml:space="preserve"> CORFO, Programa Territorial Integrado, Fruticultura, Sostenibilidad, Brechas Tecnológicas, Digitalización Agrícola</w:t>
      </w:r>
      <w:r w:rsidR="00195643">
        <w:t xml:space="preserve"> y</w:t>
      </w:r>
      <w:r>
        <w:t xml:space="preserve"> Gobernanza Territorial. </w:t>
      </w:r>
    </w:p>
    <w:p w14:paraId="77548E6F" w14:textId="77777777" w:rsidR="00824BA5" w:rsidRDefault="00824BA5" w:rsidP="003300DA">
      <w:pPr>
        <w:jc w:val="both"/>
      </w:pPr>
    </w:p>
    <w:p w14:paraId="1657E204" w14:textId="77777777" w:rsidR="00195643" w:rsidRDefault="00195643" w:rsidP="003300DA">
      <w:pPr>
        <w:jc w:val="both"/>
      </w:pPr>
    </w:p>
    <w:p w14:paraId="3C1EAF10" w14:textId="77777777" w:rsidR="003300DA" w:rsidRDefault="00F323FF" w:rsidP="003300DA">
      <w:pPr>
        <w:jc w:val="center"/>
        <w:rPr>
          <w:sz w:val="32"/>
          <w:szCs w:val="32"/>
        </w:rPr>
      </w:pPr>
      <w:r w:rsidRPr="00F323FF">
        <w:rPr>
          <w:sz w:val="32"/>
          <w:szCs w:val="32"/>
        </w:rPr>
        <w:lastRenderedPageBreak/>
        <w:t>HIGHLIGHTS</w:t>
      </w:r>
    </w:p>
    <w:p w14:paraId="00E768D8" w14:textId="663CA581" w:rsidR="00F323FF" w:rsidRDefault="00F323FF" w:rsidP="003300DA">
      <w:pPr>
        <w:jc w:val="center"/>
      </w:pPr>
      <w:r>
        <w:t xml:space="preserve">Desarrollo sostenible y competitivo del sector frutícola: Caso de estudio del Programa Territorial Integrado </w:t>
      </w:r>
      <w:proofErr w:type="spellStart"/>
      <w:r>
        <w:t>Tecnofruta</w:t>
      </w:r>
      <w:proofErr w:type="spellEnd"/>
      <w:r>
        <w:t xml:space="preserve"> Biobío.</w:t>
      </w:r>
    </w:p>
    <w:p w14:paraId="3FA623F9" w14:textId="77777777" w:rsidR="00906705" w:rsidRPr="00947827" w:rsidRDefault="00906705" w:rsidP="003300DA">
      <w:pPr>
        <w:jc w:val="center"/>
      </w:pPr>
    </w:p>
    <w:p w14:paraId="2D7247DC" w14:textId="4D1715A6" w:rsidR="00906705" w:rsidRPr="00906705" w:rsidRDefault="00906705" w:rsidP="00906705">
      <w:pPr>
        <w:pStyle w:val="Prrafodelista"/>
        <w:numPr>
          <w:ilvl w:val="0"/>
          <w:numId w:val="34"/>
        </w:numPr>
        <w:jc w:val="both"/>
      </w:pPr>
      <w:r w:rsidRPr="00947827">
        <w:t>Ana</w:t>
      </w:r>
      <w:r w:rsidR="001556A0" w:rsidRPr="00947827">
        <w:t>liza</w:t>
      </w:r>
      <w:r w:rsidR="00093B4F" w:rsidRPr="00947827">
        <w:t xml:space="preserve"> antecedentes del sector frutícola de la Región del Biobío, para</w:t>
      </w:r>
      <w:r w:rsidRPr="00947827">
        <w:t xml:space="preserve"> el levantamiento </w:t>
      </w:r>
      <w:r w:rsidRPr="00906705">
        <w:t xml:space="preserve">de la etapa de validación estratégica del PTI </w:t>
      </w:r>
      <w:proofErr w:type="spellStart"/>
      <w:r w:rsidRPr="00906705">
        <w:t>Tecnofruta</w:t>
      </w:r>
      <w:proofErr w:type="spellEnd"/>
      <w:r w:rsidRPr="00906705">
        <w:t xml:space="preserve"> Biobío, </w:t>
      </w:r>
      <w:r w:rsidR="00CC7450">
        <w:t>ejecutada</w:t>
      </w:r>
      <w:r w:rsidRPr="00906705">
        <w:t xml:space="preserve"> por CORFO Biobío.</w:t>
      </w:r>
    </w:p>
    <w:p w14:paraId="4E419347" w14:textId="575AA6A4" w:rsidR="00906705" w:rsidRPr="00906705" w:rsidRDefault="00906705" w:rsidP="00637386">
      <w:pPr>
        <w:pStyle w:val="Prrafodelista"/>
        <w:numPr>
          <w:ilvl w:val="0"/>
          <w:numId w:val="34"/>
        </w:numPr>
        <w:jc w:val="both"/>
      </w:pPr>
      <w:r w:rsidRPr="00906705">
        <w:t>Integra los resultados de los programas Fortalece Pyme Los Ángeles e IFI Recuperación Frutícola, que identificaron brechas críticas del sector.</w:t>
      </w:r>
      <w:r w:rsidR="00637386">
        <w:t xml:space="preserve"> </w:t>
      </w:r>
      <w:r w:rsidRPr="00906705">
        <w:t xml:space="preserve">Incorpora la validación participativa de </w:t>
      </w:r>
      <w:r w:rsidR="003111DA">
        <w:t xml:space="preserve">las </w:t>
      </w:r>
      <w:r w:rsidRPr="00906705">
        <w:t>brechas mediante</w:t>
      </w:r>
      <w:r w:rsidR="003111DA">
        <w:t xml:space="preserve"> una</w:t>
      </w:r>
      <w:r w:rsidRPr="00906705">
        <w:t xml:space="preserve"> reunión con INIA </w:t>
      </w:r>
      <w:proofErr w:type="spellStart"/>
      <w:r w:rsidRPr="00906705">
        <w:t>Quilamapu</w:t>
      </w:r>
      <w:proofErr w:type="spellEnd"/>
      <w:r w:rsidRPr="00906705">
        <w:t xml:space="preserve"> y Grupo GTT, actores clave del ecosistema frutícola regional.</w:t>
      </w:r>
    </w:p>
    <w:p w14:paraId="44BBF03F" w14:textId="17614EAF" w:rsidR="00906705" w:rsidRPr="00906705" w:rsidRDefault="00906705" w:rsidP="00906705">
      <w:pPr>
        <w:pStyle w:val="Prrafodelista"/>
        <w:numPr>
          <w:ilvl w:val="0"/>
          <w:numId w:val="34"/>
        </w:numPr>
        <w:jc w:val="both"/>
      </w:pPr>
      <w:r w:rsidRPr="00906705">
        <w:t xml:space="preserve">Propone lineamientos para la formulación del PTI </w:t>
      </w:r>
      <w:proofErr w:type="spellStart"/>
      <w:r w:rsidRPr="00906705">
        <w:t>Tecnofruta</w:t>
      </w:r>
      <w:proofErr w:type="spellEnd"/>
      <w:r w:rsidRPr="00906705">
        <w:t xml:space="preserve"> Biobío, centrados en </w:t>
      </w:r>
      <w:r w:rsidR="003111DA">
        <w:t xml:space="preserve">la </w:t>
      </w:r>
      <w:r w:rsidRPr="00906705">
        <w:t xml:space="preserve">digitalización, </w:t>
      </w:r>
      <w:r w:rsidR="003111DA">
        <w:t xml:space="preserve">la </w:t>
      </w:r>
      <w:r w:rsidRPr="00906705">
        <w:t>tec</w:t>
      </w:r>
      <w:r w:rsidR="00637386">
        <w:t>nologización</w:t>
      </w:r>
      <w:r w:rsidRPr="00906705">
        <w:t xml:space="preserve"> y</w:t>
      </w:r>
      <w:r w:rsidR="003111DA">
        <w:t xml:space="preserve"> el</w:t>
      </w:r>
      <w:r w:rsidRPr="00906705">
        <w:t xml:space="preserve"> fortalecimiento del capital humano.</w:t>
      </w:r>
    </w:p>
    <w:p w14:paraId="504FE18F" w14:textId="6E9240D7" w:rsidR="00F323FF" w:rsidRDefault="00906705" w:rsidP="00A718A5">
      <w:pPr>
        <w:pStyle w:val="Prrafodelista"/>
        <w:numPr>
          <w:ilvl w:val="0"/>
          <w:numId w:val="34"/>
        </w:numPr>
        <w:jc w:val="both"/>
      </w:pPr>
      <w:r w:rsidRPr="00906705">
        <w:t>Aporta evidencia sobre la importancia de la gobernanza territorial y la coordinación público-privada en la gestión de programas de desarrollo regional.</w:t>
      </w:r>
    </w:p>
    <w:p w14:paraId="232EEBCE" w14:textId="77777777" w:rsidR="00F323FF" w:rsidRDefault="00F323FF" w:rsidP="00A718A5">
      <w:pPr>
        <w:pStyle w:val="Ttulo1"/>
      </w:pPr>
    </w:p>
    <w:p w14:paraId="0A8C74A0" w14:textId="77777777" w:rsidR="00F323FF" w:rsidRDefault="00F323FF" w:rsidP="00A718A5">
      <w:pPr>
        <w:pStyle w:val="Ttulo1"/>
      </w:pPr>
    </w:p>
    <w:p w14:paraId="11EBB3ED" w14:textId="288C6450" w:rsidR="003300DA" w:rsidRDefault="003300DA" w:rsidP="003300DA"/>
    <w:p w14:paraId="2CF129A1" w14:textId="3AD6D3CA" w:rsidR="00906705" w:rsidRDefault="00906705" w:rsidP="003300DA"/>
    <w:p w14:paraId="5E87BF1A" w14:textId="3DF42719" w:rsidR="00224775" w:rsidRDefault="00224775" w:rsidP="003300DA"/>
    <w:p w14:paraId="759706FE" w14:textId="67319462" w:rsidR="00906705" w:rsidRDefault="00906705" w:rsidP="003300DA"/>
    <w:p w14:paraId="74165335" w14:textId="17830FC4" w:rsidR="00224775" w:rsidRDefault="00224775" w:rsidP="003300DA"/>
    <w:p w14:paraId="1A00A141" w14:textId="2537064B" w:rsidR="00224775" w:rsidRDefault="00224775" w:rsidP="003300DA"/>
    <w:p w14:paraId="4AF93041" w14:textId="54BD129E" w:rsidR="00224775" w:rsidRDefault="00224775" w:rsidP="003300DA"/>
    <w:p w14:paraId="74800B8A" w14:textId="6F47ACA9" w:rsidR="00224775" w:rsidRDefault="00224775" w:rsidP="003300DA"/>
    <w:p w14:paraId="2BB7AF3B" w14:textId="40CA2A33" w:rsidR="00224775" w:rsidRDefault="00224775" w:rsidP="003300DA"/>
    <w:p w14:paraId="26C1B01C" w14:textId="6F8DE3E2" w:rsidR="00224775" w:rsidRDefault="00224775" w:rsidP="003300DA"/>
    <w:p w14:paraId="316C3A68" w14:textId="20097170" w:rsidR="00224775" w:rsidRDefault="00224775" w:rsidP="003300DA"/>
    <w:p w14:paraId="7AF9ED20" w14:textId="77777777" w:rsidR="00E077D5" w:rsidRDefault="00E077D5" w:rsidP="003300DA"/>
    <w:p w14:paraId="25519E5F" w14:textId="47355D55" w:rsidR="00224775" w:rsidRDefault="00224775" w:rsidP="003300DA"/>
    <w:p w14:paraId="654A4FE8" w14:textId="6EE862CD" w:rsidR="00224775" w:rsidRDefault="00224775" w:rsidP="003300DA"/>
    <w:p w14:paraId="64234569" w14:textId="382ABF90" w:rsidR="00224775" w:rsidRDefault="00224775" w:rsidP="003300DA"/>
    <w:p w14:paraId="6CF22107" w14:textId="132F2964" w:rsidR="00224775" w:rsidRDefault="00224775" w:rsidP="003300DA"/>
    <w:sdt>
      <w:sdtPr>
        <w:rPr>
          <w:rFonts w:asciiTheme="minorHAnsi" w:eastAsiaTheme="minorHAnsi" w:hAnsiTheme="minorHAnsi" w:cstheme="minorBidi"/>
          <w:color w:val="auto"/>
          <w:sz w:val="22"/>
          <w:szCs w:val="22"/>
          <w:lang w:val="es-ES" w:eastAsia="en-US"/>
        </w:rPr>
        <w:id w:val="-1336992768"/>
        <w:docPartObj>
          <w:docPartGallery w:val="Table of Contents"/>
          <w:docPartUnique/>
        </w:docPartObj>
      </w:sdtPr>
      <w:sdtEndPr>
        <w:rPr>
          <w:b/>
          <w:bCs/>
        </w:rPr>
      </w:sdtEndPr>
      <w:sdtContent>
        <w:p w14:paraId="22DC5D84" w14:textId="198681A2" w:rsidR="00224775" w:rsidRPr="003D54C9" w:rsidRDefault="00224775">
          <w:pPr>
            <w:pStyle w:val="TtuloTDC"/>
          </w:pPr>
          <w:r w:rsidRPr="003D54C9">
            <w:rPr>
              <w:lang w:val="es-ES"/>
            </w:rPr>
            <w:t>Contenido</w:t>
          </w:r>
        </w:p>
        <w:p w14:paraId="5D1353B1" w14:textId="3732D699" w:rsidR="00224775" w:rsidRPr="003D54C9" w:rsidRDefault="00224775" w:rsidP="00224775">
          <w:pPr>
            <w:pStyle w:val="TDC2"/>
            <w:tabs>
              <w:tab w:val="right" w:leader="dot" w:pos="8828"/>
            </w:tabs>
            <w:ind w:left="0"/>
            <w:rPr>
              <w:noProof/>
            </w:rPr>
          </w:pPr>
          <w:r w:rsidRPr="003D54C9">
            <w:fldChar w:fldCharType="begin"/>
          </w:r>
          <w:r w:rsidRPr="003D54C9">
            <w:instrText xml:space="preserve"> TOC \o "1-3" \h \z \u </w:instrText>
          </w:r>
          <w:r w:rsidRPr="003D54C9">
            <w:fldChar w:fldCharType="separate"/>
          </w:r>
          <w:hyperlink w:anchor="_Toc215418136" w:history="1">
            <w:r w:rsidRPr="003D54C9">
              <w:rPr>
                <w:rStyle w:val="Hipervnculo"/>
                <w:noProof/>
              </w:rPr>
              <w:t>Declaración de Originalidad</w:t>
            </w:r>
            <w:r w:rsidRPr="003D54C9">
              <w:rPr>
                <w:noProof/>
                <w:webHidden/>
              </w:rPr>
              <w:tab/>
            </w:r>
            <w:r w:rsidRPr="003D54C9">
              <w:rPr>
                <w:noProof/>
                <w:webHidden/>
              </w:rPr>
              <w:fldChar w:fldCharType="begin"/>
            </w:r>
            <w:r w:rsidRPr="003D54C9">
              <w:rPr>
                <w:noProof/>
                <w:webHidden/>
              </w:rPr>
              <w:instrText xml:space="preserve"> PAGEREF _Toc215418136 \h </w:instrText>
            </w:r>
            <w:r w:rsidRPr="003D54C9">
              <w:rPr>
                <w:noProof/>
                <w:webHidden/>
              </w:rPr>
            </w:r>
            <w:r w:rsidRPr="003D54C9">
              <w:rPr>
                <w:noProof/>
                <w:webHidden/>
              </w:rPr>
              <w:fldChar w:fldCharType="separate"/>
            </w:r>
            <w:r w:rsidR="003A4918">
              <w:rPr>
                <w:noProof/>
                <w:webHidden/>
              </w:rPr>
              <w:t>2</w:t>
            </w:r>
            <w:r w:rsidRPr="003D54C9">
              <w:rPr>
                <w:noProof/>
                <w:webHidden/>
              </w:rPr>
              <w:fldChar w:fldCharType="end"/>
            </w:r>
          </w:hyperlink>
        </w:p>
        <w:p w14:paraId="497E9527" w14:textId="7391F062" w:rsidR="00224775" w:rsidRPr="003D54C9" w:rsidRDefault="00224775">
          <w:pPr>
            <w:pStyle w:val="TDC1"/>
            <w:tabs>
              <w:tab w:val="right" w:leader="dot" w:pos="8828"/>
            </w:tabs>
            <w:rPr>
              <w:noProof/>
            </w:rPr>
          </w:pPr>
          <w:hyperlink w:anchor="_Toc215418137" w:history="1">
            <w:r w:rsidRPr="003D54C9">
              <w:rPr>
                <w:rStyle w:val="Hipervnculo"/>
                <w:noProof/>
              </w:rPr>
              <w:t>Resumen</w:t>
            </w:r>
            <w:r w:rsidRPr="003D54C9">
              <w:rPr>
                <w:noProof/>
                <w:webHidden/>
              </w:rPr>
              <w:tab/>
            </w:r>
            <w:r w:rsidRPr="003D54C9">
              <w:rPr>
                <w:noProof/>
                <w:webHidden/>
              </w:rPr>
              <w:fldChar w:fldCharType="begin"/>
            </w:r>
            <w:r w:rsidRPr="003D54C9">
              <w:rPr>
                <w:noProof/>
                <w:webHidden/>
              </w:rPr>
              <w:instrText xml:space="preserve"> PAGEREF _Toc215418137 \h </w:instrText>
            </w:r>
            <w:r w:rsidRPr="003D54C9">
              <w:rPr>
                <w:noProof/>
                <w:webHidden/>
              </w:rPr>
            </w:r>
            <w:r w:rsidRPr="003D54C9">
              <w:rPr>
                <w:noProof/>
                <w:webHidden/>
              </w:rPr>
              <w:fldChar w:fldCharType="separate"/>
            </w:r>
            <w:r w:rsidR="003A4918">
              <w:rPr>
                <w:noProof/>
                <w:webHidden/>
              </w:rPr>
              <w:t>4</w:t>
            </w:r>
            <w:r w:rsidRPr="003D54C9">
              <w:rPr>
                <w:noProof/>
                <w:webHidden/>
              </w:rPr>
              <w:fldChar w:fldCharType="end"/>
            </w:r>
          </w:hyperlink>
        </w:p>
        <w:p w14:paraId="182CC992" w14:textId="1A4A86FC" w:rsidR="00224775" w:rsidRPr="003D54C9" w:rsidRDefault="00224775">
          <w:pPr>
            <w:pStyle w:val="TDC1"/>
            <w:tabs>
              <w:tab w:val="right" w:leader="dot" w:pos="8828"/>
            </w:tabs>
            <w:rPr>
              <w:noProof/>
            </w:rPr>
          </w:pPr>
          <w:hyperlink w:anchor="_Toc215418138" w:history="1">
            <w:r w:rsidRPr="003D54C9">
              <w:rPr>
                <w:rStyle w:val="Hipervnculo"/>
                <w:noProof/>
              </w:rPr>
              <w:t>Introducción</w:t>
            </w:r>
            <w:r w:rsidRPr="003D54C9">
              <w:rPr>
                <w:noProof/>
                <w:webHidden/>
              </w:rPr>
              <w:tab/>
            </w:r>
            <w:r w:rsidRPr="003D54C9">
              <w:rPr>
                <w:noProof/>
                <w:webHidden/>
              </w:rPr>
              <w:fldChar w:fldCharType="begin"/>
            </w:r>
            <w:r w:rsidRPr="003D54C9">
              <w:rPr>
                <w:noProof/>
                <w:webHidden/>
              </w:rPr>
              <w:instrText xml:space="preserve"> PAGEREF _Toc215418138 \h </w:instrText>
            </w:r>
            <w:r w:rsidRPr="003D54C9">
              <w:rPr>
                <w:noProof/>
                <w:webHidden/>
              </w:rPr>
            </w:r>
            <w:r w:rsidRPr="003D54C9">
              <w:rPr>
                <w:noProof/>
                <w:webHidden/>
              </w:rPr>
              <w:fldChar w:fldCharType="separate"/>
            </w:r>
            <w:r w:rsidR="003A4918">
              <w:rPr>
                <w:noProof/>
                <w:webHidden/>
              </w:rPr>
              <w:t>7</w:t>
            </w:r>
            <w:r w:rsidRPr="003D54C9">
              <w:rPr>
                <w:noProof/>
                <w:webHidden/>
              </w:rPr>
              <w:fldChar w:fldCharType="end"/>
            </w:r>
          </w:hyperlink>
        </w:p>
        <w:p w14:paraId="093D95B2" w14:textId="1F1EF61A" w:rsidR="00224775" w:rsidRPr="003D54C9" w:rsidRDefault="00224775">
          <w:pPr>
            <w:pStyle w:val="TDC1"/>
            <w:tabs>
              <w:tab w:val="right" w:leader="dot" w:pos="8828"/>
            </w:tabs>
            <w:rPr>
              <w:noProof/>
            </w:rPr>
          </w:pPr>
          <w:hyperlink w:anchor="_Toc215418139" w:history="1">
            <w:r w:rsidRPr="003D54C9">
              <w:rPr>
                <w:rStyle w:val="Hipervnculo"/>
                <w:noProof/>
              </w:rPr>
              <w:t>Consideraciones iniciales</w:t>
            </w:r>
            <w:r w:rsidRPr="003D54C9">
              <w:rPr>
                <w:noProof/>
                <w:webHidden/>
              </w:rPr>
              <w:tab/>
            </w:r>
            <w:r w:rsidRPr="003D54C9">
              <w:rPr>
                <w:noProof/>
                <w:webHidden/>
              </w:rPr>
              <w:fldChar w:fldCharType="begin"/>
            </w:r>
            <w:r w:rsidRPr="003D54C9">
              <w:rPr>
                <w:noProof/>
                <w:webHidden/>
              </w:rPr>
              <w:instrText xml:space="preserve"> PAGEREF _Toc215418139 \h </w:instrText>
            </w:r>
            <w:r w:rsidRPr="003D54C9">
              <w:rPr>
                <w:noProof/>
                <w:webHidden/>
              </w:rPr>
            </w:r>
            <w:r w:rsidRPr="003D54C9">
              <w:rPr>
                <w:noProof/>
                <w:webHidden/>
              </w:rPr>
              <w:fldChar w:fldCharType="separate"/>
            </w:r>
            <w:r w:rsidR="003A4918">
              <w:rPr>
                <w:noProof/>
                <w:webHidden/>
              </w:rPr>
              <w:t>9</w:t>
            </w:r>
            <w:r w:rsidRPr="003D54C9">
              <w:rPr>
                <w:noProof/>
                <w:webHidden/>
              </w:rPr>
              <w:fldChar w:fldCharType="end"/>
            </w:r>
          </w:hyperlink>
        </w:p>
        <w:p w14:paraId="1AA49539" w14:textId="3E13121E" w:rsidR="00224775" w:rsidRPr="003D54C9" w:rsidRDefault="00224775">
          <w:pPr>
            <w:pStyle w:val="TDC2"/>
            <w:tabs>
              <w:tab w:val="right" w:leader="dot" w:pos="8828"/>
            </w:tabs>
            <w:rPr>
              <w:noProof/>
            </w:rPr>
          </w:pPr>
          <w:hyperlink w:anchor="_Toc215418140" w:history="1">
            <w:r w:rsidRPr="003D54C9">
              <w:rPr>
                <w:rStyle w:val="Hipervnculo"/>
                <w:noProof/>
              </w:rPr>
              <w:t>Estado de la fruticultura regional</w:t>
            </w:r>
            <w:r w:rsidRPr="003D54C9">
              <w:rPr>
                <w:noProof/>
                <w:webHidden/>
              </w:rPr>
              <w:tab/>
            </w:r>
            <w:r w:rsidRPr="003D54C9">
              <w:rPr>
                <w:noProof/>
                <w:webHidden/>
              </w:rPr>
              <w:fldChar w:fldCharType="begin"/>
            </w:r>
            <w:r w:rsidRPr="003D54C9">
              <w:rPr>
                <w:noProof/>
                <w:webHidden/>
              </w:rPr>
              <w:instrText xml:space="preserve"> PAGEREF _Toc215418140 \h </w:instrText>
            </w:r>
            <w:r w:rsidRPr="003D54C9">
              <w:rPr>
                <w:noProof/>
                <w:webHidden/>
              </w:rPr>
            </w:r>
            <w:r w:rsidRPr="003D54C9">
              <w:rPr>
                <w:noProof/>
                <w:webHidden/>
              </w:rPr>
              <w:fldChar w:fldCharType="separate"/>
            </w:r>
            <w:r w:rsidR="003A4918">
              <w:rPr>
                <w:noProof/>
                <w:webHidden/>
              </w:rPr>
              <w:t>9</w:t>
            </w:r>
            <w:r w:rsidRPr="003D54C9">
              <w:rPr>
                <w:noProof/>
                <w:webHidden/>
              </w:rPr>
              <w:fldChar w:fldCharType="end"/>
            </w:r>
          </w:hyperlink>
        </w:p>
        <w:p w14:paraId="36FD7117" w14:textId="44A39FFF" w:rsidR="00224775" w:rsidRPr="003D54C9" w:rsidRDefault="00224775">
          <w:pPr>
            <w:pStyle w:val="TDC2"/>
            <w:tabs>
              <w:tab w:val="right" w:leader="dot" w:pos="8828"/>
            </w:tabs>
            <w:rPr>
              <w:noProof/>
            </w:rPr>
          </w:pPr>
          <w:hyperlink w:anchor="_Toc215418141" w:history="1">
            <w:r w:rsidRPr="003D54C9">
              <w:rPr>
                <w:rStyle w:val="Hipervnculo"/>
                <w:noProof/>
              </w:rPr>
              <w:t>Fruticultura en la Provincia de Biobío</w:t>
            </w:r>
            <w:r w:rsidRPr="003D54C9">
              <w:rPr>
                <w:noProof/>
                <w:webHidden/>
              </w:rPr>
              <w:tab/>
            </w:r>
            <w:r w:rsidRPr="003D54C9">
              <w:rPr>
                <w:noProof/>
                <w:webHidden/>
              </w:rPr>
              <w:fldChar w:fldCharType="begin"/>
            </w:r>
            <w:r w:rsidRPr="003D54C9">
              <w:rPr>
                <w:noProof/>
                <w:webHidden/>
              </w:rPr>
              <w:instrText xml:space="preserve"> PAGEREF _Toc215418141 \h </w:instrText>
            </w:r>
            <w:r w:rsidRPr="003D54C9">
              <w:rPr>
                <w:noProof/>
                <w:webHidden/>
              </w:rPr>
            </w:r>
            <w:r w:rsidRPr="003D54C9">
              <w:rPr>
                <w:noProof/>
                <w:webHidden/>
              </w:rPr>
              <w:fldChar w:fldCharType="separate"/>
            </w:r>
            <w:r w:rsidR="003A4918">
              <w:rPr>
                <w:noProof/>
                <w:webHidden/>
              </w:rPr>
              <w:t>10</w:t>
            </w:r>
            <w:r w:rsidRPr="003D54C9">
              <w:rPr>
                <w:noProof/>
                <w:webHidden/>
              </w:rPr>
              <w:fldChar w:fldCharType="end"/>
            </w:r>
          </w:hyperlink>
        </w:p>
        <w:p w14:paraId="33E860D7" w14:textId="6314BEEC" w:rsidR="00224775" w:rsidRPr="003D54C9" w:rsidRDefault="00224775">
          <w:pPr>
            <w:pStyle w:val="TDC2"/>
            <w:tabs>
              <w:tab w:val="right" w:leader="dot" w:pos="8828"/>
            </w:tabs>
            <w:rPr>
              <w:noProof/>
            </w:rPr>
          </w:pPr>
          <w:hyperlink w:anchor="_Toc215418142" w:history="1">
            <w:r w:rsidRPr="003D54C9">
              <w:rPr>
                <w:rStyle w:val="Hipervnculo"/>
                <w:noProof/>
              </w:rPr>
              <w:t>Oportunidades y amenazas de la fruticultura en la Región del Biobío</w:t>
            </w:r>
            <w:r w:rsidRPr="003D54C9">
              <w:rPr>
                <w:noProof/>
                <w:webHidden/>
              </w:rPr>
              <w:tab/>
            </w:r>
            <w:r w:rsidRPr="003D54C9">
              <w:rPr>
                <w:noProof/>
                <w:webHidden/>
              </w:rPr>
              <w:fldChar w:fldCharType="begin"/>
            </w:r>
            <w:r w:rsidRPr="003D54C9">
              <w:rPr>
                <w:noProof/>
                <w:webHidden/>
              </w:rPr>
              <w:instrText xml:space="preserve"> PAGEREF _Toc215418142 \h </w:instrText>
            </w:r>
            <w:r w:rsidRPr="003D54C9">
              <w:rPr>
                <w:noProof/>
                <w:webHidden/>
              </w:rPr>
            </w:r>
            <w:r w:rsidRPr="003D54C9">
              <w:rPr>
                <w:noProof/>
                <w:webHidden/>
              </w:rPr>
              <w:fldChar w:fldCharType="separate"/>
            </w:r>
            <w:r w:rsidR="003A4918">
              <w:rPr>
                <w:noProof/>
                <w:webHidden/>
              </w:rPr>
              <w:t>11</w:t>
            </w:r>
            <w:r w:rsidRPr="003D54C9">
              <w:rPr>
                <w:noProof/>
                <w:webHidden/>
              </w:rPr>
              <w:fldChar w:fldCharType="end"/>
            </w:r>
          </w:hyperlink>
        </w:p>
        <w:p w14:paraId="74D7D7A4" w14:textId="02ECB03B" w:rsidR="00224775" w:rsidRPr="003D54C9" w:rsidRDefault="00224775">
          <w:pPr>
            <w:pStyle w:val="TDC1"/>
            <w:tabs>
              <w:tab w:val="right" w:leader="dot" w:pos="8828"/>
            </w:tabs>
            <w:rPr>
              <w:noProof/>
            </w:rPr>
          </w:pPr>
          <w:hyperlink w:anchor="_Toc215418143" w:history="1">
            <w:r w:rsidRPr="003D54C9">
              <w:rPr>
                <w:rStyle w:val="Hipervnculo"/>
                <w:noProof/>
              </w:rPr>
              <w:t>CORFO y fruticultura</w:t>
            </w:r>
            <w:r w:rsidRPr="003D54C9">
              <w:rPr>
                <w:noProof/>
                <w:webHidden/>
              </w:rPr>
              <w:tab/>
            </w:r>
            <w:r w:rsidRPr="003D54C9">
              <w:rPr>
                <w:noProof/>
                <w:webHidden/>
              </w:rPr>
              <w:fldChar w:fldCharType="begin"/>
            </w:r>
            <w:r w:rsidRPr="003D54C9">
              <w:rPr>
                <w:noProof/>
                <w:webHidden/>
              </w:rPr>
              <w:instrText xml:space="preserve"> PAGEREF _Toc215418143 \h </w:instrText>
            </w:r>
            <w:r w:rsidRPr="003D54C9">
              <w:rPr>
                <w:noProof/>
                <w:webHidden/>
              </w:rPr>
            </w:r>
            <w:r w:rsidRPr="003D54C9">
              <w:rPr>
                <w:noProof/>
                <w:webHidden/>
              </w:rPr>
              <w:fldChar w:fldCharType="separate"/>
            </w:r>
            <w:r w:rsidR="003A4918">
              <w:rPr>
                <w:noProof/>
                <w:webHidden/>
              </w:rPr>
              <w:t>13</w:t>
            </w:r>
            <w:r w:rsidRPr="003D54C9">
              <w:rPr>
                <w:noProof/>
                <w:webHidden/>
              </w:rPr>
              <w:fldChar w:fldCharType="end"/>
            </w:r>
          </w:hyperlink>
        </w:p>
        <w:p w14:paraId="1778AFFB" w14:textId="7F368374" w:rsidR="00224775" w:rsidRPr="003D54C9" w:rsidRDefault="00224775">
          <w:pPr>
            <w:pStyle w:val="TDC2"/>
            <w:tabs>
              <w:tab w:val="right" w:leader="dot" w:pos="8828"/>
            </w:tabs>
            <w:rPr>
              <w:noProof/>
            </w:rPr>
          </w:pPr>
          <w:hyperlink w:anchor="_Toc215418144" w:history="1">
            <w:r w:rsidRPr="003D54C9">
              <w:rPr>
                <w:rStyle w:val="Hipervnculo"/>
                <w:noProof/>
              </w:rPr>
              <w:t>CORFO Biobío y su contribución a la fruticultura regional</w:t>
            </w:r>
            <w:r w:rsidRPr="003D54C9">
              <w:rPr>
                <w:noProof/>
                <w:webHidden/>
              </w:rPr>
              <w:tab/>
            </w:r>
            <w:r w:rsidRPr="003D54C9">
              <w:rPr>
                <w:noProof/>
                <w:webHidden/>
              </w:rPr>
              <w:fldChar w:fldCharType="begin"/>
            </w:r>
            <w:r w:rsidRPr="003D54C9">
              <w:rPr>
                <w:noProof/>
                <w:webHidden/>
              </w:rPr>
              <w:instrText xml:space="preserve"> PAGEREF _Toc215418144 \h </w:instrText>
            </w:r>
            <w:r w:rsidRPr="003D54C9">
              <w:rPr>
                <w:noProof/>
                <w:webHidden/>
              </w:rPr>
            </w:r>
            <w:r w:rsidRPr="003D54C9">
              <w:rPr>
                <w:noProof/>
                <w:webHidden/>
              </w:rPr>
              <w:fldChar w:fldCharType="separate"/>
            </w:r>
            <w:r w:rsidR="003A4918">
              <w:rPr>
                <w:noProof/>
                <w:webHidden/>
              </w:rPr>
              <w:t>14</w:t>
            </w:r>
            <w:r w:rsidRPr="003D54C9">
              <w:rPr>
                <w:noProof/>
                <w:webHidden/>
              </w:rPr>
              <w:fldChar w:fldCharType="end"/>
            </w:r>
          </w:hyperlink>
        </w:p>
        <w:p w14:paraId="0C03FE56" w14:textId="52B2737B" w:rsidR="00224775" w:rsidRPr="003D54C9" w:rsidRDefault="00224775">
          <w:pPr>
            <w:pStyle w:val="TDC1"/>
            <w:tabs>
              <w:tab w:val="right" w:leader="dot" w:pos="8828"/>
            </w:tabs>
            <w:rPr>
              <w:noProof/>
            </w:rPr>
          </w:pPr>
          <w:hyperlink w:anchor="_Toc215418145" w:history="1">
            <w:r w:rsidRPr="003D54C9">
              <w:rPr>
                <w:rStyle w:val="Hipervnculo"/>
                <w:noProof/>
              </w:rPr>
              <w:t>Metodología:</w:t>
            </w:r>
            <w:r w:rsidRPr="003D54C9">
              <w:rPr>
                <w:noProof/>
                <w:webHidden/>
              </w:rPr>
              <w:tab/>
            </w:r>
            <w:r w:rsidRPr="003D54C9">
              <w:rPr>
                <w:noProof/>
                <w:webHidden/>
              </w:rPr>
              <w:fldChar w:fldCharType="begin"/>
            </w:r>
            <w:r w:rsidRPr="003D54C9">
              <w:rPr>
                <w:noProof/>
                <w:webHidden/>
              </w:rPr>
              <w:instrText xml:space="preserve"> PAGEREF _Toc215418145 \h </w:instrText>
            </w:r>
            <w:r w:rsidRPr="003D54C9">
              <w:rPr>
                <w:noProof/>
                <w:webHidden/>
              </w:rPr>
            </w:r>
            <w:r w:rsidRPr="003D54C9">
              <w:rPr>
                <w:noProof/>
                <w:webHidden/>
              </w:rPr>
              <w:fldChar w:fldCharType="separate"/>
            </w:r>
            <w:r w:rsidR="003A4918">
              <w:rPr>
                <w:noProof/>
                <w:webHidden/>
              </w:rPr>
              <w:t>19</w:t>
            </w:r>
            <w:r w:rsidRPr="003D54C9">
              <w:rPr>
                <w:noProof/>
                <w:webHidden/>
              </w:rPr>
              <w:fldChar w:fldCharType="end"/>
            </w:r>
          </w:hyperlink>
        </w:p>
        <w:p w14:paraId="1040EE08" w14:textId="13DDFD1B" w:rsidR="00224775" w:rsidRPr="003D54C9" w:rsidRDefault="00224775">
          <w:pPr>
            <w:pStyle w:val="TDC1"/>
            <w:tabs>
              <w:tab w:val="right" w:leader="dot" w:pos="8828"/>
            </w:tabs>
            <w:rPr>
              <w:noProof/>
            </w:rPr>
          </w:pPr>
          <w:hyperlink w:anchor="_Toc215418146" w:history="1">
            <w:r w:rsidRPr="003D54C9">
              <w:rPr>
                <w:rStyle w:val="Hipervnculo"/>
                <w:noProof/>
              </w:rPr>
              <w:t>Resultados: Programa Territorial Integrado Tecnofruta Biobío</w:t>
            </w:r>
            <w:r w:rsidRPr="003D54C9">
              <w:rPr>
                <w:noProof/>
                <w:webHidden/>
              </w:rPr>
              <w:tab/>
            </w:r>
            <w:r w:rsidRPr="003D54C9">
              <w:rPr>
                <w:noProof/>
                <w:webHidden/>
              </w:rPr>
              <w:fldChar w:fldCharType="begin"/>
            </w:r>
            <w:r w:rsidRPr="003D54C9">
              <w:rPr>
                <w:noProof/>
                <w:webHidden/>
              </w:rPr>
              <w:instrText xml:space="preserve"> PAGEREF _Toc215418146 \h </w:instrText>
            </w:r>
            <w:r w:rsidRPr="003D54C9">
              <w:rPr>
                <w:noProof/>
                <w:webHidden/>
              </w:rPr>
            </w:r>
            <w:r w:rsidRPr="003D54C9">
              <w:rPr>
                <w:noProof/>
                <w:webHidden/>
              </w:rPr>
              <w:fldChar w:fldCharType="separate"/>
            </w:r>
            <w:r w:rsidR="003A4918">
              <w:rPr>
                <w:noProof/>
                <w:webHidden/>
              </w:rPr>
              <w:t>20</w:t>
            </w:r>
            <w:r w:rsidRPr="003D54C9">
              <w:rPr>
                <w:noProof/>
                <w:webHidden/>
              </w:rPr>
              <w:fldChar w:fldCharType="end"/>
            </w:r>
          </w:hyperlink>
        </w:p>
        <w:p w14:paraId="25F852A5" w14:textId="2D342357" w:rsidR="00224775" w:rsidRPr="003D54C9" w:rsidRDefault="00224775">
          <w:pPr>
            <w:pStyle w:val="TDC2"/>
            <w:tabs>
              <w:tab w:val="right" w:leader="dot" w:pos="8828"/>
            </w:tabs>
            <w:rPr>
              <w:noProof/>
            </w:rPr>
          </w:pPr>
          <w:hyperlink w:anchor="_Toc215418147" w:history="1">
            <w:r w:rsidRPr="003D54C9">
              <w:rPr>
                <w:rStyle w:val="Hipervnculo"/>
                <w:noProof/>
              </w:rPr>
              <w:t>Brechas priorizadas para trabajar en el programa</w:t>
            </w:r>
            <w:r w:rsidRPr="003D54C9">
              <w:rPr>
                <w:noProof/>
                <w:webHidden/>
              </w:rPr>
              <w:tab/>
            </w:r>
            <w:r w:rsidRPr="003D54C9">
              <w:rPr>
                <w:noProof/>
                <w:webHidden/>
              </w:rPr>
              <w:fldChar w:fldCharType="begin"/>
            </w:r>
            <w:r w:rsidRPr="003D54C9">
              <w:rPr>
                <w:noProof/>
                <w:webHidden/>
              </w:rPr>
              <w:instrText xml:space="preserve"> PAGEREF _Toc215418147 \h </w:instrText>
            </w:r>
            <w:r w:rsidRPr="003D54C9">
              <w:rPr>
                <w:noProof/>
                <w:webHidden/>
              </w:rPr>
            </w:r>
            <w:r w:rsidRPr="003D54C9">
              <w:rPr>
                <w:noProof/>
                <w:webHidden/>
              </w:rPr>
              <w:fldChar w:fldCharType="separate"/>
            </w:r>
            <w:r w:rsidR="003A4918">
              <w:rPr>
                <w:noProof/>
                <w:webHidden/>
              </w:rPr>
              <w:t>22</w:t>
            </w:r>
            <w:r w:rsidRPr="003D54C9">
              <w:rPr>
                <w:noProof/>
                <w:webHidden/>
              </w:rPr>
              <w:fldChar w:fldCharType="end"/>
            </w:r>
          </w:hyperlink>
        </w:p>
        <w:p w14:paraId="42873E16" w14:textId="5FF027C5" w:rsidR="00224775" w:rsidRPr="003D54C9" w:rsidRDefault="00224775">
          <w:pPr>
            <w:pStyle w:val="TDC2"/>
            <w:tabs>
              <w:tab w:val="right" w:leader="dot" w:pos="8828"/>
            </w:tabs>
            <w:rPr>
              <w:noProof/>
            </w:rPr>
          </w:pPr>
          <w:hyperlink w:anchor="_Toc215418148" w:history="1">
            <w:r w:rsidRPr="003D54C9">
              <w:rPr>
                <w:rStyle w:val="Hipervnculo"/>
                <w:noProof/>
                <w:lang w:val="es-MX"/>
              </w:rPr>
              <w:t>Cambios en la cadena de valor proyectada a partir de la acción del PTI:</w:t>
            </w:r>
            <w:r w:rsidRPr="003D54C9">
              <w:rPr>
                <w:noProof/>
                <w:webHidden/>
              </w:rPr>
              <w:tab/>
            </w:r>
            <w:r w:rsidRPr="003D54C9">
              <w:rPr>
                <w:noProof/>
                <w:webHidden/>
              </w:rPr>
              <w:fldChar w:fldCharType="begin"/>
            </w:r>
            <w:r w:rsidRPr="003D54C9">
              <w:rPr>
                <w:noProof/>
                <w:webHidden/>
              </w:rPr>
              <w:instrText xml:space="preserve"> PAGEREF _Toc215418148 \h </w:instrText>
            </w:r>
            <w:r w:rsidRPr="003D54C9">
              <w:rPr>
                <w:noProof/>
                <w:webHidden/>
              </w:rPr>
            </w:r>
            <w:r w:rsidRPr="003D54C9">
              <w:rPr>
                <w:noProof/>
                <w:webHidden/>
              </w:rPr>
              <w:fldChar w:fldCharType="separate"/>
            </w:r>
            <w:r w:rsidR="003A4918">
              <w:rPr>
                <w:noProof/>
                <w:webHidden/>
              </w:rPr>
              <w:t>25</w:t>
            </w:r>
            <w:r w:rsidRPr="003D54C9">
              <w:rPr>
                <w:noProof/>
                <w:webHidden/>
              </w:rPr>
              <w:fldChar w:fldCharType="end"/>
            </w:r>
          </w:hyperlink>
        </w:p>
        <w:p w14:paraId="5965AA08" w14:textId="015E36A2" w:rsidR="00224775" w:rsidRPr="003D54C9" w:rsidRDefault="00224775">
          <w:pPr>
            <w:pStyle w:val="TDC2"/>
            <w:tabs>
              <w:tab w:val="right" w:leader="dot" w:pos="8828"/>
            </w:tabs>
            <w:rPr>
              <w:noProof/>
            </w:rPr>
          </w:pPr>
          <w:hyperlink w:anchor="_Toc215418149" w:history="1">
            <w:r w:rsidRPr="003D54C9">
              <w:rPr>
                <w:rStyle w:val="Hipervnculo"/>
                <w:noProof/>
              </w:rPr>
              <w:t>Indicadores para el primer año de ejecución:</w:t>
            </w:r>
            <w:r w:rsidRPr="003D54C9">
              <w:rPr>
                <w:noProof/>
                <w:webHidden/>
              </w:rPr>
              <w:tab/>
            </w:r>
            <w:r w:rsidRPr="003D54C9">
              <w:rPr>
                <w:noProof/>
                <w:webHidden/>
              </w:rPr>
              <w:fldChar w:fldCharType="begin"/>
            </w:r>
            <w:r w:rsidRPr="003D54C9">
              <w:rPr>
                <w:noProof/>
                <w:webHidden/>
              </w:rPr>
              <w:instrText xml:space="preserve"> PAGEREF _Toc215418149 \h </w:instrText>
            </w:r>
            <w:r w:rsidRPr="003D54C9">
              <w:rPr>
                <w:noProof/>
                <w:webHidden/>
              </w:rPr>
            </w:r>
            <w:r w:rsidRPr="003D54C9">
              <w:rPr>
                <w:noProof/>
                <w:webHidden/>
              </w:rPr>
              <w:fldChar w:fldCharType="separate"/>
            </w:r>
            <w:r w:rsidR="003A4918">
              <w:rPr>
                <w:noProof/>
                <w:webHidden/>
              </w:rPr>
              <w:t>27</w:t>
            </w:r>
            <w:r w:rsidRPr="003D54C9">
              <w:rPr>
                <w:noProof/>
                <w:webHidden/>
              </w:rPr>
              <w:fldChar w:fldCharType="end"/>
            </w:r>
          </w:hyperlink>
        </w:p>
        <w:p w14:paraId="2C38DF28" w14:textId="5E2A4F51" w:rsidR="00224775" w:rsidRPr="003D54C9" w:rsidRDefault="00224775">
          <w:pPr>
            <w:pStyle w:val="TDC1"/>
            <w:tabs>
              <w:tab w:val="right" w:leader="dot" w:pos="8828"/>
            </w:tabs>
            <w:rPr>
              <w:noProof/>
            </w:rPr>
          </w:pPr>
          <w:hyperlink w:anchor="_Toc215418150" w:history="1">
            <w:r w:rsidRPr="003D54C9">
              <w:rPr>
                <w:rStyle w:val="Hipervnculo"/>
                <w:noProof/>
              </w:rPr>
              <w:t>Comentarios finales</w:t>
            </w:r>
            <w:r w:rsidRPr="003D54C9">
              <w:rPr>
                <w:noProof/>
                <w:webHidden/>
              </w:rPr>
              <w:tab/>
            </w:r>
            <w:r w:rsidRPr="003D54C9">
              <w:rPr>
                <w:noProof/>
                <w:webHidden/>
              </w:rPr>
              <w:fldChar w:fldCharType="begin"/>
            </w:r>
            <w:r w:rsidRPr="003D54C9">
              <w:rPr>
                <w:noProof/>
                <w:webHidden/>
              </w:rPr>
              <w:instrText xml:space="preserve"> PAGEREF _Toc215418150 \h </w:instrText>
            </w:r>
            <w:r w:rsidRPr="003D54C9">
              <w:rPr>
                <w:noProof/>
                <w:webHidden/>
              </w:rPr>
            </w:r>
            <w:r w:rsidRPr="003D54C9">
              <w:rPr>
                <w:noProof/>
                <w:webHidden/>
              </w:rPr>
              <w:fldChar w:fldCharType="separate"/>
            </w:r>
            <w:r w:rsidR="003A4918">
              <w:rPr>
                <w:noProof/>
                <w:webHidden/>
              </w:rPr>
              <w:t>29</w:t>
            </w:r>
            <w:r w:rsidRPr="003D54C9">
              <w:rPr>
                <w:noProof/>
                <w:webHidden/>
              </w:rPr>
              <w:fldChar w:fldCharType="end"/>
            </w:r>
          </w:hyperlink>
        </w:p>
        <w:p w14:paraId="1CD5CABD" w14:textId="4A3069A1" w:rsidR="00224775" w:rsidRPr="003D54C9" w:rsidRDefault="00224775">
          <w:pPr>
            <w:pStyle w:val="TDC1"/>
            <w:tabs>
              <w:tab w:val="right" w:leader="dot" w:pos="8828"/>
            </w:tabs>
            <w:rPr>
              <w:noProof/>
            </w:rPr>
          </w:pPr>
          <w:hyperlink w:anchor="_Toc215418151" w:history="1">
            <w:r w:rsidRPr="003D54C9">
              <w:rPr>
                <w:rStyle w:val="Hipervnculo"/>
                <w:noProof/>
              </w:rPr>
              <w:t>Referencias y Bibliografía</w:t>
            </w:r>
            <w:r w:rsidRPr="003D54C9">
              <w:rPr>
                <w:noProof/>
                <w:webHidden/>
              </w:rPr>
              <w:tab/>
            </w:r>
            <w:r w:rsidRPr="003D54C9">
              <w:rPr>
                <w:noProof/>
                <w:webHidden/>
              </w:rPr>
              <w:fldChar w:fldCharType="begin"/>
            </w:r>
            <w:r w:rsidRPr="003D54C9">
              <w:rPr>
                <w:noProof/>
                <w:webHidden/>
              </w:rPr>
              <w:instrText xml:space="preserve"> PAGEREF _Toc215418151 \h </w:instrText>
            </w:r>
            <w:r w:rsidRPr="003D54C9">
              <w:rPr>
                <w:noProof/>
                <w:webHidden/>
              </w:rPr>
            </w:r>
            <w:r w:rsidRPr="003D54C9">
              <w:rPr>
                <w:noProof/>
                <w:webHidden/>
              </w:rPr>
              <w:fldChar w:fldCharType="separate"/>
            </w:r>
            <w:r w:rsidR="003A4918">
              <w:rPr>
                <w:noProof/>
                <w:webHidden/>
              </w:rPr>
              <w:t>31</w:t>
            </w:r>
            <w:r w:rsidRPr="003D54C9">
              <w:rPr>
                <w:noProof/>
                <w:webHidden/>
              </w:rPr>
              <w:fldChar w:fldCharType="end"/>
            </w:r>
          </w:hyperlink>
        </w:p>
        <w:p w14:paraId="50CF79E5" w14:textId="47FAF8E5" w:rsidR="00224775" w:rsidRPr="003D54C9" w:rsidRDefault="00224775">
          <w:pPr>
            <w:pStyle w:val="TDC1"/>
            <w:tabs>
              <w:tab w:val="right" w:leader="dot" w:pos="8828"/>
            </w:tabs>
            <w:rPr>
              <w:noProof/>
            </w:rPr>
          </w:pPr>
          <w:hyperlink w:anchor="_Toc215418152" w:history="1">
            <w:r w:rsidRPr="003D54C9">
              <w:rPr>
                <w:rStyle w:val="Hipervnculo"/>
                <w:noProof/>
              </w:rPr>
              <w:t>Anexos:</w:t>
            </w:r>
            <w:r w:rsidRPr="003D54C9">
              <w:rPr>
                <w:noProof/>
                <w:webHidden/>
              </w:rPr>
              <w:tab/>
            </w:r>
            <w:r w:rsidRPr="003D54C9">
              <w:rPr>
                <w:noProof/>
                <w:webHidden/>
              </w:rPr>
              <w:fldChar w:fldCharType="begin"/>
            </w:r>
            <w:r w:rsidRPr="003D54C9">
              <w:rPr>
                <w:noProof/>
                <w:webHidden/>
              </w:rPr>
              <w:instrText xml:space="preserve"> PAGEREF _Toc215418152 \h </w:instrText>
            </w:r>
            <w:r w:rsidRPr="003D54C9">
              <w:rPr>
                <w:noProof/>
                <w:webHidden/>
              </w:rPr>
            </w:r>
            <w:r w:rsidRPr="003D54C9">
              <w:rPr>
                <w:noProof/>
                <w:webHidden/>
              </w:rPr>
              <w:fldChar w:fldCharType="separate"/>
            </w:r>
            <w:r w:rsidR="003A4918">
              <w:rPr>
                <w:noProof/>
                <w:webHidden/>
              </w:rPr>
              <w:t>32</w:t>
            </w:r>
            <w:r w:rsidRPr="003D54C9">
              <w:rPr>
                <w:noProof/>
                <w:webHidden/>
              </w:rPr>
              <w:fldChar w:fldCharType="end"/>
            </w:r>
          </w:hyperlink>
        </w:p>
        <w:p w14:paraId="7AFC628C" w14:textId="4011C505" w:rsidR="00224775" w:rsidRDefault="00224775">
          <w:r w:rsidRPr="003D54C9">
            <w:rPr>
              <w:lang w:val="es-ES"/>
            </w:rPr>
            <w:fldChar w:fldCharType="end"/>
          </w:r>
        </w:p>
      </w:sdtContent>
    </w:sdt>
    <w:p w14:paraId="13539CE6" w14:textId="09B6E68B" w:rsidR="00224775" w:rsidRDefault="00224775" w:rsidP="00357326">
      <w:pPr>
        <w:jc w:val="right"/>
      </w:pPr>
    </w:p>
    <w:p w14:paraId="48B724CF" w14:textId="350BE986" w:rsidR="00224775" w:rsidRDefault="00224775" w:rsidP="003300DA"/>
    <w:p w14:paraId="250A88BB" w14:textId="202C399D" w:rsidR="00224775" w:rsidRDefault="00224775" w:rsidP="003300DA"/>
    <w:p w14:paraId="5BAB010B" w14:textId="4A53E800" w:rsidR="00224775" w:rsidRDefault="00224775" w:rsidP="003300DA"/>
    <w:p w14:paraId="0FF81C26" w14:textId="3C5C909B" w:rsidR="00224775" w:rsidRDefault="00224775" w:rsidP="003300DA"/>
    <w:p w14:paraId="462469FE" w14:textId="7E030D63" w:rsidR="00224775" w:rsidRDefault="00224775" w:rsidP="003300DA"/>
    <w:p w14:paraId="5625802E" w14:textId="77B3503B" w:rsidR="00224775" w:rsidRDefault="00224775" w:rsidP="003300DA"/>
    <w:p w14:paraId="3519DA60" w14:textId="3BDB60EE" w:rsidR="00224775" w:rsidRDefault="00224775" w:rsidP="003300DA"/>
    <w:p w14:paraId="6A224BF2" w14:textId="40C879AD" w:rsidR="00224775" w:rsidRDefault="00224775" w:rsidP="003300DA"/>
    <w:p w14:paraId="65F0B7DD" w14:textId="5ECA8734" w:rsidR="00224775" w:rsidRDefault="00224775" w:rsidP="003300DA"/>
    <w:p w14:paraId="1AB1C1A4" w14:textId="305E6BB3" w:rsidR="00224775" w:rsidRDefault="00224775" w:rsidP="003300DA"/>
    <w:p w14:paraId="1B656858" w14:textId="3B041102" w:rsidR="00EC5428" w:rsidRDefault="00EC5428" w:rsidP="00193DA2">
      <w:pPr>
        <w:pStyle w:val="Ttulo1"/>
      </w:pPr>
      <w:bookmarkStart w:id="2" w:name="_Toc215418138"/>
      <w:r>
        <w:lastRenderedPageBreak/>
        <w:t>Introducción</w:t>
      </w:r>
      <w:bookmarkEnd w:id="2"/>
    </w:p>
    <w:p w14:paraId="7C41607B" w14:textId="2726635A" w:rsidR="00EC1F69" w:rsidRPr="00EC5428" w:rsidRDefault="00EC5428" w:rsidP="00EC1F69">
      <w:pPr>
        <w:jc w:val="both"/>
      </w:pPr>
      <w:r w:rsidRPr="00EC5428">
        <w:t xml:space="preserve">El desarrollo territorial sostenible ha </w:t>
      </w:r>
      <w:r w:rsidR="00FC11D1">
        <w:t>cobra</w:t>
      </w:r>
      <w:r w:rsidRPr="00EC5428">
        <w:t xml:space="preserve">do creciente relevancia en las políticas públicas y estrategias de fomento productivo del país, especialmente en regiones donde la actividad </w:t>
      </w:r>
      <w:r w:rsidRPr="00B95590">
        <w:t xml:space="preserve">económica se sustenta en sectores tradicionales con potencial de diversificación e innovación. En este contexto, la Región del Biobío destaca como un territorio de alta vocación agroindustrial, con una base productiva que combina </w:t>
      </w:r>
      <w:r w:rsidR="00FC11D1" w:rsidRPr="00B95590">
        <w:t xml:space="preserve">la </w:t>
      </w:r>
      <w:r w:rsidRPr="00B95590">
        <w:t xml:space="preserve">tradición agrícola </w:t>
      </w:r>
      <w:r w:rsidR="00FC11D1" w:rsidRPr="00B95590">
        <w:t>con</w:t>
      </w:r>
      <w:r w:rsidRPr="00B95590">
        <w:t xml:space="preserve"> </w:t>
      </w:r>
      <w:r w:rsidR="000C4A25">
        <w:t>l</w:t>
      </w:r>
      <w:r w:rsidR="000C4A25" w:rsidRPr="00B95590">
        <w:t xml:space="preserve">a </w:t>
      </w:r>
      <w:r w:rsidRPr="00B95590">
        <w:t>incorporación</w:t>
      </w:r>
      <w:r w:rsidR="00C80998" w:rsidRPr="00B95590">
        <w:t xml:space="preserve"> progresiva</w:t>
      </w:r>
      <w:r w:rsidRPr="00B95590">
        <w:t xml:space="preserve"> de tecnologías vinculadas a la eficiencia, la sustentabilidad y la adaptación al cambio climático.</w:t>
      </w:r>
      <w:r w:rsidR="00EC1F69">
        <w:t xml:space="preserve"> </w:t>
      </w:r>
      <w:r w:rsidR="00EC1F69" w:rsidRPr="00EC5428">
        <w:t xml:space="preserve">La literatura sobre desarrollo territorial sostenible destaca la importancia de los procesos de articulación institucional y </w:t>
      </w:r>
      <w:r w:rsidR="00EC1F69">
        <w:t xml:space="preserve">de </w:t>
      </w:r>
      <w:r w:rsidR="00EC1F69" w:rsidRPr="00EC5428">
        <w:t xml:space="preserve">cooperación entre actores públicos, privados y académicos como condición para promover la innovación y la resiliencia económica de los territorios (Vázquez-Barquero, 2019; Alburquerque, 2020). Según Schejtman y Berdegué (2019), el desarrollo territorial con enfoque sostenible implica integrar </w:t>
      </w:r>
      <w:r w:rsidR="00EC1F69">
        <w:t xml:space="preserve">las </w:t>
      </w:r>
      <w:r w:rsidR="00EC1F69" w:rsidRPr="00EC5428">
        <w:t>dimensiones económicas, sociales y ambientales mediante políticas que fomenten el aprendizaje colectivo y la innovación local.</w:t>
      </w:r>
    </w:p>
    <w:p w14:paraId="36292EAF" w14:textId="7905EE93" w:rsidR="00E077D5" w:rsidRDefault="00E077D5" w:rsidP="00DB7A61">
      <w:pPr>
        <w:jc w:val="both"/>
      </w:pPr>
      <w:r>
        <w:t>La fruticultura constituye uno de los pilares productivos más relevantes del sector silvoagropecuario chileno</w:t>
      </w:r>
      <w:r w:rsidRPr="00B95590">
        <w:t xml:space="preserve"> </w:t>
      </w:r>
      <w:r>
        <w:t xml:space="preserve">y un </w:t>
      </w:r>
      <w:r w:rsidR="00453483" w:rsidRPr="00B95590">
        <w:t xml:space="preserve">importante motor </w:t>
      </w:r>
      <w:r w:rsidR="000C4A25">
        <w:t>d</w:t>
      </w:r>
      <w:r w:rsidR="00453483" w:rsidRPr="00B95590">
        <w:t xml:space="preserve">el empleo agrícola para mujeres </w:t>
      </w:r>
      <w:r w:rsidR="000C4A25">
        <w:t>(principalmente temporal)</w:t>
      </w:r>
      <w:r w:rsidR="00453483" w:rsidRPr="00B95590">
        <w:t xml:space="preserve">. Por otra </w:t>
      </w:r>
      <w:proofErr w:type="gramStart"/>
      <w:r w:rsidR="00453483" w:rsidRPr="00B95590">
        <w:t>parte</w:t>
      </w:r>
      <w:proofErr w:type="gramEnd"/>
      <w:r w:rsidR="000C4A25">
        <w:t xml:space="preserve"> la fruticultura</w:t>
      </w:r>
      <w:r w:rsidR="00453483" w:rsidRPr="00B95590">
        <w:t xml:space="preserve"> contribuye a la soberanía y seguridad alimentaria del país, con alimentos saludables para la población</w:t>
      </w:r>
      <w:r w:rsidR="000C4A25">
        <w:t xml:space="preserve"> y aporta significativamente al PIB agrícola, genera empleo rural y concentra una parte </w:t>
      </w:r>
      <w:r w:rsidR="000C4A25" w:rsidRPr="002B4430">
        <w:t>sustancial de las exportaciones nacionales de alimentos.</w:t>
      </w:r>
    </w:p>
    <w:p w14:paraId="5E3087DF" w14:textId="0E8788D1" w:rsidR="00FC11D1" w:rsidRDefault="00EC5428" w:rsidP="00FC11D1">
      <w:pPr>
        <w:jc w:val="both"/>
      </w:pPr>
      <w:r w:rsidRPr="00B95590">
        <w:t>Chile se ha consolidado como uno de los principales exportadores de fruta fresca del hemisferio sur</w:t>
      </w:r>
      <w:r w:rsidR="000C4A25">
        <w:t>,</w:t>
      </w:r>
      <w:r w:rsidR="00F06380" w:rsidRPr="00B95590">
        <w:t xml:space="preserve"> </w:t>
      </w:r>
      <w:r w:rsidRPr="00B95590">
        <w:t>y el Biobío participa de esta dinámica</w:t>
      </w:r>
      <w:r w:rsidR="000C4A25">
        <w:t xml:space="preserve"> con </w:t>
      </w:r>
      <w:r w:rsidRPr="00B95590">
        <w:t>especies como arándanos, cerezos, nogales, avellanos europeos y manzanos</w:t>
      </w:r>
      <w:r w:rsidR="000C4A25">
        <w:t>,</w:t>
      </w:r>
      <w:r w:rsidR="00C25010" w:rsidRPr="00B95590">
        <w:t xml:space="preserve"> </w:t>
      </w:r>
      <w:r w:rsidR="00FC11D1" w:rsidRPr="00B95590">
        <w:t>que</w:t>
      </w:r>
      <w:r w:rsidRPr="00B95590">
        <w:t xml:space="preserve"> han encontrado en este territorio condiciones agroclimáticas favorables y oportunidades de expansión.</w:t>
      </w:r>
      <w:r w:rsidR="00B95590" w:rsidRPr="00B95590">
        <w:t xml:space="preserve"> (Catastro Frutícola 2022, ODEPA–CIREN). </w:t>
      </w:r>
      <w:r w:rsidRPr="00B95590">
        <w:t xml:space="preserve"> No </w:t>
      </w:r>
      <w:proofErr w:type="gramStart"/>
      <w:r w:rsidRPr="00B95590">
        <w:t>obstante</w:t>
      </w:r>
      <w:proofErr w:type="gramEnd"/>
      <w:r w:rsidR="00E077D5">
        <w:t xml:space="preserve"> el</w:t>
      </w:r>
      <w:r w:rsidRPr="00B95590">
        <w:t xml:space="preserve"> potencial competitivo, la fruticultura regional enfrenta brechas estructurales y tecnológicas que limitan </w:t>
      </w:r>
      <w:r w:rsidR="00E077D5">
        <w:t>el</w:t>
      </w:r>
      <w:r w:rsidRPr="00B95590">
        <w:t xml:space="preserve"> escalamiento sostenible, especialmente en materia de digitalización, tecnificación del riego, infraestructura postcosecha, capital humano y articulación de la cadena de valor.</w:t>
      </w:r>
      <w:r w:rsidR="000C4A25">
        <w:t xml:space="preserve"> </w:t>
      </w:r>
      <w:r w:rsidR="00FC11D1" w:rsidRPr="002B4430">
        <w:t xml:space="preserve">En la Región del Biobío, este sector enfrenta hoy el desafío de mantener y fortalecer su competitividad en mercados internacionales cada vez más exigentes, donde la trazabilidad, la calidad, la inocuidad y la sostenibilidad se han </w:t>
      </w:r>
      <w:r w:rsidR="00FC11D1">
        <w:t>converti</w:t>
      </w:r>
      <w:r w:rsidR="00FC11D1" w:rsidRPr="002B4430">
        <w:t>do en requisitos indispensables. En este contexto, la fruticultura regional requiere avanzar hacia modelos de producción más sostenibles, tecnificados y eficientes, capaces de responder a las demandas globales, adaptarse a los efectos del cambio climático y superar las limitaciones asociadas a la escasez de capital humano especializado que afecta a los territorios agrícolas del centro-sur del país.</w:t>
      </w:r>
    </w:p>
    <w:p w14:paraId="29DD0D27" w14:textId="6B7424E6" w:rsidR="000C4A25" w:rsidRDefault="00B07FF3" w:rsidP="00DB7A61">
      <w:pPr>
        <w:jc w:val="both"/>
      </w:pPr>
      <w:r w:rsidRPr="00EC5428">
        <w:t>En el ámbito frutícola, estudios del Instituto de Investigaciones Agropecuarias (INIA, 2022) y de la Oficina de Estudios y Políticas Agrarias (ODEPA, 2023) señalan que la zona centro-sur de Chile presenta condiciones agroclimáticas ideales para el cultivo de frutales de exportación, pero enfrenta desafíos significativos en tecnificación, infraestructura y capital humano. A nivel institucional, los Programas Territoriales Integrados (PTI) de CORFO se presentan como una herramienta de política pública eficaz para coordinar acciones de fomento, superar brechas de competitividad y consolidar ca</w:t>
      </w:r>
      <w:r w:rsidRPr="00F84CC2">
        <w:t>denas de valor con impacto estratégico en la economía regional.</w:t>
      </w:r>
      <w:r w:rsidR="00165BEB">
        <w:t xml:space="preserve"> </w:t>
      </w:r>
      <w:r w:rsidR="00EC5428" w:rsidRPr="00EC5428">
        <w:t xml:space="preserve">Con el propósito de enfrentar estos desafíos, CORFO Biobío ha impulsado distintos instrumentos de fomento orientados al fortalecimiento del sector frutícola y la promoción de modelos de gestión territorial sostenibles. Entre ellos destacan el programa Fortalece Pyme Los Ángeles (2021–2024) y el Instrumento de </w:t>
      </w:r>
      <w:r w:rsidR="00EC5428" w:rsidRPr="00EC5428">
        <w:lastRenderedPageBreak/>
        <w:t>Fomento Integrado (IFI)</w:t>
      </w:r>
      <w:r w:rsidR="00DB7A61" w:rsidRPr="00DB7A61">
        <w:t xml:space="preserve"> Recuperación sostenible y resiliente de la actividad frutícola de la macrozona centro-sur (Etapa de formulación 2025)</w:t>
      </w:r>
      <w:r w:rsidR="00EC5428" w:rsidRPr="00EC5428">
        <w:t xml:space="preserve">, </w:t>
      </w:r>
      <w:r w:rsidR="00FC11D1">
        <w:t>que</w:t>
      </w:r>
      <w:r w:rsidR="00EC5428" w:rsidRPr="00EC5428">
        <w:t xml:space="preserve"> permitieron </w:t>
      </w:r>
      <w:r w:rsidR="000C4A25">
        <w:t>recab</w:t>
      </w:r>
      <w:r w:rsidR="00EC5428" w:rsidRPr="00EC5428">
        <w:t xml:space="preserve">ar información clave sobre las brechas productivas y tecnológicas del sector. </w:t>
      </w:r>
    </w:p>
    <w:p w14:paraId="079305E4" w14:textId="2A0ECE3D" w:rsidR="00FC11D1" w:rsidRDefault="00EC5428" w:rsidP="00FC11D1">
      <w:pPr>
        <w:jc w:val="both"/>
      </w:pPr>
      <w:r w:rsidRPr="00EC5428">
        <w:t xml:space="preserve">Los resultados de estos programas sentaron las bases para la creación del Programa Territorial Integrado (PTI) </w:t>
      </w:r>
      <w:proofErr w:type="spellStart"/>
      <w:r w:rsidRPr="00EC5428">
        <w:t>Tecnofruta</w:t>
      </w:r>
      <w:proofErr w:type="spellEnd"/>
      <w:r w:rsidRPr="00EC5428">
        <w:t xml:space="preserve"> Biobío como una estrategia de articulación público-privada para el desarrollo frutícola sostenible y competitivo de la Provincia de Biobío.</w:t>
      </w:r>
      <w:r w:rsidR="000C4A25">
        <w:t xml:space="preserve"> </w:t>
      </w:r>
      <w:r w:rsidR="00FC11D1">
        <w:t xml:space="preserve">Pese </w:t>
      </w:r>
      <w:r w:rsidR="00C80998">
        <w:t>al potencial frutícola</w:t>
      </w:r>
      <w:r w:rsidR="00FC11D1">
        <w:t xml:space="preserve">, los diagnósticos recientes evidencian brechas estructurales que amenazan la competitividad del sector, especialmente en la Provincia de Biobío, donde se concentra más del 98 % de la superficie frutal regional. Entre 2021 y 2024, el programa Fortalece Pyme Los Ángeles identificó una baja adopción de tecnologías digitales, una débil gestión administrativa y </w:t>
      </w:r>
      <w:r w:rsidR="00EC1F69">
        <w:t xml:space="preserve">una </w:t>
      </w:r>
      <w:r w:rsidR="00FC11D1">
        <w:t>escasa tecnificación de</w:t>
      </w:r>
      <w:r w:rsidR="00EC1F69">
        <w:t xml:space="preserve"> los</w:t>
      </w:r>
      <w:r w:rsidR="00FC11D1">
        <w:t xml:space="preserve"> procesos productivos. Posteriormente, el IFI Recuperación Frutícola (2025) </w:t>
      </w:r>
      <w:r w:rsidR="000C4A25">
        <w:t>señala, además,</w:t>
      </w:r>
      <w:r w:rsidR="00FC11D1">
        <w:t xml:space="preserve"> carencias en infraestructura postcosecha, riego eficiente, articulación comercial y capital humano especializado.</w:t>
      </w:r>
    </w:p>
    <w:p w14:paraId="22671B10" w14:textId="4378B52F" w:rsidR="00C80998" w:rsidRDefault="00FC11D1" w:rsidP="00C80998">
      <w:pPr>
        <w:jc w:val="both"/>
      </w:pPr>
      <w:r>
        <w:t xml:space="preserve">Estos antecedentes reflejan la necesidad de una estrategia territorial integrada que permita articular esfuerzos públicos y privados, coordinar inversiones y fortalecer la sostenibilidad y </w:t>
      </w:r>
      <w:r w:rsidR="00EC1F69">
        <w:t xml:space="preserve">la </w:t>
      </w:r>
      <w:r>
        <w:t>resiliencia del sector. En este contexto, CORFO Biobío</w:t>
      </w:r>
      <w:r w:rsidR="00EC1F69">
        <w:t>,</w:t>
      </w:r>
      <w:r>
        <w:t xml:space="preserve"> </w:t>
      </w:r>
      <w:r w:rsidR="00DE7AC1">
        <w:t xml:space="preserve">en el presente año, decidió </w:t>
      </w:r>
      <w:r w:rsidR="00D66DE8">
        <w:t>desarrollar</w:t>
      </w:r>
      <w:r>
        <w:t xml:space="preserve"> el PTI </w:t>
      </w:r>
      <w:proofErr w:type="spellStart"/>
      <w:r>
        <w:t>Tecnofruta</w:t>
      </w:r>
      <w:proofErr w:type="spellEnd"/>
      <w:r>
        <w:t xml:space="preserve"> Biobío, orientado a mejorar la competitividad de la fruticultura regional </w:t>
      </w:r>
      <w:r w:rsidR="00C80998">
        <w:t>mediant</w:t>
      </w:r>
      <w:r>
        <w:t xml:space="preserve">e la digitalización, </w:t>
      </w:r>
      <w:r w:rsidR="00C80998">
        <w:t xml:space="preserve">la </w:t>
      </w:r>
      <w:r>
        <w:t>incorporación de tecnologías y la gobernanza colaborativa, alineando su accionar con los objetivos de sostenibilidad institucional y del sector agrícola.</w:t>
      </w:r>
      <w:r w:rsidR="00C80998" w:rsidRPr="00C80998">
        <w:t xml:space="preserve"> </w:t>
      </w:r>
    </w:p>
    <w:p w14:paraId="50688E83" w14:textId="7C2D5B8E" w:rsidR="00EC5428" w:rsidRPr="00F84CC2" w:rsidRDefault="00C80998" w:rsidP="00DB7A61">
      <w:pPr>
        <w:jc w:val="both"/>
      </w:pPr>
      <w:r w:rsidRPr="00F84CC2">
        <w:t>E</w:t>
      </w:r>
      <w:r w:rsidR="00B07FF3">
        <w:t>l desarrollo territorial sostenible, como</w:t>
      </w:r>
      <w:r w:rsidRPr="00F84CC2">
        <w:t xml:space="preserve"> marco conceptual</w:t>
      </w:r>
      <w:r w:rsidR="00B07FF3">
        <w:t>,</w:t>
      </w:r>
      <w:r w:rsidRPr="00F84CC2">
        <w:t xml:space="preserve"> sitúa al PTI </w:t>
      </w:r>
      <w:proofErr w:type="spellStart"/>
      <w:r w:rsidRPr="00F84CC2">
        <w:t>Tecnofruta</w:t>
      </w:r>
      <w:proofErr w:type="spellEnd"/>
      <w:r w:rsidRPr="00F84CC2">
        <w:t xml:space="preserve"> Biobío como un modelo de gestión territorial que integra innovación, sostenibilidad y colaboración </w:t>
      </w:r>
      <w:proofErr w:type="spellStart"/>
      <w:r w:rsidRPr="00F84CC2">
        <w:t>multiactor</w:t>
      </w:r>
      <w:proofErr w:type="spellEnd"/>
      <w:r w:rsidRPr="00F84CC2">
        <w:t xml:space="preserve">, </w:t>
      </w:r>
      <w:r w:rsidR="00B07FF3">
        <w:t>lo que representa</w:t>
      </w:r>
      <w:r w:rsidRPr="00F84CC2">
        <w:t xml:space="preserve"> una oportunidad para analizar cómo los instrumentos de fomento pueden contribuir al desarrollo sostenible de</w:t>
      </w:r>
      <w:r w:rsidR="00B07FF3">
        <w:t xml:space="preserve"> los</w:t>
      </w:r>
      <w:r w:rsidRPr="00F84CC2">
        <w:t xml:space="preserve"> sectores productivos regionales.</w:t>
      </w:r>
      <w:r w:rsidR="00B07FF3">
        <w:t xml:space="preserve"> </w:t>
      </w:r>
      <w:r w:rsidR="00EC5428" w:rsidRPr="00F84CC2">
        <w:t xml:space="preserve">Este trabajo </w:t>
      </w:r>
      <w:r w:rsidR="00E24ED7" w:rsidRPr="00F84CC2">
        <w:t xml:space="preserve">presenta </w:t>
      </w:r>
      <w:r w:rsidR="00EC5428" w:rsidRPr="00F84CC2">
        <w:t xml:space="preserve">el PTI </w:t>
      </w:r>
      <w:proofErr w:type="spellStart"/>
      <w:r w:rsidR="00EC5428" w:rsidRPr="00F84CC2">
        <w:t>Tecnofruta</w:t>
      </w:r>
      <w:proofErr w:type="spellEnd"/>
      <w:r w:rsidR="00EC5428" w:rsidRPr="00F84CC2">
        <w:t xml:space="preserve"> Biobío como un caso de estudio aplicado que evidencia cómo la coordinación territorial, la gobernanza colaborativa y la innovación tecnológica pueden contribuir a fortalecer la competitividad del sector frutícola regional. La </w:t>
      </w:r>
      <w:r w:rsidR="006B14DB" w:rsidRPr="00F84CC2">
        <w:t>propuesta</w:t>
      </w:r>
      <w:r w:rsidR="00EC5428" w:rsidRPr="00F84CC2">
        <w:t xml:space="preserve"> se desarrolla desde un enfoque de sostenibilidad e integración de actores, combina el análisis institucional, productivo y territorial, </w:t>
      </w:r>
      <w:r w:rsidR="00FC11D1" w:rsidRPr="00F84CC2">
        <w:t>y</w:t>
      </w:r>
      <w:r w:rsidR="00EC5428" w:rsidRPr="00F84CC2">
        <w:t xml:space="preserve"> aporta al diseño de políticas de fomento orientadas a la resiliencia y al desarrollo sostenible del territorio.</w:t>
      </w:r>
    </w:p>
    <w:p w14:paraId="736E188C" w14:textId="731E54D6" w:rsidR="00C80998" w:rsidRPr="00EC5428" w:rsidRDefault="00C80998" w:rsidP="00C80998">
      <w:pPr>
        <w:jc w:val="both"/>
      </w:pPr>
      <w:r w:rsidRPr="00F84CC2">
        <w:t xml:space="preserve">En lo formal, el objetivo general es </w:t>
      </w:r>
      <w:r w:rsidR="00EC282C" w:rsidRPr="00F84CC2">
        <w:t>sistematizar</w:t>
      </w:r>
      <w:r w:rsidRPr="00F84CC2">
        <w:t xml:space="preserve"> el </w:t>
      </w:r>
      <w:r w:rsidRPr="004400ED">
        <w:t xml:space="preserve">levantamiento de la etapa de validación estratégica del Programa Territorial Integrado (PTI) </w:t>
      </w:r>
      <w:proofErr w:type="spellStart"/>
      <w:r w:rsidRPr="004400ED">
        <w:t>Tecnofruta</w:t>
      </w:r>
      <w:proofErr w:type="spellEnd"/>
      <w:r w:rsidRPr="004400ED">
        <w:t xml:space="preserve"> Biobío, </w:t>
      </w:r>
      <w:r w:rsidR="00B07FF3" w:rsidRPr="004400ED">
        <w:t>desarrollad</w:t>
      </w:r>
      <w:r w:rsidR="00B07FF3">
        <w:t>o</w:t>
      </w:r>
      <w:r w:rsidR="00B07FF3" w:rsidRPr="004400ED">
        <w:t xml:space="preserve"> </w:t>
      </w:r>
      <w:r w:rsidRPr="004400ED">
        <w:t xml:space="preserve">por CORFO Biobío, respecto de </w:t>
      </w:r>
      <w:r w:rsidR="009A7BA6">
        <w:t xml:space="preserve">las </w:t>
      </w:r>
      <w:r w:rsidRPr="004400ED">
        <w:t xml:space="preserve">brechas, </w:t>
      </w:r>
      <w:r w:rsidR="009A7BA6">
        <w:t xml:space="preserve">las </w:t>
      </w:r>
      <w:r w:rsidRPr="004400ED">
        <w:t>estrategias y</w:t>
      </w:r>
      <w:r w:rsidR="009A7BA6">
        <w:t xml:space="preserve"> las</w:t>
      </w:r>
      <w:r w:rsidRPr="004400ED">
        <w:t xml:space="preserve"> bases</w:t>
      </w:r>
      <w:r w:rsidRPr="000E5305">
        <w:t xml:space="preserve"> para un modelo de gestión territorial sostenible y competitivo en el sector frutícola regional</w:t>
      </w:r>
      <w:r>
        <w:t>.” Para ello se indican los siguientes objetivos específicos:</w:t>
      </w:r>
    </w:p>
    <w:p w14:paraId="5014DE1D" w14:textId="77777777" w:rsidR="00C80998" w:rsidRPr="00031F21" w:rsidRDefault="00C80998" w:rsidP="00C80998">
      <w:pPr>
        <w:pStyle w:val="Prrafodelista"/>
        <w:numPr>
          <w:ilvl w:val="0"/>
          <w:numId w:val="27"/>
        </w:numPr>
        <w:jc w:val="both"/>
      </w:pPr>
      <w:r w:rsidRPr="00031F21">
        <w:t xml:space="preserve">Describir el contexto institucional, productivo y territorial que fundamenta la creación del PTI </w:t>
      </w:r>
      <w:proofErr w:type="spellStart"/>
      <w:r w:rsidRPr="00031F21">
        <w:t>Tecnofruta</w:t>
      </w:r>
      <w:proofErr w:type="spellEnd"/>
      <w:r w:rsidRPr="00031F21">
        <w:t xml:space="preserve"> Biobío.</w:t>
      </w:r>
    </w:p>
    <w:p w14:paraId="4B99E6FC" w14:textId="77777777" w:rsidR="00C80998" w:rsidRPr="00031F21" w:rsidRDefault="00C80998" w:rsidP="00C80998">
      <w:pPr>
        <w:pStyle w:val="Prrafodelista"/>
        <w:numPr>
          <w:ilvl w:val="0"/>
          <w:numId w:val="27"/>
        </w:numPr>
        <w:jc w:val="both"/>
      </w:pPr>
      <w:r w:rsidRPr="00031F21">
        <w:t>Identificar las principales brechas del sector frutícola regional levantadas a través de los programas Fortalece Pyme Los Ángeles e IFI Recuperación Frutícola, que sustentan la formulación del programa.</w:t>
      </w:r>
    </w:p>
    <w:p w14:paraId="6A3F3353" w14:textId="77777777" w:rsidR="00C80998" w:rsidRPr="00031F21" w:rsidRDefault="00C80998" w:rsidP="00C80998">
      <w:pPr>
        <w:pStyle w:val="Prrafodelista"/>
        <w:numPr>
          <w:ilvl w:val="0"/>
          <w:numId w:val="27"/>
        </w:numPr>
        <w:jc w:val="both"/>
      </w:pPr>
      <w:r w:rsidRPr="00031F21">
        <w:t xml:space="preserve">Proponer la etapa de formulación del PTI </w:t>
      </w:r>
      <w:proofErr w:type="spellStart"/>
      <w:r w:rsidRPr="00031F21">
        <w:t>Tecnofruta</w:t>
      </w:r>
      <w:proofErr w:type="spellEnd"/>
      <w:r w:rsidRPr="00031F21">
        <w:t xml:space="preserve"> Biobío, a partir del análisis de brechas y oportunidades del sector frutícola regional.</w:t>
      </w:r>
    </w:p>
    <w:p w14:paraId="15A0F8EE" w14:textId="6DA9987D" w:rsidR="00C80998" w:rsidRPr="00461A13" w:rsidRDefault="00C80998" w:rsidP="00C80998">
      <w:pPr>
        <w:pStyle w:val="Prrafodelista"/>
        <w:numPr>
          <w:ilvl w:val="0"/>
          <w:numId w:val="27"/>
        </w:numPr>
        <w:jc w:val="both"/>
      </w:pPr>
      <w:r w:rsidRPr="00031F21">
        <w:lastRenderedPageBreak/>
        <w:t xml:space="preserve">Evaluar las conclusiones y </w:t>
      </w:r>
      <w:r w:rsidR="009A7BA6">
        <w:t xml:space="preserve">los </w:t>
      </w:r>
      <w:r w:rsidRPr="00031F21">
        <w:t xml:space="preserve">aprendizajes obtenidos del proceso de validación, </w:t>
      </w:r>
      <w:r w:rsidR="009A7BA6">
        <w:t>con foco en</w:t>
      </w:r>
      <w:r w:rsidR="009A7BA6" w:rsidRPr="00031F21">
        <w:t xml:space="preserve"> </w:t>
      </w:r>
      <w:r w:rsidRPr="00031F21">
        <w:t xml:space="preserve">los elementos que fortalecen la gestión territorial y la planificación estratégica para futuras iniciativas de desarrollo </w:t>
      </w:r>
      <w:r w:rsidRPr="00461A13">
        <w:t>regional.</w:t>
      </w:r>
    </w:p>
    <w:p w14:paraId="77517922" w14:textId="2380D308" w:rsidR="00EC5428" w:rsidRPr="00461A13" w:rsidRDefault="00EC5428" w:rsidP="00A672B7">
      <w:pPr>
        <w:jc w:val="both"/>
      </w:pPr>
      <w:r w:rsidRPr="00461A13">
        <w:t xml:space="preserve">La principal contribución de este trabajo radica en </w:t>
      </w:r>
      <w:r w:rsidR="007E12B8" w:rsidRPr="00461A13">
        <w:t>documentar</w:t>
      </w:r>
      <w:r w:rsidRPr="00461A13">
        <w:t xml:space="preserve"> el proceso de diseño y </w:t>
      </w:r>
      <w:r w:rsidR="00CC511F" w:rsidRPr="00461A13">
        <w:t xml:space="preserve">formulación de la etapa de </w:t>
      </w:r>
      <w:r w:rsidRPr="00461A13">
        <w:t xml:space="preserve">validación del PTI </w:t>
      </w:r>
      <w:proofErr w:type="spellStart"/>
      <w:r w:rsidRPr="00461A13">
        <w:t>Tecnofruta</w:t>
      </w:r>
      <w:proofErr w:type="spellEnd"/>
      <w:r w:rsidRPr="00461A13">
        <w:t xml:space="preserve"> Biobío, primera experiencia en la que CORFO Biobío asume directamente la ejecución de la etapa de validación, sin externalización. El estudio aporta evidencia empírica sobre los factores críticos de </w:t>
      </w:r>
      <w:r w:rsidRPr="00EC5428">
        <w:t xml:space="preserve">éxito y los desafíos del modelo PTI como </w:t>
      </w:r>
      <w:r w:rsidRPr="00461A13">
        <w:t>herramienta de desarrollo territorial.</w:t>
      </w:r>
    </w:p>
    <w:p w14:paraId="4B409C7A" w14:textId="1E4BF244" w:rsidR="00C80998" w:rsidRPr="00C80998" w:rsidRDefault="00EC5428" w:rsidP="00BC483F">
      <w:pPr>
        <w:jc w:val="both"/>
      </w:pPr>
      <w:r w:rsidRPr="00461A13">
        <w:t xml:space="preserve">Además, </w:t>
      </w:r>
      <w:r w:rsidR="00461A13" w:rsidRPr="00461A13">
        <w:t>el presente trabajo</w:t>
      </w:r>
      <w:r w:rsidRPr="00461A13">
        <w:t xml:space="preserve"> integra información de programas previos de fomento (FPYME e IFI), </w:t>
      </w:r>
      <w:r w:rsidR="009A7BA6">
        <w:t>lo que proporciona</w:t>
      </w:r>
      <w:r w:rsidRPr="00461A13">
        <w:t xml:space="preserve"> una visión sistémica del ecosistema frutícola regional y</w:t>
      </w:r>
      <w:r w:rsidR="009A7BA6">
        <w:t xml:space="preserve"> de</w:t>
      </w:r>
      <w:r w:rsidRPr="00461A13">
        <w:t xml:space="preserve"> sus brechas tecnológicas. A nivel académico</w:t>
      </w:r>
      <w:r w:rsidRPr="00EC5428">
        <w:t>, el estudio contribuye al cuerpo de conocimiento sobre gobernanza territorial, sostenibilidad y competitividad regional, fortaleciendo el vínculo entre la teoría del desarrollo territorial sostenible y su aplicación práctica en contextos institucionales reales.</w:t>
      </w:r>
    </w:p>
    <w:p w14:paraId="618B4FBC" w14:textId="35269B01" w:rsidR="00C80998" w:rsidRDefault="00773E10" w:rsidP="00193DA2">
      <w:pPr>
        <w:pStyle w:val="Ttulo1"/>
      </w:pPr>
      <w:bookmarkStart w:id="3" w:name="_Toc215418139"/>
      <w:r>
        <w:t>Consideraciones iniciales</w:t>
      </w:r>
      <w:bookmarkEnd w:id="3"/>
    </w:p>
    <w:p w14:paraId="25B8499F" w14:textId="2CFBEE0E" w:rsidR="00C80998" w:rsidRPr="00C80998" w:rsidRDefault="00C80998" w:rsidP="00193DA2">
      <w:pPr>
        <w:pStyle w:val="Ttulo2"/>
      </w:pPr>
      <w:bookmarkStart w:id="4" w:name="_Toc215418140"/>
      <w:r>
        <w:t xml:space="preserve">Estado </w:t>
      </w:r>
      <w:r w:rsidR="00695F74">
        <w:t>de la fruticultura regional</w:t>
      </w:r>
      <w:bookmarkEnd w:id="4"/>
    </w:p>
    <w:p w14:paraId="772C7B81" w14:textId="3467DEC1" w:rsidR="008C0303" w:rsidRPr="008C0303" w:rsidRDefault="008C0303" w:rsidP="008C0303">
      <w:pPr>
        <w:jc w:val="both"/>
      </w:pPr>
      <w:r w:rsidRPr="008C0303">
        <w:t xml:space="preserve">A nivel nacional, la fruticultura chilena es reconocida por su potencial estratégico en la economía. El Catastro Frutícola de 2022 (ODEPA–CIREN) estableció que la superficie total destinada a la producción frutícola en Chile era de 375.598,41 hectáreas. Este sector </w:t>
      </w:r>
      <w:r w:rsidR="00966CD7">
        <w:t>aporta</w:t>
      </w:r>
      <w:r w:rsidRPr="008C0303">
        <w:t xml:space="preserve"> más del 33% del valor agregado del sector silvoagropecuario.</w:t>
      </w:r>
      <w:r w:rsidR="00A553E1">
        <w:t xml:space="preserve"> A su vez, e</w:t>
      </w:r>
      <w:r w:rsidRPr="008C0303">
        <w:t xml:space="preserve">ntre las especies frutales </w:t>
      </w:r>
      <w:r w:rsidR="00450BF6">
        <w:t>que predominan a nivel</w:t>
      </w:r>
      <w:r w:rsidRPr="008C0303">
        <w:t xml:space="preserve"> nacional, cinco concentran la mayor superficie cultivada</w:t>
      </w:r>
      <w:r w:rsidR="00B14047">
        <w:t xml:space="preserve">: </w:t>
      </w:r>
      <w:r w:rsidR="00966CD7">
        <w:t>el cerezo (con 16,4% de participación nacional), el nogal (12,3%), la uva de mesa (11,5%), el avellano europeo (9,7%) y el palto</w:t>
      </w:r>
      <w:r w:rsidR="00966CD7" w:rsidDel="00966CD7">
        <w:t xml:space="preserve"> </w:t>
      </w:r>
      <w:r w:rsidRPr="008C0303">
        <w:t xml:space="preserve"> (8,6%). La superficie destinada a frutales mayores a nivel nacional ha mostrado una tendencia constante al incremento en los siete años anteriores a 2022. </w:t>
      </w:r>
    </w:p>
    <w:p w14:paraId="008AEA85" w14:textId="274E5D5F" w:rsidR="008C0303" w:rsidRPr="008C0303" w:rsidRDefault="0011541D" w:rsidP="008C0303">
      <w:pPr>
        <w:jc w:val="both"/>
      </w:pPr>
      <w:r w:rsidRPr="0011541D">
        <w:t>Por su parte, C</w:t>
      </w:r>
      <w:r w:rsidR="008C0303" w:rsidRPr="008C0303">
        <w:t xml:space="preserve">hile se ha consolidado como un actor clave en los mercados internacionales de fruta fresca y procesada. </w:t>
      </w:r>
      <w:r w:rsidR="00E5193A">
        <w:t>Según el Catastro Frutícola de 2022 (ODEPA-CIREN</w:t>
      </w:r>
      <w:r w:rsidR="00966CD7">
        <w:t>, 2022</w:t>
      </w:r>
      <w:r w:rsidR="00E5193A">
        <w:t>) e</w:t>
      </w:r>
      <w:r w:rsidR="008C0303" w:rsidRPr="008C0303">
        <w:t xml:space="preserve">l sector agropecuario y forestal del país exportó frutas por un valor FOB de USD 7.419 millones en 2021, lo que representó el 41,5% del total de exportaciones de dicho sector. </w:t>
      </w:r>
      <w:r w:rsidR="00966CD7">
        <w:t>En</w:t>
      </w:r>
      <w:r w:rsidR="008C0303" w:rsidRPr="008C0303">
        <w:t xml:space="preserve"> el sector agropecuario, las exportaciones frutícolas son las de mayor relevancia, con casi 5.830 millones de dólares FOB en 2022, </w:t>
      </w:r>
      <w:r w:rsidR="00966CD7">
        <w:t>lo que representa</w:t>
      </w:r>
      <w:r w:rsidR="008C0303" w:rsidRPr="008C0303">
        <w:t xml:space="preserve"> el 87,7% de las exportaciones de ese sector.</w:t>
      </w:r>
    </w:p>
    <w:p w14:paraId="6C539E18" w14:textId="6299E21C" w:rsidR="008C0303" w:rsidRPr="008C0303" w:rsidRDefault="008C0303" w:rsidP="008C0303">
      <w:pPr>
        <w:jc w:val="both"/>
      </w:pPr>
      <w:r w:rsidRPr="008C0303">
        <w:t xml:space="preserve">Las cerezas han sido el cultivo con mayor valor de exportación </w:t>
      </w:r>
      <w:r w:rsidR="00966CD7">
        <w:t>de</w:t>
      </w:r>
      <w:r w:rsidRPr="008C0303">
        <w:t xml:space="preserve"> fruta fresca, alcanzando 2.118 millones de dólares FOB en 2022. Otras especies importantes en el mercado de exportación incluyen la uva de mesa, las manzanas, los arándanos, el kiwi y la pera. El sector de fruta procesada también es significativo, destacando la fruta congelada, deshidratada, jugos y conservas.</w:t>
      </w:r>
    </w:p>
    <w:p w14:paraId="4E041513" w14:textId="448429FB" w:rsidR="001D00F0" w:rsidRPr="001D00F0" w:rsidRDefault="001D00F0" w:rsidP="00761C45">
      <w:pPr>
        <w:jc w:val="both"/>
      </w:pPr>
      <w:r w:rsidRPr="001D00F0">
        <w:t xml:space="preserve">La </w:t>
      </w:r>
      <w:r w:rsidRPr="005A7E12">
        <w:t xml:space="preserve">Región del Biobío, </w:t>
      </w:r>
      <w:r w:rsidR="009A7BA6">
        <w:t>dada la</w:t>
      </w:r>
      <w:r w:rsidRPr="005A7E12">
        <w:t xml:space="preserve"> conformación actual posterior a la escisión de la Región de Ñuble, declaró 6.083,75 </w:t>
      </w:r>
      <w:r w:rsidR="00773E10">
        <w:t>ha</w:t>
      </w:r>
      <w:r w:rsidR="009A7BA6">
        <w:t xml:space="preserve"> </w:t>
      </w:r>
      <w:r w:rsidRPr="005A7E12">
        <w:t xml:space="preserve">de huertos frutales en el Catastro Frutícola 2022 (ODEPA–CIREN). Esta superficie representa aproximadamente el 1,62% de la superficie frutal nacional. </w:t>
      </w:r>
      <w:r w:rsidR="00966CD7">
        <w:t>Lo</w:t>
      </w:r>
      <w:r w:rsidR="002A1758" w:rsidRPr="005A7E12">
        <w:t xml:space="preserve">s principales cultivos son </w:t>
      </w:r>
      <w:r w:rsidRPr="005A7E12">
        <w:t xml:space="preserve">el </w:t>
      </w:r>
      <w:r w:rsidR="00966CD7">
        <w:t xml:space="preserve">arándano americano con 1.768 ha, el nogal con 1.543 ha (se ubica como la segunda especie en extensión en la región), el avellano europeo con 1.214 ha y el </w:t>
      </w:r>
      <w:r w:rsidR="00F62A33">
        <w:t>cerezo</w:t>
      </w:r>
      <w:r w:rsidR="00F62A33" w:rsidRPr="005A7E12" w:rsidDel="00966CD7">
        <w:t xml:space="preserve"> </w:t>
      </w:r>
      <w:r w:rsidR="00F62A33" w:rsidRPr="005A7E12">
        <w:t>con</w:t>
      </w:r>
      <w:r w:rsidR="005A7E12" w:rsidRPr="005A7E12">
        <w:t xml:space="preserve"> 718,4 ha</w:t>
      </w:r>
      <w:r w:rsidR="005A7E12">
        <w:t xml:space="preserve">. </w:t>
      </w:r>
      <w:r w:rsidR="005A7E12" w:rsidRPr="005A7E12">
        <w:t xml:space="preserve">Entre </w:t>
      </w:r>
      <w:r w:rsidR="005A7E12">
        <w:t xml:space="preserve">2019 </w:t>
      </w:r>
      <w:r w:rsidR="00966CD7">
        <w:t xml:space="preserve">y </w:t>
      </w:r>
      <w:r w:rsidR="005A7E12">
        <w:t>2022</w:t>
      </w:r>
      <w:r w:rsidR="005A7E12" w:rsidRPr="005A7E12">
        <w:t>,</w:t>
      </w:r>
      <w:r w:rsidRPr="005A7E12">
        <w:t xml:space="preserve"> la superficie frutícola total de la Región del Biobío experimentó una tasa de crecimiento </w:t>
      </w:r>
      <w:r w:rsidRPr="005A7E12">
        <w:lastRenderedPageBreak/>
        <w:t xml:space="preserve">neta del 4,1%. Las especies con mayor tasa de crecimiento en ese período fueron el </w:t>
      </w:r>
      <w:r w:rsidR="00966CD7">
        <w:t>c</w:t>
      </w:r>
      <w:r w:rsidR="00966CD7" w:rsidRPr="005A7E12">
        <w:t xml:space="preserve">erezo </w:t>
      </w:r>
      <w:r w:rsidRPr="005A7E12">
        <w:t xml:space="preserve">(33,4%) y el </w:t>
      </w:r>
      <w:r w:rsidR="00966CD7">
        <w:t>a</w:t>
      </w:r>
      <w:r w:rsidR="00966CD7" w:rsidRPr="005A7E12">
        <w:t xml:space="preserve">vellano </w:t>
      </w:r>
      <w:r w:rsidR="00966CD7">
        <w:t>e</w:t>
      </w:r>
      <w:r w:rsidR="00966CD7" w:rsidRPr="005A7E12">
        <w:t xml:space="preserve">uropeo </w:t>
      </w:r>
      <w:r w:rsidRPr="005A7E12">
        <w:t>(17,6%).</w:t>
      </w:r>
    </w:p>
    <w:p w14:paraId="0FE4B59F" w14:textId="535CEF92" w:rsidR="001D00F0" w:rsidRPr="00FB51EE" w:rsidRDefault="005A7E12" w:rsidP="00761C45">
      <w:pPr>
        <w:jc w:val="both"/>
      </w:pPr>
      <w:r w:rsidRPr="005A7E12">
        <w:t>Respecto a la producción informada en el catastro,</w:t>
      </w:r>
      <w:r w:rsidR="001D00F0" w:rsidRPr="005A7E12">
        <w:t xml:space="preserve"> </w:t>
      </w:r>
      <w:r w:rsidRPr="005A7E12">
        <w:t>la</w:t>
      </w:r>
      <w:r w:rsidR="001D00F0" w:rsidRPr="005A7E12">
        <w:t xml:space="preserve"> fruta en la Región del Biobío alcanzó un total de 73.211,2 toneladas. La fruticultura regional tiene un fuerte enfoque en </w:t>
      </w:r>
      <w:r w:rsidR="009A7BA6">
        <w:t xml:space="preserve">los </w:t>
      </w:r>
      <w:r w:rsidR="001D00F0" w:rsidRPr="005A7E12">
        <w:t xml:space="preserve">mercados externos, ya que el 71,7% de la producción informada se destinó a </w:t>
      </w:r>
      <w:r w:rsidR="00966CD7">
        <w:t xml:space="preserve">la </w:t>
      </w:r>
      <w:r w:rsidR="001D00F0" w:rsidRPr="005A7E12">
        <w:t>exportación.</w:t>
      </w:r>
      <w:r>
        <w:t xml:space="preserve"> </w:t>
      </w:r>
      <w:r w:rsidR="001D00F0" w:rsidRPr="005A7E12">
        <w:t>Los arándanos americanos lideraron las exportaciones frutícolas regionales en 2022, con 21.421,4 toneladas, de las cuales el 83,6% se exportó.</w:t>
      </w:r>
      <w:r>
        <w:t xml:space="preserve"> Por su parte, l</w:t>
      </w:r>
      <w:r w:rsidR="001D00F0" w:rsidRPr="005A7E12">
        <w:t xml:space="preserve">as manzanas rojas representaron 29.726,4 toneladas de producción (84,7% </w:t>
      </w:r>
      <w:r w:rsidR="00966CD7">
        <w:t xml:space="preserve">de </w:t>
      </w:r>
      <w:r w:rsidR="001D00F0" w:rsidRPr="005A7E12">
        <w:t>exportación)</w:t>
      </w:r>
      <w:r>
        <w:t xml:space="preserve"> y</w:t>
      </w:r>
      <w:r w:rsidR="00966CD7">
        <w:t>,</w:t>
      </w:r>
      <w:r>
        <w:t xml:space="preserve"> en tercer lugar, l</w:t>
      </w:r>
      <w:r w:rsidR="001D00F0" w:rsidRPr="005A7E12">
        <w:t xml:space="preserve">os cerezos produjeron 6.734,2 toneladas, con un 80,1% </w:t>
      </w:r>
      <w:r w:rsidR="001D00F0" w:rsidRPr="00FB51EE">
        <w:t>destinado a la exportación.</w:t>
      </w:r>
    </w:p>
    <w:p w14:paraId="4F303B93" w14:textId="1D4B6BE9" w:rsidR="00FB51EE" w:rsidRDefault="00FB51EE" w:rsidP="00761C45">
      <w:pPr>
        <w:jc w:val="both"/>
      </w:pPr>
      <w:r w:rsidRPr="00FB51EE">
        <w:t>Según el Instituto de Investigaciones Agropecuarias (</w:t>
      </w:r>
      <w:r w:rsidRPr="00773E10">
        <w:t>INIA), la Región</w:t>
      </w:r>
      <w:r w:rsidRPr="00FB51EE">
        <w:t xml:space="preserve"> del Biobío presenta una estructura exportadora frutícola concentrada en mercados estratégicos de América del Norte y</w:t>
      </w:r>
      <w:r w:rsidR="00773E10">
        <w:t xml:space="preserve"> de</w:t>
      </w:r>
      <w:r w:rsidRPr="00FB51EE">
        <w:t xml:space="preserve"> Asia. En 2022, Estados Unidos se consolidó como el principal destino, con envíos por 84,1 millones de dólares FOB, equivalentes al 10 % y 13 % del total regional, </w:t>
      </w:r>
      <w:r w:rsidR="009D68D1">
        <w:t>donde destacan</w:t>
      </w:r>
      <w:r w:rsidR="009D68D1" w:rsidRPr="00FB51EE">
        <w:t xml:space="preserve"> </w:t>
      </w:r>
      <w:r w:rsidRPr="00FB51EE">
        <w:t xml:space="preserve">los arándanos como principal producto, junto con </w:t>
      </w:r>
      <w:r w:rsidRPr="004465CC">
        <w:t xml:space="preserve">otras </w:t>
      </w:r>
      <w:proofErr w:type="spellStart"/>
      <w:r w:rsidRPr="004465CC">
        <w:t>berries</w:t>
      </w:r>
      <w:proofErr w:type="spellEnd"/>
      <w:r w:rsidRPr="004465CC">
        <w:t xml:space="preserve"> y</w:t>
      </w:r>
      <w:r w:rsidRPr="00FB51EE">
        <w:t xml:space="preserve"> manzanas. En segundo </w:t>
      </w:r>
      <w:r w:rsidR="004465CC" w:rsidRPr="00FB51EE">
        <w:t>lugar,</w:t>
      </w:r>
      <w:r w:rsidRPr="00FB51EE">
        <w:t xml:space="preserve"> se ubicó Canadá, con una participación entre el 5,5 % y el 6,3 %, importando principalmente arándanos, frambuesas, moras, frutillas y manzanas. Por su parte, China ocupó el tercer puesto, concentrando entre el 3 % y el 4 % del valor total </w:t>
      </w:r>
      <w:r w:rsidR="00773E10">
        <w:t>de las exportaciones</w:t>
      </w:r>
      <w:r w:rsidRPr="00FB51EE">
        <w:t xml:space="preserve">, con una marcada demanda de cerezas, arándanos, manzanas y frutos secos. Otros mercados relevantes para la fruta regional fueron Países Bajos, Corea del Sur y Japón, que importaron principalmente arándanos, frutillas, cerezas y mosqueta, </w:t>
      </w:r>
      <w:r w:rsidR="00773E10">
        <w:t>lo que consolidó</w:t>
      </w:r>
      <w:r w:rsidRPr="00FB51EE">
        <w:t xml:space="preserve"> a la Región del Biobío como un exportador frutícola diversificado y competitivo dentro del hemisferio sur (</w:t>
      </w:r>
      <w:r w:rsidRPr="00FB51EE">
        <w:rPr>
          <w:i/>
          <w:iCs/>
        </w:rPr>
        <w:t>INIA, Libro INIA N.º 43</w:t>
      </w:r>
      <w:r w:rsidRPr="00FB51EE">
        <w:t>, 2022).</w:t>
      </w:r>
    </w:p>
    <w:p w14:paraId="1F9A6CC8" w14:textId="5A6A9EA0" w:rsidR="00CB50E4" w:rsidRPr="00CB50E4" w:rsidRDefault="00CB50E4" w:rsidP="00193DA2">
      <w:pPr>
        <w:pStyle w:val="Ttulo2"/>
      </w:pPr>
      <w:bookmarkStart w:id="5" w:name="_Toc215418141"/>
      <w:r w:rsidRPr="00CB50E4">
        <w:t>Fruticultura en la Provincia de Biobío</w:t>
      </w:r>
      <w:bookmarkEnd w:id="5"/>
    </w:p>
    <w:p w14:paraId="651F2309" w14:textId="5EBE670D" w:rsidR="00773E10" w:rsidRDefault="00FD3532" w:rsidP="00773E10">
      <w:pPr>
        <w:jc w:val="both"/>
      </w:pPr>
      <w:r w:rsidRPr="00FD3532">
        <w:t>De acuerdo con el Catastro Frutícola 2022 de la Región del Biobío, la actividad frutícola se desarrolla casi exclusivamente en la Provincia de Biobío</w:t>
      </w:r>
      <w:r w:rsidR="00773E10">
        <w:t>, con</w:t>
      </w:r>
      <w:r w:rsidRPr="00FD3532">
        <w:t xml:space="preserve"> 5.973,53 hectáreas</w:t>
      </w:r>
      <w:r w:rsidR="00773E10">
        <w:t xml:space="preserve">, que </w:t>
      </w:r>
      <w:r w:rsidRPr="00FD3532">
        <w:t>representa</w:t>
      </w:r>
      <w:r w:rsidR="00773E10">
        <w:t>n</w:t>
      </w:r>
      <w:r w:rsidRPr="00FD3532">
        <w:t xml:space="preserve"> el 98,2 % de la superficie frutícola regional total</w:t>
      </w:r>
      <w:r w:rsidR="00773E10">
        <w:t>,</w:t>
      </w:r>
      <w:r w:rsidRPr="00FD3532">
        <w:t xml:space="preserve"> </w:t>
      </w:r>
      <w:r w:rsidR="00773E10">
        <w:t xml:space="preserve">lo que evidencia </w:t>
      </w:r>
      <w:r w:rsidRPr="00FD3532">
        <w:t>una marcada concentración tanto en superficie como en número de predios productivos. Del total de 196 huertos catastrados con una superficie igual o superior a 0,5 h</w:t>
      </w:r>
      <w:r w:rsidR="00773E10">
        <w:t>a</w:t>
      </w:r>
      <w:r w:rsidRPr="00FD3532">
        <w:t xml:space="preserve">, la Provincia del Biobío concentra 183 predios. Esta concentración no solo se manifiesta en la cantidad de huertos, sino también en el tamaño de las explotaciones. En efecto, las seis explotaciones más grandes de la región, con superficies superiores a 500 </w:t>
      </w:r>
      <w:r w:rsidR="009D68D1">
        <w:t xml:space="preserve">ha </w:t>
      </w:r>
      <w:r w:rsidR="00773E10">
        <w:t>ha</w:t>
      </w:r>
      <w:r w:rsidRPr="00FD3532">
        <w:t xml:space="preserve">y un total de 561,55 hectáreas, </w:t>
      </w:r>
      <w:r w:rsidR="009D68D1">
        <w:t xml:space="preserve">que </w:t>
      </w:r>
      <w:r w:rsidRPr="00FD3532">
        <w:t xml:space="preserve">se ubican exclusivamente en la Provincia del Biobío. Asimismo, de las 89 explotaciones clasificadas entre 50 y 499,99 hectáreas, 86 se localizan en esta misma provincia, </w:t>
      </w:r>
      <w:r w:rsidR="00773E10">
        <w:t>lo que suma</w:t>
      </w:r>
      <w:r w:rsidRPr="00FD3532">
        <w:t xml:space="preserve"> 4.579,02 hectáreas.</w:t>
      </w:r>
      <w:r w:rsidR="00773E10">
        <w:t xml:space="preserve"> </w:t>
      </w:r>
      <w:r w:rsidR="00654D89">
        <w:t xml:space="preserve">Respecto a los cultivos predominantes de la provincia, estos coinciden con los de la región, los cuales se desglosan en la </w:t>
      </w:r>
      <w:r w:rsidR="00773E10">
        <w:t>Tabla 1.</w:t>
      </w:r>
      <w:r w:rsidR="00773E10" w:rsidRPr="00773E10">
        <w:t xml:space="preserve"> </w:t>
      </w:r>
      <w:r w:rsidR="00773E10" w:rsidRPr="00FD3532">
        <w:t>A nivel comunal, la actividad frutícola se concentra especialmente en Cabrero, comuna que lidera la superficie plantada regional con 3.163,36 hectáreas</w:t>
      </w:r>
      <w:r w:rsidR="00773E10">
        <w:t xml:space="preserve">. </w:t>
      </w:r>
      <w:r w:rsidR="00773E10" w:rsidRPr="00FD3532">
        <w:t>Otras comunas relevantes dentro de la provincia son Los Ángeles</w:t>
      </w:r>
      <w:r w:rsidR="00773E10">
        <w:t xml:space="preserve"> </w:t>
      </w:r>
      <w:r w:rsidR="00773E10" w:rsidRPr="00FD3532">
        <w:t>con 673,94 hectáreas, y Quilaco con 613,18 hectáreas, configurando así el núcleo productivo más importante de la fruticultura regional</w:t>
      </w:r>
      <w:r w:rsidR="00773E10">
        <w:t>.</w:t>
      </w:r>
    </w:p>
    <w:p w14:paraId="4B1C6397" w14:textId="77777777" w:rsidR="009D68D1" w:rsidRDefault="009D68D1" w:rsidP="00773E10">
      <w:pPr>
        <w:jc w:val="both"/>
      </w:pPr>
    </w:p>
    <w:p w14:paraId="2446A2EA" w14:textId="77777777" w:rsidR="009D68D1" w:rsidRDefault="009D68D1" w:rsidP="00773E10">
      <w:pPr>
        <w:jc w:val="both"/>
      </w:pPr>
    </w:p>
    <w:p w14:paraId="369D29DD" w14:textId="77777777" w:rsidR="009D68D1" w:rsidRDefault="009D68D1" w:rsidP="00773E10">
      <w:pPr>
        <w:jc w:val="both"/>
      </w:pPr>
    </w:p>
    <w:p w14:paraId="4A18B5DA" w14:textId="2D9C7EA9" w:rsidR="00654D89" w:rsidRDefault="00654D89" w:rsidP="00FD3532">
      <w:pPr>
        <w:jc w:val="both"/>
      </w:pPr>
      <w:r w:rsidRPr="00962223">
        <w:rPr>
          <w:b/>
          <w:bCs/>
        </w:rPr>
        <w:lastRenderedPageBreak/>
        <w:t>Tabla N°1: Superficie de las especies frutícolas predominantes en la Provincia de Biobío</w:t>
      </w:r>
      <w:r>
        <w:t>.</w:t>
      </w:r>
    </w:p>
    <w:tbl>
      <w:tblPr>
        <w:tblStyle w:val="Tablaconcuadrcula"/>
        <w:tblW w:w="0" w:type="auto"/>
        <w:tblLook w:val="04A0" w:firstRow="1" w:lastRow="0" w:firstColumn="1" w:lastColumn="0" w:noHBand="0" w:noVBand="1"/>
      </w:tblPr>
      <w:tblGrid>
        <w:gridCol w:w="2263"/>
        <w:gridCol w:w="1843"/>
        <w:gridCol w:w="4722"/>
      </w:tblGrid>
      <w:tr w:rsidR="00654D89" w:rsidRPr="00654D89" w14:paraId="3F8899B5" w14:textId="77777777" w:rsidTr="008770FE">
        <w:tc>
          <w:tcPr>
            <w:tcW w:w="2263" w:type="dxa"/>
          </w:tcPr>
          <w:p w14:paraId="3FB4624C" w14:textId="6BDDEDFB" w:rsidR="00654D89" w:rsidRPr="00654D89" w:rsidRDefault="00654D89" w:rsidP="00FD3532">
            <w:pPr>
              <w:jc w:val="both"/>
              <w:rPr>
                <w:rFonts w:cstheme="minorHAnsi"/>
                <w:b/>
                <w:bCs/>
              </w:rPr>
            </w:pPr>
            <w:r w:rsidRPr="00654D89">
              <w:rPr>
                <w:rFonts w:cstheme="minorHAnsi"/>
                <w:b/>
                <w:bCs/>
              </w:rPr>
              <w:t>Especie Frutícola</w:t>
            </w:r>
          </w:p>
        </w:tc>
        <w:tc>
          <w:tcPr>
            <w:tcW w:w="1843" w:type="dxa"/>
          </w:tcPr>
          <w:p w14:paraId="062BCD7D" w14:textId="39F809B2" w:rsidR="00654D89" w:rsidRPr="00654D89" w:rsidRDefault="00654D89" w:rsidP="00FD3532">
            <w:pPr>
              <w:jc w:val="both"/>
              <w:rPr>
                <w:rFonts w:cstheme="minorHAnsi"/>
                <w:b/>
                <w:bCs/>
              </w:rPr>
            </w:pPr>
            <w:r w:rsidRPr="00654D89">
              <w:rPr>
                <w:rFonts w:cstheme="minorHAnsi"/>
                <w:b/>
                <w:bCs/>
              </w:rPr>
              <w:t xml:space="preserve">Superficie (ha) </w:t>
            </w:r>
          </w:p>
        </w:tc>
        <w:tc>
          <w:tcPr>
            <w:tcW w:w="4722" w:type="dxa"/>
          </w:tcPr>
          <w:p w14:paraId="5976D9A6" w14:textId="0044C98A" w:rsidR="00654D89" w:rsidRPr="00654D89" w:rsidRDefault="00654D89" w:rsidP="00FD3532">
            <w:pPr>
              <w:jc w:val="both"/>
              <w:rPr>
                <w:rFonts w:cstheme="minorHAnsi"/>
                <w:b/>
                <w:bCs/>
              </w:rPr>
            </w:pPr>
            <w:r w:rsidRPr="00654D89">
              <w:rPr>
                <w:rFonts w:cstheme="minorHAnsi"/>
                <w:b/>
                <w:bCs/>
              </w:rPr>
              <w:t>Comunas con Superficie Reportada</w:t>
            </w:r>
          </w:p>
        </w:tc>
      </w:tr>
      <w:tr w:rsidR="00654D89" w:rsidRPr="00654D89" w14:paraId="06256DAE" w14:textId="77777777" w:rsidTr="008770FE">
        <w:tc>
          <w:tcPr>
            <w:tcW w:w="2263" w:type="dxa"/>
            <w:vAlign w:val="center"/>
          </w:tcPr>
          <w:p w14:paraId="767D9DE0" w14:textId="27277600" w:rsidR="00654D89" w:rsidRPr="00654D89" w:rsidRDefault="00654D89" w:rsidP="00654D89">
            <w:pPr>
              <w:jc w:val="both"/>
              <w:rPr>
                <w:rFonts w:cstheme="minorHAnsi"/>
              </w:rPr>
            </w:pPr>
            <w:r w:rsidRPr="00654D89">
              <w:rPr>
                <w:rFonts w:cstheme="minorHAnsi"/>
                <w:color w:val="303030"/>
              </w:rPr>
              <w:t>Arándano Americano</w:t>
            </w:r>
          </w:p>
        </w:tc>
        <w:tc>
          <w:tcPr>
            <w:tcW w:w="1843" w:type="dxa"/>
            <w:vAlign w:val="center"/>
          </w:tcPr>
          <w:p w14:paraId="4C1E9482" w14:textId="2FE6A3E9" w:rsidR="00654D89" w:rsidRPr="00654D89" w:rsidRDefault="00654D89" w:rsidP="00654D89">
            <w:pPr>
              <w:jc w:val="both"/>
              <w:rPr>
                <w:rFonts w:cstheme="minorHAnsi"/>
              </w:rPr>
            </w:pPr>
            <w:r w:rsidRPr="00654D89">
              <w:rPr>
                <w:rFonts w:cstheme="minorHAnsi"/>
                <w:color w:val="303030"/>
              </w:rPr>
              <w:t>1.730,61 ha</w:t>
            </w:r>
          </w:p>
        </w:tc>
        <w:tc>
          <w:tcPr>
            <w:tcW w:w="4722" w:type="dxa"/>
            <w:vAlign w:val="center"/>
          </w:tcPr>
          <w:p w14:paraId="4C341C10" w14:textId="3E2AE72E" w:rsidR="00654D89" w:rsidRPr="00654D89" w:rsidRDefault="00654D89" w:rsidP="00654D89">
            <w:pPr>
              <w:jc w:val="both"/>
              <w:rPr>
                <w:rFonts w:cstheme="minorHAnsi"/>
              </w:rPr>
            </w:pPr>
            <w:r w:rsidRPr="00654D89">
              <w:rPr>
                <w:rStyle w:val="ng-star-inserted"/>
                <w:rFonts w:cstheme="minorHAnsi"/>
                <w:color w:val="303030"/>
              </w:rPr>
              <w:t>Cabrero (1.130,15 ha), Los Ángeles (71,46 ha), Mulchén (1,05 ha), Nacimiento (65,46 ha), Negrete (206,67 ha), Quilaco (18,12 ha), Quilleco (116,59 ha), San Rosendo (10,08 ha), Santa Bárbara (79,23 ha), Tucapel (31,80 ha)</w:t>
            </w:r>
          </w:p>
        </w:tc>
      </w:tr>
      <w:tr w:rsidR="00654D89" w:rsidRPr="00654D89" w14:paraId="56881A13" w14:textId="77777777" w:rsidTr="008770FE">
        <w:tc>
          <w:tcPr>
            <w:tcW w:w="2263" w:type="dxa"/>
            <w:vAlign w:val="center"/>
          </w:tcPr>
          <w:p w14:paraId="64ED53D9" w14:textId="72F841E7" w:rsidR="00654D89" w:rsidRPr="00654D89" w:rsidRDefault="00654D89" w:rsidP="00654D89">
            <w:pPr>
              <w:jc w:val="both"/>
              <w:rPr>
                <w:rFonts w:cstheme="minorHAnsi"/>
              </w:rPr>
            </w:pPr>
            <w:r w:rsidRPr="00654D89">
              <w:rPr>
                <w:rFonts w:cstheme="minorHAnsi"/>
                <w:color w:val="303030"/>
              </w:rPr>
              <w:t>Nogal</w:t>
            </w:r>
          </w:p>
        </w:tc>
        <w:tc>
          <w:tcPr>
            <w:tcW w:w="1843" w:type="dxa"/>
            <w:vAlign w:val="center"/>
          </w:tcPr>
          <w:p w14:paraId="7FB6890A" w14:textId="39053A12" w:rsidR="00654D89" w:rsidRPr="00654D89" w:rsidRDefault="00654D89" w:rsidP="00654D89">
            <w:pPr>
              <w:jc w:val="both"/>
              <w:rPr>
                <w:rFonts w:cstheme="minorHAnsi"/>
              </w:rPr>
            </w:pPr>
            <w:r w:rsidRPr="00654D89">
              <w:rPr>
                <w:rFonts w:cstheme="minorHAnsi"/>
                <w:color w:val="303030"/>
              </w:rPr>
              <w:t>1.534,08 ha</w:t>
            </w:r>
          </w:p>
        </w:tc>
        <w:tc>
          <w:tcPr>
            <w:tcW w:w="4722" w:type="dxa"/>
            <w:vAlign w:val="center"/>
          </w:tcPr>
          <w:p w14:paraId="18B44357" w14:textId="1891A7D2" w:rsidR="00654D89" w:rsidRPr="00654D89" w:rsidRDefault="00654D89" w:rsidP="00654D89">
            <w:pPr>
              <w:jc w:val="both"/>
              <w:rPr>
                <w:rFonts w:cstheme="minorHAnsi"/>
              </w:rPr>
            </w:pPr>
            <w:r w:rsidRPr="00654D89">
              <w:rPr>
                <w:rStyle w:val="ng-star-inserted"/>
                <w:rFonts w:cstheme="minorHAnsi"/>
                <w:color w:val="303030"/>
              </w:rPr>
              <w:t>Cabrero (621,17 ha), Los Ángeles (303,69 ha), Nacimiento (8,85 ha), Negrete (3,68 ha), Quilaco (358,89 ha), San Rosendo (3,00 ha), Santa Bárbara (234,80 ha)</w:t>
            </w:r>
          </w:p>
        </w:tc>
      </w:tr>
      <w:tr w:rsidR="00654D89" w:rsidRPr="00654D89" w14:paraId="1CE4745D" w14:textId="77777777" w:rsidTr="008770FE">
        <w:tc>
          <w:tcPr>
            <w:tcW w:w="2263" w:type="dxa"/>
            <w:vAlign w:val="center"/>
          </w:tcPr>
          <w:p w14:paraId="3E5D30F5" w14:textId="138A4376" w:rsidR="00654D89" w:rsidRPr="00654D89" w:rsidRDefault="00654D89" w:rsidP="00654D89">
            <w:pPr>
              <w:jc w:val="both"/>
              <w:rPr>
                <w:rFonts w:cstheme="minorHAnsi"/>
              </w:rPr>
            </w:pPr>
            <w:r w:rsidRPr="00654D89">
              <w:rPr>
                <w:rFonts w:cstheme="minorHAnsi"/>
                <w:color w:val="303030"/>
              </w:rPr>
              <w:t>Avellano</w:t>
            </w:r>
          </w:p>
        </w:tc>
        <w:tc>
          <w:tcPr>
            <w:tcW w:w="1843" w:type="dxa"/>
            <w:vAlign w:val="center"/>
          </w:tcPr>
          <w:p w14:paraId="182BE99E" w14:textId="3A4AB778" w:rsidR="00654D89" w:rsidRPr="00654D89" w:rsidRDefault="00654D89" w:rsidP="00654D89">
            <w:pPr>
              <w:jc w:val="both"/>
              <w:rPr>
                <w:rFonts w:cstheme="minorHAnsi"/>
              </w:rPr>
            </w:pPr>
            <w:r w:rsidRPr="00654D89">
              <w:rPr>
                <w:rFonts w:cstheme="minorHAnsi"/>
                <w:color w:val="303030"/>
              </w:rPr>
              <w:t>1.147,14 ha</w:t>
            </w:r>
          </w:p>
        </w:tc>
        <w:tc>
          <w:tcPr>
            <w:tcW w:w="4722" w:type="dxa"/>
            <w:vAlign w:val="center"/>
          </w:tcPr>
          <w:p w14:paraId="67AE183B" w14:textId="5F6D59DF" w:rsidR="00654D89" w:rsidRPr="00654D89" w:rsidRDefault="00654D89" w:rsidP="00654D89">
            <w:pPr>
              <w:jc w:val="both"/>
              <w:rPr>
                <w:rFonts w:cstheme="minorHAnsi"/>
              </w:rPr>
            </w:pPr>
            <w:r w:rsidRPr="00654D89">
              <w:rPr>
                <w:rStyle w:val="ng-star-inserted"/>
                <w:rFonts w:cstheme="minorHAnsi"/>
                <w:color w:val="303030"/>
              </w:rPr>
              <w:t>Cabrero (699,52 ha), Los Ángeles (90,20 ha), Nacimiento (100,70 ha), Negrete (46,61 ha), Quilaco (141,71 ha), Quilleco (58,05 ha), San Rosendo (10,35 ha)</w:t>
            </w:r>
          </w:p>
        </w:tc>
      </w:tr>
      <w:tr w:rsidR="00654D89" w:rsidRPr="00654D89" w14:paraId="4DE60476" w14:textId="77777777" w:rsidTr="008770FE">
        <w:tc>
          <w:tcPr>
            <w:tcW w:w="2263" w:type="dxa"/>
            <w:vAlign w:val="center"/>
          </w:tcPr>
          <w:p w14:paraId="0350E0F7" w14:textId="67492585" w:rsidR="00654D89" w:rsidRPr="00654D89" w:rsidRDefault="00654D89" w:rsidP="00654D89">
            <w:pPr>
              <w:jc w:val="both"/>
              <w:rPr>
                <w:rFonts w:cstheme="minorHAnsi"/>
              </w:rPr>
            </w:pPr>
            <w:r w:rsidRPr="00654D89">
              <w:rPr>
                <w:rFonts w:cstheme="minorHAnsi"/>
                <w:color w:val="303030"/>
              </w:rPr>
              <w:t>Cerezo</w:t>
            </w:r>
          </w:p>
        </w:tc>
        <w:tc>
          <w:tcPr>
            <w:tcW w:w="1843" w:type="dxa"/>
            <w:vAlign w:val="center"/>
          </w:tcPr>
          <w:p w14:paraId="50D31AA7" w14:textId="7C3145AA" w:rsidR="00654D89" w:rsidRPr="00654D89" w:rsidRDefault="00654D89" w:rsidP="00654D89">
            <w:pPr>
              <w:jc w:val="both"/>
              <w:rPr>
                <w:rFonts w:cstheme="minorHAnsi"/>
              </w:rPr>
            </w:pPr>
            <w:r w:rsidRPr="00654D89">
              <w:rPr>
                <w:rFonts w:cstheme="minorHAnsi"/>
                <w:color w:val="303030"/>
              </w:rPr>
              <w:t>673,16 ha</w:t>
            </w:r>
          </w:p>
        </w:tc>
        <w:tc>
          <w:tcPr>
            <w:tcW w:w="4722" w:type="dxa"/>
            <w:vAlign w:val="center"/>
          </w:tcPr>
          <w:p w14:paraId="4DB257FB" w14:textId="094A8F9C" w:rsidR="00654D89" w:rsidRPr="00654D89" w:rsidRDefault="00654D89" w:rsidP="00654D89">
            <w:pPr>
              <w:jc w:val="both"/>
              <w:rPr>
                <w:rFonts w:cstheme="minorHAnsi"/>
              </w:rPr>
            </w:pPr>
            <w:r w:rsidRPr="00654D89">
              <w:rPr>
                <w:rStyle w:val="ng-star-inserted"/>
                <w:rFonts w:cstheme="minorHAnsi"/>
                <w:color w:val="303030"/>
              </w:rPr>
              <w:t>Cabrero (401,58 ha), Los Ángeles (34,74 ha), Negrete (39,17 ha), Quilaco (21,42 ha), San Rosendo (38,05 ha), Santa Bárbara (119,35 ha), Tucapel (18,85 ha)</w:t>
            </w:r>
          </w:p>
        </w:tc>
      </w:tr>
    </w:tbl>
    <w:p w14:paraId="704BA694" w14:textId="33244BBC" w:rsidR="00654D89" w:rsidRPr="00FD4C89" w:rsidRDefault="00654D89" w:rsidP="00FD3532">
      <w:pPr>
        <w:jc w:val="both"/>
        <w:rPr>
          <w:i/>
          <w:iCs/>
        </w:rPr>
      </w:pPr>
      <w:r w:rsidRPr="00FD4C89">
        <w:rPr>
          <w:i/>
          <w:iCs/>
        </w:rPr>
        <w:t>Fuente: Catastro Frutícola 2022 (ODEPA-CIREN).</w:t>
      </w:r>
    </w:p>
    <w:p w14:paraId="24DB87DD" w14:textId="15057635" w:rsidR="00FB51EE" w:rsidRPr="00AA0FBC" w:rsidRDefault="00FB51EE" w:rsidP="00193DA2">
      <w:pPr>
        <w:pStyle w:val="Ttulo2"/>
        <w:jc w:val="both"/>
      </w:pPr>
      <w:bookmarkStart w:id="6" w:name="_Toc215418142"/>
      <w:r w:rsidRPr="00AA0FBC">
        <w:t xml:space="preserve">Oportunidades y </w:t>
      </w:r>
      <w:r w:rsidR="0098513E">
        <w:t>a</w:t>
      </w:r>
      <w:r w:rsidRPr="00AA0FBC">
        <w:t>menazas de la fruticultura en la Región del Biobío</w:t>
      </w:r>
      <w:bookmarkEnd w:id="6"/>
    </w:p>
    <w:p w14:paraId="5A0F62A8" w14:textId="11B9EC69" w:rsidR="00FB51EE" w:rsidRPr="00AA0FBC" w:rsidRDefault="00AA0FBC" w:rsidP="009E5600">
      <w:pPr>
        <w:jc w:val="both"/>
      </w:pPr>
      <w:r w:rsidRPr="00AA0FBC">
        <w:t xml:space="preserve">Según el Instituto de Investigaciones Agropecuarias (INIA, 2022), la Región del Biobío presenta una oportunidad agroclimática excepcional para el desarrollo frutícola, derivada de su condición de zona de transición entre los climas mediterráneos del centro y los templados húmedos del sur de Chile. </w:t>
      </w:r>
      <w:r w:rsidR="009D68D1">
        <w:t>Esta transición climática</w:t>
      </w:r>
      <w:r w:rsidRPr="00AA0FBC">
        <w:t xml:space="preserve"> genera una combinación de invierno frío y lluvioso junto con veranos secos y cálidos, lo que permite cumplir con los requerimientos de horas</w:t>
      </w:r>
      <w:r w:rsidR="00773E10">
        <w:t>-</w:t>
      </w:r>
      <w:r w:rsidRPr="00AA0FBC">
        <w:t xml:space="preserve">frío y tiempo térmico (grados días de desarrollo) necesarios para una amplia gama de especies frutales. Las temperaturas medias anuales de entre 13 °C y 14 °C, con mínimas de hasta -5 °C en invierno y máximas de 35 °C en verano, ofrecen condiciones ideales para el desarrollo fisiológico de frutales caducifolios como el </w:t>
      </w:r>
      <w:r w:rsidR="00773E10">
        <w:t>nogal, el avellano europeo, el cerezo y el castaño, que requieren la acumulación de frío invernal para un brote y una</w:t>
      </w:r>
      <w:r w:rsidR="00773E10" w:rsidRPr="00AA0FBC" w:rsidDel="00773E10">
        <w:t xml:space="preserve"> </w:t>
      </w:r>
      <w:r w:rsidRPr="00AA0FBC">
        <w:t xml:space="preserve">floración homogéneos. Asimismo, el tiempo térmico estival favorece la maduración, </w:t>
      </w:r>
      <w:r w:rsidR="00773E10">
        <w:t xml:space="preserve">el </w:t>
      </w:r>
      <w:r w:rsidRPr="00AA0FBC">
        <w:t>calibre y</w:t>
      </w:r>
      <w:r w:rsidR="00773E10">
        <w:t xml:space="preserve"> la</w:t>
      </w:r>
      <w:r w:rsidRPr="00AA0FBC">
        <w:t xml:space="preserve"> coloración de los frutos, </w:t>
      </w:r>
      <w:r w:rsidR="009D68D1">
        <w:t xml:space="preserve">que son </w:t>
      </w:r>
      <w:r w:rsidRPr="00AA0FBC">
        <w:t xml:space="preserve">condiciones esenciales para </w:t>
      </w:r>
      <w:r w:rsidR="00773E10">
        <w:t>cumplir con</w:t>
      </w:r>
      <w:r w:rsidRPr="00AA0FBC">
        <w:t xml:space="preserve"> los estándares de calidad exigidos por los mercados internacionales. </w:t>
      </w:r>
      <w:r w:rsidR="00773E10">
        <w:t>El régimen</w:t>
      </w:r>
      <w:r w:rsidRPr="00AA0FBC">
        <w:t xml:space="preserve"> climático, </w:t>
      </w:r>
      <w:r w:rsidR="00773E10">
        <w:t>y</w:t>
      </w:r>
      <w:r w:rsidRPr="00AA0FBC">
        <w:t xml:space="preserve"> suelos fértiles y bien drenados en sectores como Santa Bárbara, Collipulli y Nahuelbuta, permite</w:t>
      </w:r>
      <w:r w:rsidR="009D68D1">
        <w:t>n</w:t>
      </w:r>
      <w:r w:rsidRPr="00AA0FBC">
        <w:t xml:space="preserve"> una diversificación frutícola competitiva, posicionando a la Región del Biobío como un territorio estratégico para la expansión sustentable de la fruticultura en el sur de Chile</w:t>
      </w:r>
      <w:r w:rsidR="008060CF">
        <w:t>.</w:t>
      </w:r>
    </w:p>
    <w:p w14:paraId="0E4064D1" w14:textId="7AB858A9" w:rsidR="00AA0FBC" w:rsidRPr="00AA0FBC" w:rsidRDefault="00AA0FBC" w:rsidP="00AA0FBC">
      <w:pPr>
        <w:jc w:val="both"/>
      </w:pPr>
      <w:r w:rsidRPr="00AA0FBC">
        <w:t xml:space="preserve">Otra de las oportunidades que posee </w:t>
      </w:r>
      <w:r w:rsidR="009D68D1">
        <w:t xml:space="preserve">el </w:t>
      </w:r>
      <w:r w:rsidRPr="00AA0FBC">
        <w:t xml:space="preserve">sector frutícola de la región radica en su alto nivel de tecnificación del riego, que </w:t>
      </w:r>
      <w:proofErr w:type="gramStart"/>
      <w:r w:rsidRPr="00AA0FBC">
        <w:t>le</w:t>
      </w:r>
      <w:proofErr w:type="gramEnd"/>
      <w:r w:rsidRPr="00AA0FBC">
        <w:t xml:space="preserve"> otorga una ventaja competitiva frente a otras regiones productoras del país. Según </w:t>
      </w:r>
      <w:r w:rsidR="00773E10" w:rsidRPr="009D68D1">
        <w:t>INIA</w:t>
      </w:r>
      <w:r w:rsidRPr="003D54C9">
        <w:t xml:space="preserve"> (2022)</w:t>
      </w:r>
      <w:r w:rsidRPr="009D68D1">
        <w:t>,</w:t>
      </w:r>
      <w:r w:rsidRPr="00AA0FBC">
        <w:t xml:space="preserve"> el 96,8 % de la superficie frutal regional cuenta con sistemas de riego tecnificado</w:t>
      </w:r>
      <w:r w:rsidR="00773E10">
        <w:t>s</w:t>
      </w:r>
      <w:r w:rsidRPr="00AA0FBC">
        <w:t xml:space="preserve">, predominando el </w:t>
      </w:r>
      <w:proofErr w:type="spellStart"/>
      <w:r w:rsidRPr="00AA0FBC">
        <w:t>microriego</w:t>
      </w:r>
      <w:proofErr w:type="spellEnd"/>
      <w:r w:rsidRPr="00AA0FBC">
        <w:t xml:space="preserve"> por goteo, lo que permite un uso más eficiente del recurso hídrico y una producción más sustentable. En el caso de los </w:t>
      </w:r>
      <w:proofErr w:type="spellStart"/>
      <w:r w:rsidRPr="008770FE">
        <w:rPr>
          <w:i/>
          <w:iCs/>
        </w:rPr>
        <w:t>berries</w:t>
      </w:r>
      <w:proofErr w:type="spellEnd"/>
      <w:r w:rsidRPr="00AA0FBC">
        <w:t xml:space="preserve">, como el arándano americano y la frambuesa, la cobertura de riego alcanza el 99,8 % de la superficie, casi en su totalidad bajo goteo, </w:t>
      </w:r>
      <w:r w:rsidR="00B84314">
        <w:t xml:space="preserve">lo </w:t>
      </w:r>
      <w:r w:rsidR="00773E10">
        <w:t xml:space="preserve">que contribuye a la </w:t>
      </w:r>
      <w:r w:rsidRPr="00AA0FBC">
        <w:t>uniformidad en la calidad del fruto y</w:t>
      </w:r>
      <w:r w:rsidR="00B84314">
        <w:t xml:space="preserve"> a la</w:t>
      </w:r>
      <w:r w:rsidRPr="00AA0FBC">
        <w:t xml:space="preserve"> estabilidad en la producción. Esta tecnología también se ha ex</w:t>
      </w:r>
      <w:r w:rsidR="00B84314">
        <w:t>te</w:t>
      </w:r>
      <w:r w:rsidRPr="00AA0FBC">
        <w:t xml:space="preserve">ndido a los frutales mayores, destacando </w:t>
      </w:r>
      <w:r w:rsidR="00B84314">
        <w:t>su</w:t>
      </w:r>
      <w:r w:rsidR="00773E10">
        <w:t xml:space="preserve"> </w:t>
      </w:r>
      <w:r w:rsidR="00773E10">
        <w:lastRenderedPageBreak/>
        <w:t>aplic</w:t>
      </w:r>
      <w:r w:rsidRPr="00AA0FBC">
        <w:t xml:space="preserve">ación en el avellano europeo (93 %) y el cerezo (87 %), especies que requieren precisión en el manejo hídrico para alcanzar calibres y rendimientos óptimos. Esta condición posiciona a la región como un referente en eficiencia </w:t>
      </w:r>
      <w:r w:rsidR="00B84314">
        <w:t xml:space="preserve">en </w:t>
      </w:r>
      <w:r w:rsidRPr="00AA0FBC">
        <w:t xml:space="preserve">el uso del agua, aspecto crucial ante el escenario de variabilidad climática y restricciones hídricas que enfrenta el país, </w:t>
      </w:r>
      <w:r w:rsidR="00B84314">
        <w:t>lo que genera</w:t>
      </w:r>
      <w:r w:rsidRPr="00AA0FBC">
        <w:t xml:space="preserve"> una oportunidad para fortalecer su sostenibilidad y competitividad exportadora.</w:t>
      </w:r>
    </w:p>
    <w:p w14:paraId="57686DC8" w14:textId="6DD613B1" w:rsidR="00AA0FBC" w:rsidRPr="00AA0FBC" w:rsidRDefault="00AA0FBC" w:rsidP="00AA0FBC">
      <w:pPr>
        <w:jc w:val="both"/>
      </w:pPr>
      <w:r w:rsidRPr="00AA0FBC">
        <w:t xml:space="preserve">Por su parte, el alto nivel de formalización empresarial refleja una estructura productiva consolidada, orientada a la exportación y con capacidad </w:t>
      </w:r>
      <w:r w:rsidR="00B84314">
        <w:t>para</w:t>
      </w:r>
      <w:r w:rsidRPr="00AA0FBC">
        <w:t xml:space="preserve"> cumplir con los estándares internacionales de calidad. De acuerdo con el INIA (2022), el 83,8 % de la superficie de frutales mayores en la región pertenece a empresas formalmente constituidas, lo que evidencia una gestión profesionalizada y </w:t>
      </w:r>
      <w:r w:rsidR="00452E26">
        <w:t xml:space="preserve">el </w:t>
      </w:r>
      <w:r w:rsidRPr="00AA0FBC">
        <w:t xml:space="preserve">acceso a instrumentos de fomento, financiamiento y certificaciones de calidad. Esta formalización se intensifica en las explotaciones de mayor tamaño, donde el 87,3 % de la superficie frutal total corresponde a huertos superiores a 9,99 hectáreas, concentrándose las de mayor escala en predios de más de 99,99 hectáreas. Este perfil empresarial facilita la adopción tecnológica, la trazabilidad y la integración </w:t>
      </w:r>
      <w:r w:rsidR="00452E26">
        <w:t>en</w:t>
      </w:r>
      <w:r w:rsidRPr="00AA0FBC">
        <w:t xml:space="preserve"> cadenas de valor globales, </w:t>
      </w:r>
      <w:r w:rsidR="00452E26">
        <w:t xml:space="preserve">lo que genera </w:t>
      </w:r>
      <w:r w:rsidRPr="00AA0FBC">
        <w:t xml:space="preserve">oportunidades para potenciar la asociatividad, </w:t>
      </w:r>
      <w:r w:rsidR="00B84314">
        <w:t xml:space="preserve">la </w:t>
      </w:r>
      <w:r w:rsidRPr="00AA0FBC">
        <w:t>innovación y</w:t>
      </w:r>
      <w:r w:rsidR="00B84314">
        <w:t xml:space="preserve"> el</w:t>
      </w:r>
      <w:r w:rsidRPr="00AA0FBC">
        <w:t xml:space="preserve"> desarrollo de capital humano especializado, pilares esenciales para consolidar un modelo de fruticultura moderna, sostenible y competitiva a nivel internacional</w:t>
      </w:r>
      <w:r w:rsidR="008060CF">
        <w:t>.</w:t>
      </w:r>
    </w:p>
    <w:p w14:paraId="1BFB21AA" w14:textId="2B237ED6" w:rsidR="003373D8" w:rsidRPr="003373D8" w:rsidRDefault="003373D8" w:rsidP="003373D8">
      <w:pPr>
        <w:jc w:val="both"/>
      </w:pPr>
      <w:r w:rsidRPr="003373D8">
        <w:t xml:space="preserve">Otra oportunidad relevante para el sector frutícola de la Región del Biobío es la infraestructura logística y portuaria que sostiene </w:t>
      </w:r>
      <w:r w:rsidR="00452E26">
        <w:t>la</w:t>
      </w:r>
      <w:r w:rsidRPr="003373D8">
        <w:t xml:space="preserve"> capacidad exportadora, especialmente en </w:t>
      </w:r>
      <w:r w:rsidR="00B84314">
        <w:t>materia</w:t>
      </w:r>
      <w:r w:rsidRPr="003373D8">
        <w:t xml:space="preserve"> de conectividad marítima y</w:t>
      </w:r>
      <w:r w:rsidR="00B84314">
        <w:t xml:space="preserve"> </w:t>
      </w:r>
      <w:r w:rsidRPr="003373D8">
        <w:t xml:space="preserve">servicios aduaneros especializados. Un elemento estratégico dentro de esta red es el Sitio de Inspección de Fruta Fresca SAG–USDA, ubicado en Cabrero, que funciona como una plataforma público-privada entre el Servicio Agrícola y Ganadero (SAG), el Servicio de Inspección de Sanidad Animal y Vegetal (APHIS) del Departamento de Agricultura de Estados Unidos (USDA) y la Asociación de Exportadores de Frutas de Chile (ASOEX). Esta infraestructura fue concebida para facilitar la inspección y certificación fitosanitaria de la fruta destinada a </w:t>
      </w:r>
      <w:r w:rsidR="00B84314">
        <w:t xml:space="preserve">la </w:t>
      </w:r>
      <w:r w:rsidRPr="003373D8">
        <w:t>exportación, agilizando los procesos y reduciendo los costos logísticos para los productores y exportadores del centro-sur del país. Su ubicación estratégica en Cabrero, próxima a la Ruta 5 Sur, fortalece la conexión entre los valles frutícolas del Biobío y los principales puertos regionales, consolidando a la zona como un nodo clave dentro de la cadena de exportación frutícola nacional.</w:t>
      </w:r>
    </w:p>
    <w:p w14:paraId="0C472C7C" w14:textId="4E18F884" w:rsidR="003373D8" w:rsidRPr="003373D8" w:rsidRDefault="003373D8" w:rsidP="003373D8">
      <w:pPr>
        <w:jc w:val="both"/>
      </w:pPr>
      <w:r w:rsidRPr="003373D8">
        <w:t xml:space="preserve">Asimismo, la Región del Biobío cuenta con una red portuaria diversificada, integrada por seis puertos activos (Penco, Lirquén, Talcahuano, San Vicente, Huachipato y </w:t>
      </w:r>
      <w:proofErr w:type="gramStart"/>
      <w:r w:rsidRPr="003373D8">
        <w:t>Coronel</w:t>
      </w:r>
      <w:proofErr w:type="gramEnd"/>
      <w:r w:rsidRPr="003373D8">
        <w:t xml:space="preserve">), lo que la convierte en una de las regiones con mayor capacidad logística del centro sur de Chile. En 2022, movilizó aproximadamente el 17% de la carga exportada y el 26,4% de la importada a nivel nacional, consolidando su rol como </w:t>
      </w:r>
      <w:proofErr w:type="spellStart"/>
      <w:proofErr w:type="gramStart"/>
      <w:r w:rsidRPr="008770FE">
        <w:rPr>
          <w:i/>
          <w:iCs/>
        </w:rPr>
        <w:t>hub</w:t>
      </w:r>
      <w:proofErr w:type="spellEnd"/>
      <w:proofErr w:type="gramEnd"/>
      <w:r w:rsidRPr="003373D8">
        <w:t xml:space="preserve"> logístico de alcance internacional. En el ámbito frutícola, destacan los puertos de </w:t>
      </w:r>
      <w:proofErr w:type="gramStart"/>
      <w:r w:rsidRPr="003373D8">
        <w:t>Coronel</w:t>
      </w:r>
      <w:proofErr w:type="gramEnd"/>
      <w:r w:rsidRPr="003373D8">
        <w:t xml:space="preserve"> y San Vicente, que registraron más de 1,1 millones de toneladas de carga </w:t>
      </w:r>
      <w:proofErr w:type="spellStart"/>
      <w:r w:rsidRPr="003373D8">
        <w:t>frigorizada</w:t>
      </w:r>
      <w:proofErr w:type="spellEnd"/>
      <w:r w:rsidRPr="003373D8">
        <w:t xml:space="preserve">, </w:t>
      </w:r>
      <w:r w:rsidR="0094661F">
        <w:t xml:space="preserve">que es </w:t>
      </w:r>
      <w:r w:rsidRPr="003373D8">
        <w:t xml:space="preserve">esencial para la preservación de fruta fresca de exportación. </w:t>
      </w:r>
      <w:r w:rsidR="0094661F">
        <w:t>L</w:t>
      </w:r>
      <w:r w:rsidRPr="003373D8">
        <w:t xml:space="preserve">a combinación de infraestructura portuaria avanzada, conectividad terrestre y servicios fitosanitarios especializados otorga al Biobío una ventaja estructural para la expansión del comercio exterior frutícola, </w:t>
      </w:r>
      <w:r w:rsidR="0094661F">
        <w:t>pues</w:t>
      </w:r>
      <w:r w:rsidRPr="003373D8">
        <w:t xml:space="preserve"> facilita la trazabilidad, </w:t>
      </w:r>
      <w:r w:rsidR="006B7762" w:rsidRPr="003373D8">
        <w:t>reduc</w:t>
      </w:r>
      <w:r w:rsidR="006B7762">
        <w:t>e</w:t>
      </w:r>
      <w:r w:rsidR="006B7762" w:rsidRPr="003373D8">
        <w:t xml:space="preserve"> </w:t>
      </w:r>
      <w:r w:rsidR="006B7762">
        <w:t xml:space="preserve">los </w:t>
      </w:r>
      <w:r w:rsidRPr="003373D8">
        <w:t>tiempos logísticos y fortalece la competitividad regional en los mercados internacionales</w:t>
      </w:r>
      <w:r w:rsidR="008060CF">
        <w:t>.</w:t>
      </w:r>
    </w:p>
    <w:p w14:paraId="31B52BF8" w14:textId="39B638C0" w:rsidR="00831B26" w:rsidRPr="00831B26" w:rsidRDefault="0041559B" w:rsidP="00831B26">
      <w:pPr>
        <w:jc w:val="both"/>
      </w:pPr>
      <w:r>
        <w:t>Sin embargo, s</w:t>
      </w:r>
      <w:r w:rsidR="00831B26" w:rsidRPr="00831B26">
        <w:t xml:space="preserve">egún el documento “Desafíos del sector silvoagropecuario y de la cadena alimentaria 2023” elaborado por la Oficina de Estudios y Políticas Agrarias (ODEPA, 2023), la fruticultura de la </w:t>
      </w:r>
      <w:r w:rsidR="00831B26" w:rsidRPr="00831B26">
        <w:lastRenderedPageBreak/>
        <w:t xml:space="preserve">Región del Biobío enfrenta diversos riesgos que desafían su desarrollo continuo y su competitividad, vinculados principalmente al cambio climático, las deficiencias logísticas, la disponibilidad de mano de obra y las dinámicas del mercado. La principal amenaza para el sector es la disponibilidad y </w:t>
      </w:r>
      <w:r w:rsidR="006B7762">
        <w:t xml:space="preserve">el </w:t>
      </w:r>
      <w:r w:rsidR="00831B26" w:rsidRPr="00831B26">
        <w:t>acceso al recurso hídrico, afectado</w:t>
      </w:r>
      <w:r w:rsidR="006B7762">
        <w:t>s</w:t>
      </w:r>
      <w:r w:rsidR="00831B26" w:rsidRPr="00831B26">
        <w:t xml:space="preserve"> por la disminución y el retraso de las precipitaciones </w:t>
      </w:r>
      <w:r w:rsidR="00452E26">
        <w:t>en</w:t>
      </w:r>
      <w:r w:rsidR="00831B26" w:rsidRPr="00831B26">
        <w:t xml:space="preserve"> los últimos años</w:t>
      </w:r>
      <w:r w:rsidR="006B7762">
        <w:t xml:space="preserve"> e</w:t>
      </w:r>
      <w:r w:rsidR="00831B26" w:rsidRPr="00831B26">
        <w:t xml:space="preserve"> intensificado</w:t>
      </w:r>
      <w:r w:rsidR="006B7762">
        <w:t>s</w:t>
      </w:r>
      <w:r w:rsidR="00831B26" w:rsidRPr="00831B26">
        <w:t xml:space="preserve"> </w:t>
      </w:r>
      <w:r w:rsidR="00452E26">
        <w:t>por</w:t>
      </w:r>
      <w:r w:rsidR="00831B26" w:rsidRPr="00831B26">
        <w:t xml:space="preserve"> el cambio climático. En la zona sur del país, la brecha hídrica no solo responde a la escasez, sino también a la falta de una cultura de gestión del riego y de infraestructura adecuada para la acumulación y distribución del agua, a diferencia de las macrozonas centro y norte.</w:t>
      </w:r>
    </w:p>
    <w:p w14:paraId="0E64A1D0" w14:textId="7DB1F280" w:rsidR="00831B26" w:rsidRPr="00831B26" w:rsidRDefault="00831B26" w:rsidP="00831B26">
      <w:pPr>
        <w:jc w:val="both"/>
      </w:pPr>
      <w:r w:rsidRPr="00831B26">
        <w:t xml:space="preserve">Asimismo, se identifican limitaciones logísticas y de infraestructura postcosecha, ya que la capacidad instalada de cámaras de frío y </w:t>
      </w:r>
      <w:proofErr w:type="spellStart"/>
      <w:r w:rsidRPr="00831B26">
        <w:t>prefrío</w:t>
      </w:r>
      <w:proofErr w:type="spellEnd"/>
      <w:r w:rsidRPr="00831B26">
        <w:t xml:space="preserve"> en la región es considerablemente menor </w:t>
      </w:r>
      <w:r w:rsidR="006B7762">
        <w:t>que</w:t>
      </w:r>
      <w:r w:rsidRPr="00831B26">
        <w:t xml:space="preserve"> </w:t>
      </w:r>
      <w:r w:rsidR="006B7762">
        <w:t>e</w:t>
      </w:r>
      <w:r w:rsidR="006B7762" w:rsidRPr="00831B26">
        <w:t xml:space="preserve">n </w:t>
      </w:r>
      <w:r w:rsidRPr="00831B26">
        <w:t>otras regiones del centro sur, siendo casi ocho veces inferior a la de Ñuble. Esta brecha se extiende al procesamiento de fruta, pues el volumen regional</w:t>
      </w:r>
      <w:r w:rsidR="006B7762">
        <w:t>,</w:t>
      </w:r>
      <w:r w:rsidRPr="00831B26">
        <w:t xml:space="preserve"> </w:t>
      </w:r>
      <w:r w:rsidR="006B7762">
        <w:t xml:space="preserve">de </w:t>
      </w:r>
      <w:r w:rsidRPr="00831B26">
        <w:t>más de 8,6 millones de kilos en 2022</w:t>
      </w:r>
      <w:r w:rsidR="006B7762">
        <w:t>,</w:t>
      </w:r>
      <w:r w:rsidRPr="00831B26">
        <w:t xml:space="preserve"> es significativamente menor </w:t>
      </w:r>
      <w:r w:rsidR="006B7762">
        <w:t>que e</w:t>
      </w:r>
      <w:r w:rsidRPr="00831B26">
        <w:t>l de Maule, Ñuble y La Araucanía. A largo plazo, la falta de infraestructura de transporte y almacenamiento podría convertirse en una restricción estructural para la expansión agrícola intensiva hacia el sur de la región.</w:t>
      </w:r>
    </w:p>
    <w:p w14:paraId="45A05E70" w14:textId="1EABF4E5" w:rsidR="00831B26" w:rsidRPr="00831B26" w:rsidRDefault="00831B26" w:rsidP="00831B26">
      <w:pPr>
        <w:jc w:val="both"/>
      </w:pPr>
      <w:r w:rsidRPr="00831B26">
        <w:t xml:space="preserve">El mercado laboral representa un desafío, dado el envejecimiento de la mano de obra rural y la </w:t>
      </w:r>
      <w:r w:rsidR="006B7762">
        <w:t>escasez</w:t>
      </w:r>
      <w:r w:rsidRPr="00831B26">
        <w:t xml:space="preserve"> de trabajadores calificados, lo que eleva los costos laborales y reduce la productividad. Esta situación demanda estrategias de profesionalización y </w:t>
      </w:r>
      <w:r w:rsidR="00452E26">
        <w:t xml:space="preserve">de </w:t>
      </w:r>
      <w:r w:rsidRPr="00831B26">
        <w:t xml:space="preserve">fortalecimiento del capital humano, especialmente en gestión y tecnificación. Por último, la estructura del mercado frutícola evidencia una alta concentración de compradores frente a una producción atomizada, </w:t>
      </w:r>
      <w:r w:rsidR="006B7762">
        <w:t>lo que genera</w:t>
      </w:r>
      <w:r w:rsidRPr="00831B26">
        <w:t xml:space="preserve"> asimetrías en el poder de negociación que afectan directamente al productor. Además, el sector debe responder a las crecientes exigencias en materia de inocuidad, trazabilidad y sustentabilidad, ámbitos </w:t>
      </w:r>
      <w:r w:rsidR="006B7762">
        <w:t>en los qu</w:t>
      </w:r>
      <w:r w:rsidRPr="00831B26">
        <w:t xml:space="preserve">e aún existen brechas </w:t>
      </w:r>
      <w:r w:rsidR="006B7762">
        <w:t>en la</w:t>
      </w:r>
      <w:r w:rsidRPr="00831B26">
        <w:t xml:space="preserve"> información y</w:t>
      </w:r>
      <w:r w:rsidR="006B7762">
        <w:t xml:space="preserve"> en las</w:t>
      </w:r>
      <w:r w:rsidRPr="00831B26">
        <w:t xml:space="preserve"> políticas que fortalezcan la competitividad y el uso eficiente de los recursos naturales.</w:t>
      </w:r>
    </w:p>
    <w:p w14:paraId="59D04ED0" w14:textId="12B02E5F" w:rsidR="00FC6D2F" w:rsidRDefault="00FC6D2F" w:rsidP="00193DA2">
      <w:pPr>
        <w:pStyle w:val="Ttulo1"/>
      </w:pPr>
      <w:bookmarkStart w:id="7" w:name="_Toc215418143"/>
      <w:r>
        <w:t>CORFO</w:t>
      </w:r>
      <w:r w:rsidR="006B7762">
        <w:t xml:space="preserve"> y fruticultura</w:t>
      </w:r>
      <w:bookmarkEnd w:id="7"/>
    </w:p>
    <w:p w14:paraId="276C5F9A" w14:textId="0BEFB7AD" w:rsidR="00FC6D2F" w:rsidRDefault="00FC6D2F" w:rsidP="00FC6D2F">
      <w:pPr>
        <w:jc w:val="both"/>
      </w:pPr>
      <w:r w:rsidRPr="00603BF8">
        <w:t xml:space="preserve">La Corporación de Fomento de la Producción (CORFO) es una agencia estatal chilena, creada en 1939, </w:t>
      </w:r>
      <w:r>
        <w:t>cuya misión es i</w:t>
      </w:r>
      <w:r w:rsidRPr="00233634">
        <w:t>mpulsar la competitividad y la diversificación productiva a nivel nacional y regional a través del desarrollo tecnológico</w:t>
      </w:r>
      <w:r>
        <w:t xml:space="preserve"> </w:t>
      </w:r>
      <w:r w:rsidRPr="00233634">
        <w:t>e industrial, la innovación y el emprendimiento, fortaleciendo las capacidades humanas y tecnológicas y las condiciones de entorno con el fin de fomentar el desarrollo económico sostenible y territorialmente equilibrado del país</w:t>
      </w:r>
      <w:r>
        <w:t xml:space="preserve"> (CORFO, 2025). </w:t>
      </w:r>
    </w:p>
    <w:p w14:paraId="039C5451" w14:textId="143647B8" w:rsidR="00FC6D2F" w:rsidRPr="00211CD3" w:rsidRDefault="00FC6D2F" w:rsidP="00FC6D2F">
      <w:pPr>
        <w:jc w:val="both"/>
      </w:pPr>
      <w:r w:rsidRPr="00C12E07">
        <w:t xml:space="preserve">El trabajo de la Corporación de Fomento de la Producción (CORFO) se articula a través de diversas </w:t>
      </w:r>
      <w:r w:rsidRPr="00211CD3">
        <w:t xml:space="preserve">áreas funcionales (gerencias) encargadas de gestionar </w:t>
      </w:r>
      <w:r w:rsidR="006B7762">
        <w:t>la</w:t>
      </w:r>
      <w:r w:rsidRPr="00211CD3">
        <w:t xml:space="preserve"> oferta completa de programas e instrumentos. La oferta de 47 instrumentos de CORFO se encuentra desarrollada y administrada por seis gerencias:</w:t>
      </w:r>
    </w:p>
    <w:p w14:paraId="1F5B51D6" w14:textId="5D2A2855" w:rsidR="00FC6D2F" w:rsidRPr="00211CD3" w:rsidRDefault="00FC6D2F" w:rsidP="00FC6D2F">
      <w:pPr>
        <w:jc w:val="both"/>
      </w:pPr>
      <w:r w:rsidRPr="00211CD3">
        <w:t xml:space="preserve">1. </w:t>
      </w:r>
      <w:r w:rsidRPr="00211CD3">
        <w:rPr>
          <w:u w:val="single"/>
        </w:rPr>
        <w:t>Redes y Territorios</w:t>
      </w:r>
      <w:r w:rsidRPr="00211CD3">
        <w:t xml:space="preserve">: Tiene la función de gestionar y llevar a </w:t>
      </w:r>
      <w:r w:rsidR="006B7762">
        <w:t>cabo</w:t>
      </w:r>
      <w:r w:rsidRPr="00211CD3">
        <w:t xml:space="preserve"> acciones para mejorar la productividad de las empresas y la competitividad del ecosistema productivo de los territorios, fomentando la generación de redes y favoreciendo la inversión y la articulación transversal.</w:t>
      </w:r>
    </w:p>
    <w:p w14:paraId="0D5F513E" w14:textId="355A1A26" w:rsidR="00FC6D2F" w:rsidRPr="00211CD3" w:rsidRDefault="00FC6D2F" w:rsidP="00FC6D2F">
      <w:pPr>
        <w:jc w:val="both"/>
      </w:pPr>
      <w:r w:rsidRPr="00211CD3">
        <w:t xml:space="preserve">2. </w:t>
      </w:r>
      <w:r w:rsidRPr="00211CD3">
        <w:rPr>
          <w:u w:val="single"/>
        </w:rPr>
        <w:t>Innovación</w:t>
      </w:r>
      <w:r w:rsidRPr="00211CD3">
        <w:t>: Se encarga de gestionar y promover la innovación productiva o empresarial en colaboración con entidades tecnológicas y universitarias, a</w:t>
      </w:r>
      <w:r w:rsidR="00E668F1">
        <w:t>sí como</w:t>
      </w:r>
      <w:r w:rsidRPr="00211CD3">
        <w:t xml:space="preserve"> de desarrollar acciones para fomentar las prácticas y la cultura de innovación en las empresas.</w:t>
      </w:r>
    </w:p>
    <w:p w14:paraId="1CBC6A7A" w14:textId="77777777" w:rsidR="00FC6D2F" w:rsidRPr="00211CD3" w:rsidRDefault="00FC6D2F" w:rsidP="00FC6D2F">
      <w:pPr>
        <w:jc w:val="both"/>
      </w:pPr>
      <w:r w:rsidRPr="00211CD3">
        <w:lastRenderedPageBreak/>
        <w:t xml:space="preserve">3. </w:t>
      </w:r>
      <w:r w:rsidRPr="00211CD3">
        <w:rPr>
          <w:u w:val="single"/>
        </w:rPr>
        <w:t>Capacidades Tecnológicas</w:t>
      </w:r>
      <w:r w:rsidRPr="00211CD3">
        <w:t>: Su función es fortalecer las capacidades de transferencia, adaptación, desarrollo y difusión de tecnologías para apoyar la innovación empresarial y la creación de capacidades tecnológicas para el desarrollo de bienes públicos.</w:t>
      </w:r>
    </w:p>
    <w:p w14:paraId="034D9195" w14:textId="007D143B" w:rsidR="00FC6D2F" w:rsidRPr="00211CD3" w:rsidRDefault="00FC6D2F" w:rsidP="00FC6D2F">
      <w:pPr>
        <w:jc w:val="both"/>
      </w:pPr>
      <w:r w:rsidRPr="00211CD3">
        <w:t>4.</w:t>
      </w:r>
      <w:r w:rsidRPr="00211CD3">
        <w:rPr>
          <w:u w:val="single"/>
        </w:rPr>
        <w:t xml:space="preserve"> Emprendimiento</w:t>
      </w:r>
      <w:r w:rsidRPr="00211CD3">
        <w:t xml:space="preserve">: Trabaja para facilitar la puesta en marcha y el desarrollo de nuevas empresas, así como para </w:t>
      </w:r>
      <w:r w:rsidR="00E668F1">
        <w:t>fomentar</w:t>
      </w:r>
      <w:r w:rsidRPr="00211CD3">
        <w:t xml:space="preserve"> y potencia</w:t>
      </w:r>
      <w:r w:rsidR="00E668F1">
        <w:t>r</w:t>
      </w:r>
      <w:r w:rsidRPr="00211CD3">
        <w:t xml:space="preserve"> los ecosistemas de emprendimiento.</w:t>
      </w:r>
    </w:p>
    <w:p w14:paraId="51D6AAA3" w14:textId="0B66895F" w:rsidR="00FC6D2F" w:rsidRPr="00C12E07" w:rsidRDefault="00FC6D2F" w:rsidP="00FC6D2F">
      <w:pPr>
        <w:jc w:val="both"/>
      </w:pPr>
      <w:r w:rsidRPr="00211CD3">
        <w:t xml:space="preserve">5. </w:t>
      </w:r>
      <w:r w:rsidRPr="00211CD3">
        <w:rPr>
          <w:u w:val="single"/>
        </w:rPr>
        <w:t>Start-Up Chile</w:t>
      </w:r>
      <w:r w:rsidRPr="00211CD3">
        <w:t xml:space="preserve">: </w:t>
      </w:r>
      <w:r w:rsidR="006B7762">
        <w:t>Busca</w:t>
      </w:r>
      <w:r w:rsidRPr="00211CD3">
        <w:t xml:space="preserve"> generar un impacto socioeconómico</w:t>
      </w:r>
      <w:r w:rsidRPr="00C12E07">
        <w:t xml:space="preserve"> </w:t>
      </w:r>
      <w:r w:rsidR="00E668F1">
        <w:t>mediant</w:t>
      </w:r>
      <w:r w:rsidRPr="00C12E07">
        <w:t xml:space="preserve">e la aceleración de emprendimientos tecnológicos innovadores </w:t>
      </w:r>
      <w:r w:rsidR="00452E26">
        <w:t>y</w:t>
      </w:r>
      <w:r w:rsidR="00452E26" w:rsidRPr="00C12E07">
        <w:t xml:space="preserve"> </w:t>
      </w:r>
      <w:r w:rsidR="00452E26">
        <w:t>la implementación de</w:t>
      </w:r>
      <w:r w:rsidRPr="00C12E07">
        <w:t xml:space="preserve"> programas de capital de riesgo.</w:t>
      </w:r>
    </w:p>
    <w:p w14:paraId="335D212F" w14:textId="231187B1" w:rsidR="00FC6D2F" w:rsidRPr="00C12E07" w:rsidRDefault="00FC6D2F" w:rsidP="00FC6D2F">
      <w:pPr>
        <w:jc w:val="both"/>
      </w:pPr>
      <w:r w:rsidRPr="00211CD3">
        <w:t xml:space="preserve">6. </w:t>
      </w:r>
      <w:r w:rsidRPr="00211CD3">
        <w:rPr>
          <w:u w:val="single"/>
        </w:rPr>
        <w:t>Inversión y Financiamiento</w:t>
      </w:r>
      <w:r w:rsidRPr="00211CD3">
        <w:t>:</w:t>
      </w:r>
      <w:r w:rsidRPr="00C12E07">
        <w:t xml:space="preserve"> Tiene como función la provisión de recursos propios o de otras entidades públicas para facilitar el financiamiento de las actividades productivas, </w:t>
      </w:r>
      <w:r w:rsidR="00D72644">
        <w:t>con</w:t>
      </w:r>
      <w:r w:rsidRPr="00C12E07">
        <w:t xml:space="preserve"> énfasis en el apoyo </w:t>
      </w:r>
      <w:r w:rsidR="00E668F1">
        <w:t>a</w:t>
      </w:r>
      <w:r w:rsidRPr="00C12E07">
        <w:t xml:space="preserve">l acceso a financiamiento </w:t>
      </w:r>
      <w:r w:rsidR="00E668F1">
        <w:t>par</w:t>
      </w:r>
      <w:r w:rsidRPr="00C12E07">
        <w:t>a micro, pequeñas y medianas empresas (</w:t>
      </w:r>
      <w:proofErr w:type="spellStart"/>
      <w:r w:rsidRPr="00C12E07">
        <w:t>Mipymes</w:t>
      </w:r>
      <w:proofErr w:type="spellEnd"/>
      <w:r w:rsidRPr="00C12E07">
        <w:t>).</w:t>
      </w:r>
    </w:p>
    <w:p w14:paraId="1905A7F6" w14:textId="728F6717" w:rsidR="00FC6D2F" w:rsidRDefault="00FC6D2F" w:rsidP="00FC6D2F">
      <w:pPr>
        <w:jc w:val="both"/>
      </w:pPr>
      <w:r>
        <w:t xml:space="preserve">Dentro de los instrumentos que posee la gerencia de Desarrollo Territorial se encuentra el </w:t>
      </w:r>
      <w:r w:rsidRPr="008770FE">
        <w:t>“Programa Territorial Integrado (PTI)”</w:t>
      </w:r>
      <w:r>
        <w:t xml:space="preserve"> el cual busca a</w:t>
      </w:r>
      <w:r w:rsidRPr="00C36C9C">
        <w:t>poyar la coordinación y articulación de</w:t>
      </w:r>
      <w:r>
        <w:t xml:space="preserve"> </w:t>
      </w:r>
      <w:r w:rsidRPr="00C36C9C">
        <w:t>acciones y proyectos destinados a mejorar la</w:t>
      </w:r>
      <w:r>
        <w:t xml:space="preserve"> </w:t>
      </w:r>
      <w:r w:rsidRPr="00C36C9C">
        <w:t>competitividad de un territorio, a través de un</w:t>
      </w:r>
      <w:r>
        <w:t xml:space="preserve"> </w:t>
      </w:r>
      <w:r w:rsidRPr="00C36C9C">
        <w:t>conjunto de acciones que fomenten el</w:t>
      </w:r>
      <w:r>
        <w:t xml:space="preserve"> </w:t>
      </w:r>
      <w:r w:rsidRPr="00C36C9C">
        <w:t>desarrollo productivo sustentable de cadenas</w:t>
      </w:r>
      <w:r>
        <w:t xml:space="preserve"> </w:t>
      </w:r>
      <w:r w:rsidRPr="00C36C9C">
        <w:t>de valor y/o sectores con potencial de</w:t>
      </w:r>
      <w:r>
        <w:t xml:space="preserve"> </w:t>
      </w:r>
      <w:r w:rsidRPr="00C36C9C">
        <w:t>escalamiento y de impacto estratégico en la</w:t>
      </w:r>
      <w:r>
        <w:t xml:space="preserve"> </w:t>
      </w:r>
      <w:r w:rsidRPr="00C36C9C">
        <w:t>economía regional y/o local.</w:t>
      </w:r>
      <w:r>
        <w:t xml:space="preserve"> Este programa contempla dos etapas:</w:t>
      </w:r>
    </w:p>
    <w:p w14:paraId="324AF642" w14:textId="7DA3A73D" w:rsidR="00D72644" w:rsidRPr="00452E26" w:rsidRDefault="00FC6D2F" w:rsidP="003D54C9">
      <w:pPr>
        <w:pStyle w:val="Prrafodelista"/>
        <w:numPr>
          <w:ilvl w:val="0"/>
          <w:numId w:val="12"/>
        </w:numPr>
        <w:jc w:val="both"/>
        <w:rPr>
          <w:u w:val="single"/>
        </w:rPr>
      </w:pPr>
      <w:r w:rsidRPr="00452E26">
        <w:rPr>
          <w:u w:val="single"/>
        </w:rPr>
        <w:t>Etapa de validación estratégica:</w:t>
      </w:r>
      <w:r>
        <w:t xml:space="preserve"> </w:t>
      </w:r>
      <w:r w:rsidRPr="00E160DF">
        <w:t>Esta fase se orienta al diagnóstico</w:t>
      </w:r>
      <w:r>
        <w:t xml:space="preserve"> </w:t>
      </w:r>
      <w:r w:rsidRPr="00E160DF">
        <w:t xml:space="preserve">del territorio, </w:t>
      </w:r>
      <w:r w:rsidR="00452E26">
        <w:t xml:space="preserve">a </w:t>
      </w:r>
      <w:r w:rsidRPr="00E160DF">
        <w:t>la identificación de brechas y</w:t>
      </w:r>
      <w:r w:rsidR="00452E26">
        <w:t xml:space="preserve"> a</w:t>
      </w:r>
      <w:r w:rsidRPr="00E160DF">
        <w:t xml:space="preserve"> la definición de una hoja de ruta compartida. </w:t>
      </w:r>
      <w:r w:rsidR="00D72644">
        <w:t>El</w:t>
      </w:r>
      <w:r w:rsidRPr="00E160DF">
        <w:t xml:space="preserve"> propósito es demostrar que existe un potencial real de escalamiento competitivo y sostenible en las empresas que conforman la cadena de valor.</w:t>
      </w:r>
      <w:r>
        <w:t xml:space="preserve"> </w:t>
      </w:r>
    </w:p>
    <w:p w14:paraId="762A0D1E" w14:textId="3C6860A5" w:rsidR="00FC6D2F" w:rsidRPr="00766260" w:rsidRDefault="00FC6D2F" w:rsidP="00FC6D2F">
      <w:pPr>
        <w:pStyle w:val="Prrafodelista"/>
        <w:jc w:val="both"/>
      </w:pPr>
      <w:r w:rsidRPr="00E160DF">
        <w:t xml:space="preserve">El resultado esperado de esta etapa es una hipótesis de valor validada y una estrategia de implementación, expresada en un plan de trabajo </w:t>
      </w:r>
      <w:r w:rsidR="00D72644" w:rsidRPr="00E160DF">
        <w:t>tr</w:t>
      </w:r>
      <w:r w:rsidR="00D72644">
        <w:t>ie</w:t>
      </w:r>
      <w:r w:rsidR="00D72644" w:rsidRPr="00E160DF">
        <w:t>nal</w:t>
      </w:r>
      <w:r w:rsidRPr="00E160DF">
        <w:t xml:space="preserve">, que refleje el compromiso activo de los actores participantes </w:t>
      </w:r>
      <w:r w:rsidR="00D72644">
        <w:t>en la</w:t>
      </w:r>
      <w:r w:rsidRPr="00E160DF">
        <w:t xml:space="preserve"> ejecución. </w:t>
      </w:r>
      <w:r w:rsidRPr="00766260">
        <w:t>CORFO financia el 100% del presupuesto de esta etapa, con un monto máximo de $20.000.000, destinado principalmente a la contratación de una consultoría especializada. Esta fase tiene una duración máxima de cinco meses</w:t>
      </w:r>
      <w:r>
        <w:t>.</w:t>
      </w:r>
    </w:p>
    <w:p w14:paraId="14B980FE" w14:textId="18931120" w:rsidR="00E1208B" w:rsidRPr="00E1208B" w:rsidRDefault="00FC6D2F" w:rsidP="007A4849">
      <w:pPr>
        <w:pStyle w:val="Prrafodelista"/>
        <w:jc w:val="both"/>
      </w:pPr>
      <w:r w:rsidRPr="00452E26">
        <w:rPr>
          <w:u w:val="single"/>
        </w:rPr>
        <w:t>Etapa de ejecución</w:t>
      </w:r>
      <w:r>
        <w:t xml:space="preserve">: </w:t>
      </w:r>
      <w:r w:rsidR="00C96E50">
        <w:t>c</w:t>
      </w:r>
      <w:r w:rsidR="00C96E50" w:rsidRPr="001D54D4">
        <w:t xml:space="preserve">orresponde </w:t>
      </w:r>
      <w:r w:rsidRPr="001D54D4">
        <w:t xml:space="preserve">a la implementación de la estrategia diseñada en la etapa de </w:t>
      </w:r>
      <w:r>
        <w:t>v</w:t>
      </w:r>
      <w:r w:rsidRPr="001D54D4">
        <w:t>alidación (expresada</w:t>
      </w:r>
      <w:r>
        <w:t xml:space="preserve"> </w:t>
      </w:r>
      <w:r w:rsidRPr="001D54D4">
        <w:t>en un modelo de gestión territorial), para lograr los objetivos del respe</w:t>
      </w:r>
      <w:r w:rsidR="00C96E50">
        <w:t>c</w:t>
      </w:r>
      <w:r w:rsidRPr="001D54D4">
        <w:t>tivo PTI</w:t>
      </w:r>
      <w:r>
        <w:t xml:space="preserve">. </w:t>
      </w:r>
      <w:r w:rsidR="00C96E50">
        <w:t>Se</w:t>
      </w:r>
      <w:r>
        <w:t xml:space="preserve"> busca i</w:t>
      </w:r>
      <w:r w:rsidRPr="005A6FC5">
        <w:t>mplementar una cartera de iniciativas de escalamiento competitiv</w:t>
      </w:r>
      <w:r>
        <w:t xml:space="preserve">o, articular </w:t>
      </w:r>
      <w:r w:rsidRPr="00BE47EA">
        <w:t>eficientemente las acciones del proyecto</w:t>
      </w:r>
      <w:r>
        <w:t xml:space="preserve"> y c</w:t>
      </w:r>
      <w:r w:rsidRPr="00BE47EA">
        <w:t>rear y desarrollar valor colaborativo entre quienes participan del proyecto, permitiendo la</w:t>
      </w:r>
      <w:r>
        <w:t xml:space="preserve"> </w:t>
      </w:r>
      <w:r w:rsidRPr="00BE47EA">
        <w:t xml:space="preserve">instalación y </w:t>
      </w:r>
      <w:r w:rsidRPr="00AF0273">
        <w:t xml:space="preserve">sostenibilidad de los escalamientos productivos obtenidos durante el desarrollo del programa. </w:t>
      </w:r>
      <w:r w:rsidRPr="00F261C7">
        <w:t xml:space="preserve">Esta etapa puede </w:t>
      </w:r>
      <w:r w:rsidR="00C96E50">
        <w:t>durar</w:t>
      </w:r>
      <w:r w:rsidRPr="00F261C7">
        <w:t xml:space="preserve"> hasta tres periodos consecutivos, cada uno de hasta doce meses. Los montos máximos de financiamiento establecidos por C</w:t>
      </w:r>
      <w:r>
        <w:t>ORFO</w:t>
      </w:r>
      <w:r w:rsidRPr="00F261C7">
        <w:t xml:space="preserve"> ascienden a </w:t>
      </w:r>
      <w:r w:rsidR="00C96E50">
        <w:t>$138.000.000, con 100% de financiamiento para el primer año, y a $92.000.000, con 70% y 60% de cofinanciamiento, respectivamente,</w:t>
      </w:r>
      <w:r w:rsidR="00C96E50" w:rsidRPr="00F261C7" w:rsidDel="00C96E50">
        <w:t xml:space="preserve"> </w:t>
      </w:r>
      <w:r w:rsidRPr="00F261C7">
        <w:t xml:space="preserve"> para los periodos siguientes. </w:t>
      </w:r>
    </w:p>
    <w:p w14:paraId="7BD689C9" w14:textId="5D0DA033" w:rsidR="00E040E3" w:rsidRDefault="00942A09" w:rsidP="00193DA2">
      <w:pPr>
        <w:pStyle w:val="Ttulo2"/>
      </w:pPr>
      <w:bookmarkStart w:id="8" w:name="_Toc215418144"/>
      <w:r>
        <w:t>CORFO Biobío y su contribución a la fruticultura regional</w:t>
      </w:r>
      <w:bookmarkEnd w:id="8"/>
    </w:p>
    <w:p w14:paraId="72B5A0D8" w14:textId="77777777" w:rsidR="00C96E50" w:rsidRDefault="00061DD9" w:rsidP="00C96E50">
      <w:pPr>
        <w:jc w:val="both"/>
      </w:pPr>
      <w:r w:rsidRPr="00061DD9">
        <w:t xml:space="preserve">Durante los últimos años, la Región del Biobío ha evidenciado un proceso de transformación productiva en su sector frutícola, </w:t>
      </w:r>
      <w:r w:rsidR="00F327C0">
        <w:t>impulsado</w:t>
      </w:r>
      <w:r w:rsidRPr="00061DD9">
        <w:t xml:space="preserve"> tanto por la necesidad de adaptarse a las nuevas condiciones climáticas como por las crecientes exigencias de los mercados internacionales en materia de trazabilidad, tecnificación y sostenibilidad. En este contexto, CORFO, a través de su </w:t>
      </w:r>
      <w:r w:rsidRPr="00061DD9">
        <w:lastRenderedPageBreak/>
        <w:t xml:space="preserve">Gerencia de Redes y Territorios, ha </w:t>
      </w:r>
      <w:r w:rsidR="00F327C0">
        <w:t>promovido</w:t>
      </w:r>
      <w:r w:rsidRPr="00061DD9">
        <w:t xml:space="preserve"> una serie de instrumentos orientados a fortalecer la competitividad, resiliencia e innovación de las empresas agrícolas, con especial foco en las pequeñas y medianas empresas frutícolas del territorio. Entre estos esfuerzos destacan dos iniciativas emblemáticas que han contribuido significativamente a la generación de conocimiento aplicado y a la identificación de brechas críticas del sector: el programa Fortalece Pyme Los Ángeles (FPYME LA), ejecutado entre 2021 y 2024, y el Instrumento de Fomento Integrado (IFI) Recuperación Frutícola</w:t>
      </w:r>
      <w:r w:rsidR="00C96E50">
        <w:t>,</w:t>
      </w:r>
      <w:r w:rsidR="00C46585">
        <w:t xml:space="preserve"> etapa de formulación</w:t>
      </w:r>
      <w:r w:rsidR="00C96E50">
        <w:t>,</w:t>
      </w:r>
      <w:r w:rsidR="00C46585">
        <w:t xml:space="preserve"> año 2025</w:t>
      </w:r>
      <w:r w:rsidRPr="00061DD9">
        <w:t xml:space="preserve">. Ambos programas han permitido diagnosticar con precisión las principales limitaciones estructurales, tecnológicas y de capital humano que afectan la competitividad frutícola del Biobío, entregando información clave para la definición de estrategias territoriales orientadas al escalamiento productivo, </w:t>
      </w:r>
      <w:r w:rsidR="00C96E50">
        <w:t xml:space="preserve">a </w:t>
      </w:r>
      <w:r w:rsidRPr="00061DD9">
        <w:t>la digitalización y</w:t>
      </w:r>
      <w:r w:rsidR="00C96E50">
        <w:t xml:space="preserve"> a</w:t>
      </w:r>
      <w:r w:rsidRPr="00061DD9">
        <w:t xml:space="preserve"> la sostenibilidad del secto</w:t>
      </w:r>
      <w:r w:rsidR="00EA7A9C">
        <w:t xml:space="preserve">r. </w:t>
      </w:r>
    </w:p>
    <w:p w14:paraId="0E58E142" w14:textId="6B272D27" w:rsidR="00C96E50" w:rsidRDefault="00C96E50" w:rsidP="00C96E50">
      <w:pPr>
        <w:jc w:val="both"/>
      </w:pPr>
      <w:r>
        <w:t xml:space="preserve">Fortalece Pyme Los Ángeles (2021-2024) es un programa financiado por CORFO y ejecutado por la Universidad Católica de la Santísima Concepción, que </w:t>
      </w:r>
      <w:r w:rsidR="00452E26">
        <w:t>realiz</w:t>
      </w:r>
      <w:r>
        <w:t xml:space="preserve">ó visitas a un total de 200 empresas de la región, de las cuales 187 correspondieron a la Provincia de Biobío. Las visitas fueron coordinadas con los empresarios y </w:t>
      </w:r>
      <w:r w:rsidR="00452E26">
        <w:t>realiz</w:t>
      </w:r>
      <w:r>
        <w:t xml:space="preserve">adas en </w:t>
      </w:r>
      <w:r w:rsidR="00452E26">
        <w:t>su</w:t>
      </w:r>
      <w:r>
        <w:t>s empresas</w:t>
      </w:r>
      <w:r w:rsidR="00452E26">
        <w:t>,</w:t>
      </w:r>
      <w:r>
        <w:t xml:space="preserve"> </w:t>
      </w:r>
      <w:r w:rsidR="00452E26">
        <w:t>lo</w:t>
      </w:r>
      <w:r>
        <w:t xml:space="preserve"> </w:t>
      </w:r>
      <w:r w:rsidR="00452E26">
        <w:t>que</w:t>
      </w:r>
      <w:r>
        <w:t xml:space="preserve"> </w:t>
      </w:r>
      <w:r w:rsidR="00452E26">
        <w:t xml:space="preserve">permitió </w:t>
      </w:r>
      <w:r>
        <w:t xml:space="preserve">no solo identificar las brechas digitales, sino también conocer la realidad in situ de cada uno de nuestros beneficiarios. </w:t>
      </w:r>
    </w:p>
    <w:p w14:paraId="3C17D8C4" w14:textId="19447A6A" w:rsidR="00C96E50" w:rsidRDefault="00C96E50" w:rsidP="00C96E50">
      <w:pPr>
        <w:jc w:val="both"/>
      </w:pPr>
      <w:r>
        <w:t xml:space="preserve">El Instrumento de Fomento Integrado (IFI) Recuperación sostenible y resiliente de la actividad frutícola de la macrozona centro-sur (Etapa de formulación 2025) es un programa financiado por CORFO y ejecutado por el Agente Operador Intermediario CODESSER. El diagnóstico inicial del sector frutícola de la macrozona centro-sur (que abarca las regiones de Ñuble, Biobío y La Araucanía) </w:t>
      </w:r>
      <w:r w:rsidR="00452E26">
        <w:t>se elaboró con</w:t>
      </w:r>
      <w:r>
        <w:t xml:space="preserve"> un enfoque metodológico mixto. La metodología se estructuró integrando el levantamiento de información primaria </w:t>
      </w:r>
      <w:r w:rsidR="00452E26">
        <w:t>mediant</w:t>
      </w:r>
      <w:r>
        <w:t>e herramientas cualitativas y cuantitativas: se aplicaron 60 encuestas a productores frutícolas (distribuidas en 23 en Ñuble, 17 en Biobío y 20 en La Araucanía),</w:t>
      </w:r>
      <w:r w:rsidR="00452E26">
        <w:t xml:space="preserve"> se realizaron</w:t>
      </w:r>
      <w:r>
        <w:t xml:space="preserve"> entrevistas con actores clave del ecosistema y </w:t>
      </w:r>
      <w:r w:rsidR="00452E26">
        <w:t>se</w:t>
      </w:r>
      <w:r>
        <w:t xml:space="preserve"> </w:t>
      </w:r>
      <w:r w:rsidR="00452E26">
        <w:t>revisaron</w:t>
      </w:r>
      <w:r>
        <w:t xml:space="preserve"> fuentes secundarias y estudios del sector.</w:t>
      </w:r>
    </w:p>
    <w:p w14:paraId="5830AB9D" w14:textId="1BFB1E78" w:rsidR="00942A09" w:rsidRDefault="00C96E50" w:rsidP="00061DD9">
      <w:pPr>
        <w:jc w:val="both"/>
      </w:pPr>
      <w:r>
        <w:t>L</w:t>
      </w:r>
      <w:r w:rsidR="00EA7A9C">
        <w:t>as principales brechas identificadas en ambos programas</w:t>
      </w:r>
      <w:r>
        <w:t xml:space="preserve"> son</w:t>
      </w:r>
      <w:r w:rsidR="00EA7A9C">
        <w:t>:</w:t>
      </w:r>
    </w:p>
    <w:p w14:paraId="3CF05EC3" w14:textId="2B181C0A" w:rsidR="0085401E" w:rsidRPr="0085401E" w:rsidRDefault="00314FA6" w:rsidP="0085401E">
      <w:pPr>
        <w:jc w:val="both"/>
      </w:pPr>
      <w:r w:rsidRPr="00B254A9">
        <w:rPr>
          <w:b/>
          <w:bCs/>
          <w:u w:val="single"/>
        </w:rPr>
        <w:t>Brechas administrativas</w:t>
      </w:r>
      <w:r w:rsidR="00B254A9" w:rsidRPr="00B254A9">
        <w:rPr>
          <w:b/>
          <w:bCs/>
          <w:u w:val="single"/>
        </w:rPr>
        <w:t>:</w:t>
      </w:r>
      <w:r w:rsidR="00EA6251">
        <w:rPr>
          <w:b/>
          <w:bCs/>
        </w:rPr>
        <w:t xml:space="preserve"> </w:t>
      </w:r>
      <w:r w:rsidR="0085401E" w:rsidRPr="0085401E">
        <w:t xml:space="preserve">Las brechas </w:t>
      </w:r>
      <w:r w:rsidR="00CA7BFD">
        <w:t>evidenci</w:t>
      </w:r>
      <w:r w:rsidR="0085401E" w:rsidRPr="0085401E">
        <w:t xml:space="preserve">an un significativo rezago en la adopción </w:t>
      </w:r>
      <w:r w:rsidR="00CA7BFD">
        <w:t>y la</w:t>
      </w:r>
      <w:r w:rsidR="0085401E" w:rsidRPr="0085401E">
        <w:t xml:space="preserve"> implementación efectiva</w:t>
      </w:r>
      <w:r w:rsidR="00CA7BFD">
        <w:t>s</w:t>
      </w:r>
      <w:r w:rsidR="0085401E" w:rsidRPr="0085401E">
        <w:t xml:space="preserve"> de herramientas digitales para la gestión empresarial. Los resultados cuantitativos demuestran que una mayoría de los agricultores aún </w:t>
      </w:r>
      <w:r w:rsidR="00CD63B0">
        <w:t>depende</w:t>
      </w:r>
      <w:r w:rsidR="0085401E" w:rsidRPr="0085401E">
        <w:t xml:space="preserve"> sustancial</w:t>
      </w:r>
      <w:r w:rsidR="00CD63B0">
        <w:t>mente</w:t>
      </w:r>
      <w:r w:rsidR="0085401E" w:rsidRPr="0085401E">
        <w:t xml:space="preserve"> de métodos tradicionales: el 78</w:t>
      </w:r>
      <w:r w:rsidR="00CD63B0">
        <w:t xml:space="preserve">,5 </w:t>
      </w:r>
      <w:r w:rsidR="0085401E" w:rsidRPr="0085401E">
        <w:t xml:space="preserve">% recurre a herramientas manuales para llevar a cabo </w:t>
      </w:r>
      <w:r w:rsidR="00CD63B0">
        <w:t>lo</w:t>
      </w:r>
      <w:r w:rsidR="0085401E" w:rsidRPr="0085401E">
        <w:t xml:space="preserve">s registros de información. Este porcentaje se desglosa en un 67% que utiliza un método mixto (digital y manual) y un 8% que depende exclusivamente de herramientas manuales. Además, se identificó que </w:t>
      </w:r>
      <w:r w:rsidR="00CA7BFD">
        <w:t>el</w:t>
      </w:r>
      <w:r w:rsidR="0085401E" w:rsidRPr="0085401E">
        <w:t xml:space="preserve"> 3</w:t>
      </w:r>
      <w:r w:rsidR="00CD63B0">
        <w:t>,</w:t>
      </w:r>
      <w:r w:rsidR="0085401E" w:rsidRPr="0085401E">
        <w:t xml:space="preserve">5% de las empresas </w:t>
      </w:r>
      <w:r w:rsidR="00CA7BFD">
        <w:t xml:space="preserve">no </w:t>
      </w:r>
      <w:r w:rsidR="0085401E" w:rsidRPr="0085401E">
        <w:t xml:space="preserve">realiza ningún tipo de registro, lo que subraya un déficit fundamental en la organización y </w:t>
      </w:r>
      <w:r w:rsidR="0076446A">
        <w:t xml:space="preserve">el </w:t>
      </w:r>
      <w:r w:rsidR="0085401E" w:rsidRPr="0085401E">
        <w:t xml:space="preserve">almacenamiento de datos. La consecuencia de este rezago es que, a pesar de la disponibilidad de tecnologías, </w:t>
      </w:r>
      <w:r w:rsidR="0076446A">
        <w:t>se mantiene</w:t>
      </w:r>
      <w:r w:rsidR="0085401E" w:rsidRPr="0085401E">
        <w:t xml:space="preserve"> una gran cantidad de registros en libros o cuadernos, </w:t>
      </w:r>
      <w:r w:rsidR="0076446A">
        <w:t>atribuida</w:t>
      </w:r>
      <w:r w:rsidR="0085401E" w:rsidRPr="0085401E">
        <w:t xml:space="preserve"> a la falta de tiempo, la escasez d</w:t>
      </w:r>
      <w:r w:rsidR="00CD63B0">
        <w:t>e</w:t>
      </w:r>
      <w:r w:rsidR="0085401E" w:rsidRPr="0085401E">
        <w:t xml:space="preserve"> personal capacitado y un conocimiento básico o nulo de herramientas digitales.</w:t>
      </w:r>
    </w:p>
    <w:p w14:paraId="6C70232C" w14:textId="56F87A88" w:rsidR="0085401E" w:rsidRPr="0085401E" w:rsidRDefault="0085401E" w:rsidP="0085401E">
      <w:pPr>
        <w:jc w:val="both"/>
      </w:pPr>
      <w:r w:rsidRPr="0085401E">
        <w:t xml:space="preserve">El segundo conjunto de brechas se centra en el limitado dominio de las herramientas digitales administrativas que sí </w:t>
      </w:r>
      <w:r w:rsidR="0076446A" w:rsidRPr="0085401E">
        <w:t>s</w:t>
      </w:r>
      <w:r w:rsidR="0076446A">
        <w:t>e</w:t>
      </w:r>
      <w:r w:rsidR="0076446A" w:rsidRPr="0085401E">
        <w:t xml:space="preserve"> utiliza</w:t>
      </w:r>
      <w:r w:rsidR="0076446A">
        <w:t>n</w:t>
      </w:r>
      <w:r w:rsidRPr="0085401E">
        <w:t xml:space="preserve">, incluyendo </w:t>
      </w:r>
      <w:r w:rsidRPr="0085401E">
        <w:rPr>
          <w:i/>
          <w:iCs/>
        </w:rPr>
        <w:t>software</w:t>
      </w:r>
      <w:r w:rsidRPr="0085401E">
        <w:t xml:space="preserve"> de uso masivo y sistemas de gestión empresarial. Aunque el uso de Office (Excel, Word, PowerPoint) </w:t>
      </w:r>
      <w:r w:rsidR="0076446A">
        <w:t>alcanza</w:t>
      </w:r>
      <w:r w:rsidRPr="0085401E">
        <w:t xml:space="preserve"> un 61% de adopción, las conversaciones cualitativas con los beneficiarios sugieren que el conocimiento sobre su uso sigue siendo elemental o básico, </w:t>
      </w:r>
      <w:r w:rsidR="0076446A">
        <w:t>lo que impide</w:t>
      </w:r>
      <w:r w:rsidR="0076446A" w:rsidRPr="0085401E">
        <w:t xml:space="preserve"> </w:t>
      </w:r>
      <w:r w:rsidRPr="0085401E">
        <w:t>su aprovechamiento completo. Por otro lado, la implementación de sistemas de planificación de recursos empresariales (RP) solo alcanza al 27</w:t>
      </w:r>
      <w:r w:rsidR="0076446A">
        <w:t>,</w:t>
      </w:r>
      <w:r w:rsidRPr="0085401E">
        <w:t xml:space="preserve">5% </w:t>
      </w:r>
      <w:r w:rsidRPr="0085401E">
        <w:lastRenderedPageBreak/>
        <w:t xml:space="preserve">de las empresas diagnosticadas. Se observó que </w:t>
      </w:r>
      <w:r w:rsidR="00AD7F48">
        <w:t>el</w:t>
      </w:r>
      <w:r w:rsidRPr="0085401E">
        <w:t xml:space="preserve"> 6</w:t>
      </w:r>
      <w:r w:rsidR="0076446A">
        <w:t>,</w:t>
      </w:r>
      <w:r w:rsidRPr="0085401E">
        <w:t>5% de las empresas no emplea ning</w:t>
      </w:r>
      <w:r w:rsidR="0076446A">
        <w:t>una</w:t>
      </w:r>
      <w:r w:rsidRPr="0085401E">
        <w:t xml:space="preserve"> herramienta digital avanzada.</w:t>
      </w:r>
    </w:p>
    <w:p w14:paraId="25024200" w14:textId="533D8B42" w:rsidR="0085401E" w:rsidRPr="0085401E" w:rsidRDefault="0085401E" w:rsidP="0085401E">
      <w:pPr>
        <w:jc w:val="both"/>
      </w:pPr>
      <w:r w:rsidRPr="0085401E">
        <w:t xml:space="preserve">Finalmente, la brecha administrativa se agrava </w:t>
      </w:r>
      <w:r w:rsidR="0076446A">
        <w:t>debido a</w:t>
      </w:r>
      <w:r w:rsidRPr="0085401E">
        <w:t xml:space="preserve"> las deficiencias en los recursos humanos destinados a </w:t>
      </w:r>
      <w:r w:rsidR="00AD7F48">
        <w:t xml:space="preserve">las </w:t>
      </w:r>
      <w:r w:rsidRPr="0085401E">
        <w:t>tareas de digitalización. A pesar de que el 44</w:t>
      </w:r>
      <w:r w:rsidR="0076446A">
        <w:t>,</w:t>
      </w:r>
      <w:r w:rsidRPr="0085401E">
        <w:t xml:space="preserve">5% de las empresas cuenta con al menos un empleado que realiza actividades digitales, esta situación puede resultar engañosa. El diagnóstico reveló que, en la mayoría de las empresas, las tareas digitales no constituyen la ocupación principal del empleado, y su conocimiento para llevarlas a cabo es limitado o parcial. Por ejemplo, algunos empresarios cuentan con secretarios con un nivel básico de </w:t>
      </w:r>
      <w:r w:rsidR="0076446A">
        <w:t>domini</w:t>
      </w:r>
      <w:r w:rsidRPr="0085401E">
        <w:t>o de Office, lo que les impide implementar métodos eficaces para la organización y</w:t>
      </w:r>
      <w:r w:rsidR="0076446A">
        <w:t xml:space="preserve"> el</w:t>
      </w:r>
      <w:r w:rsidRPr="0085401E">
        <w:t xml:space="preserve"> registro de datos. Esta falta de personal especializado y dedicado provoca una digitalización fragmentada, </w:t>
      </w:r>
      <w:r w:rsidR="0076446A">
        <w:t>en la qu</w:t>
      </w:r>
      <w:r w:rsidRPr="0085401E">
        <w:t>e solo se aborda la parte administrativa o financiera, sin integrar las áreas productivas, o viceversa. Esta situación es crítica, considerando que más de un cuarto de las empresas (26%) no dispone de ningún tipo de apoyo, ni interno ni externo, para la gestión digital.</w:t>
      </w:r>
    </w:p>
    <w:p w14:paraId="1719C600" w14:textId="7E83A15B" w:rsidR="00330A77" w:rsidRPr="00330A77" w:rsidRDefault="00330A77" w:rsidP="00330A77">
      <w:pPr>
        <w:jc w:val="both"/>
      </w:pPr>
      <w:r w:rsidRPr="00962223">
        <w:rPr>
          <w:b/>
          <w:bCs/>
          <w:u w:val="single"/>
        </w:rPr>
        <w:t>Brechas productivas</w:t>
      </w:r>
      <w:r w:rsidR="00D32CF2">
        <w:rPr>
          <w:b/>
          <w:bCs/>
          <w:u w:val="single"/>
        </w:rPr>
        <w:t>:</w:t>
      </w:r>
      <w:r w:rsidR="005B6C89">
        <w:t xml:space="preserve"> </w:t>
      </w:r>
      <w:r w:rsidRPr="00330A77">
        <w:t>El análisis de las brechas productivas revela un re</w:t>
      </w:r>
      <w:r>
        <w:t xml:space="preserve">traso </w:t>
      </w:r>
      <w:r w:rsidR="00AD7F48">
        <w:t>significativo</w:t>
      </w:r>
      <w:r w:rsidRPr="00330A77">
        <w:t xml:space="preserve"> en la incorporación de tecnologías de monitoreo objetivo y</w:t>
      </w:r>
      <w:r w:rsidR="00D32CF2">
        <w:t xml:space="preserve"> de</w:t>
      </w:r>
      <w:r w:rsidRPr="00330A77">
        <w:t xml:space="preserve"> automatización, lo que limita la eficiencia y la toma de decisiones en campo. El principal hallazgo es la baja adopción de herramientas digitales para el monitoreo de cultivos, lo que se traduce en una alta dependencia de la experiencia del agricultor. Específicamente, el 27</w:t>
      </w:r>
      <w:r w:rsidR="00CE5EC5">
        <w:t>,</w:t>
      </w:r>
      <w:r w:rsidRPr="00330A77">
        <w:t xml:space="preserve">5% de las empresas no utiliza ninguna tecnología digital para el monitoreo de sus cultivos, </w:t>
      </w:r>
      <w:r w:rsidR="005B6C89">
        <w:t xml:space="preserve">y toma </w:t>
      </w:r>
      <w:r w:rsidRPr="00330A77">
        <w:t xml:space="preserve">decisiones </w:t>
      </w:r>
      <w:r w:rsidR="005B6C89">
        <w:t>a partir de la experiencia empírica</w:t>
      </w:r>
      <w:r w:rsidRPr="00330A77">
        <w:t xml:space="preserve">, lo cual es considerado "muy ambiguo y está sujeto a un alto margen de error debido a la falta de datos objetivos" (Informe de Diagnóstico </w:t>
      </w:r>
      <w:proofErr w:type="spellStart"/>
      <w:r w:rsidRPr="00330A77">
        <w:t>Fpyme</w:t>
      </w:r>
      <w:proofErr w:type="spellEnd"/>
      <w:r w:rsidRPr="00330A77">
        <w:t xml:space="preserve"> 2024). Aunque el 43</w:t>
      </w:r>
      <w:r w:rsidR="00CE5EC5">
        <w:t>,</w:t>
      </w:r>
      <w:r w:rsidRPr="00330A77">
        <w:t xml:space="preserve">5% recurre a algún tipo de monitoreo digital básico (como Google Earth o </w:t>
      </w:r>
      <w:proofErr w:type="spellStart"/>
      <w:r w:rsidRPr="00330A77">
        <w:t>OneSoil</w:t>
      </w:r>
      <w:proofErr w:type="spellEnd"/>
      <w:r w:rsidRPr="00330A77">
        <w:t>), la implementación de tecnología de punta es casi nula</w:t>
      </w:r>
      <w:r w:rsidR="00D32CF2">
        <w:t xml:space="preserve"> </w:t>
      </w:r>
      <w:r w:rsidR="005B6C89">
        <w:t>(</w:t>
      </w:r>
      <w:proofErr w:type="spellStart"/>
      <w:r w:rsidR="00AD7F48">
        <w:t>e.g</w:t>
      </w:r>
      <w:proofErr w:type="spellEnd"/>
      <w:r w:rsidR="00AD7F48">
        <w:t>.,</w:t>
      </w:r>
      <w:r w:rsidRPr="00330A77">
        <w:t xml:space="preserve"> solo un 0</w:t>
      </w:r>
      <w:r w:rsidR="00AE0C14">
        <w:t>,</w:t>
      </w:r>
      <w:r w:rsidRPr="00330A77">
        <w:t xml:space="preserve">5% utiliza </w:t>
      </w:r>
      <w:r w:rsidR="00AD7F48">
        <w:t>i</w:t>
      </w:r>
      <w:r w:rsidR="00AD7F48" w:rsidRPr="00330A77">
        <w:t xml:space="preserve">nteligencia </w:t>
      </w:r>
      <w:r w:rsidR="00D32CF2">
        <w:t>a</w:t>
      </w:r>
      <w:r w:rsidR="00D32CF2" w:rsidRPr="00330A77">
        <w:t>rtificial</w:t>
      </w:r>
      <w:r w:rsidR="005B6C89">
        <w:t>)</w:t>
      </w:r>
      <w:r w:rsidR="001A3818">
        <w:t>.</w:t>
      </w:r>
    </w:p>
    <w:p w14:paraId="52CD9E1A" w14:textId="1AD2219D" w:rsidR="00330A77" w:rsidRPr="00330A77" w:rsidRDefault="00330A77" w:rsidP="00330A77">
      <w:pPr>
        <w:jc w:val="both"/>
      </w:pPr>
      <w:r w:rsidRPr="00330A77">
        <w:t xml:space="preserve">Un desafío productivo crítico es la </w:t>
      </w:r>
      <w:r w:rsidR="00D32CF2">
        <w:t>escas</w:t>
      </w:r>
      <w:r w:rsidRPr="00330A77">
        <w:t xml:space="preserve">a </w:t>
      </w:r>
      <w:r w:rsidR="00D32CF2">
        <w:t>implementación</w:t>
      </w:r>
      <w:r w:rsidRPr="00330A77">
        <w:t xml:space="preserve"> de sistemas de telemetría y</w:t>
      </w:r>
      <w:r w:rsidR="005B6C89">
        <w:t xml:space="preserve"> de</w:t>
      </w:r>
      <w:r w:rsidRPr="00330A77">
        <w:t xml:space="preserve"> automatización de</w:t>
      </w:r>
      <w:r w:rsidR="005B6C89">
        <w:t>l</w:t>
      </w:r>
      <w:r w:rsidRPr="00330A77">
        <w:t xml:space="preserve"> riego, lo que compromete la eficiencia hídrica. Cerca de la mitad de los agricultores visitados (49</w:t>
      </w:r>
      <w:r w:rsidR="005B6C89">
        <w:t>,7</w:t>
      </w:r>
      <w:r w:rsidRPr="00330A77">
        <w:t>%) no dispone de ninguna tecnología de telemetría ni</w:t>
      </w:r>
      <w:r w:rsidR="005B6C89">
        <w:t xml:space="preserve"> de</w:t>
      </w:r>
      <w:r w:rsidRPr="00330A77">
        <w:t xml:space="preserve"> riego automatizado, </w:t>
      </w:r>
      <w:r w:rsidR="00D32CF2">
        <w:t>y mantiene</w:t>
      </w:r>
      <w:r w:rsidRPr="00330A77">
        <w:t xml:space="preserve"> métodos de baja eficiencia como el riego por surcos o</w:t>
      </w:r>
      <w:r w:rsidR="00D32CF2">
        <w:t xml:space="preserve"> el</w:t>
      </w:r>
      <w:r w:rsidRPr="00330A77">
        <w:t xml:space="preserve"> tendido</w:t>
      </w:r>
      <w:r w:rsidR="001A3818" w:rsidRPr="001A3818">
        <w:t xml:space="preserve">. </w:t>
      </w:r>
      <w:r w:rsidRPr="00330A77">
        <w:t>Si bien el 41</w:t>
      </w:r>
      <w:r w:rsidR="00AE0C14">
        <w:t>,</w:t>
      </w:r>
      <w:r w:rsidRPr="00330A77">
        <w:t xml:space="preserve">8% emplea algún tipo de riego automatizado (goteo o aspersión), la integración de sistemas avanzados es mínima. Solo </w:t>
      </w:r>
      <w:r w:rsidR="00AD7F48">
        <w:t>el</w:t>
      </w:r>
      <w:r w:rsidRPr="00330A77">
        <w:t xml:space="preserve"> 8</w:t>
      </w:r>
      <w:r w:rsidR="00CE5EC5">
        <w:t>,</w:t>
      </w:r>
      <w:r w:rsidRPr="00330A77">
        <w:t>5% de las empresas cuenta adicionalmente con estaciones meteorológicas y/o sensores, y lo más relevante es que ninguna de las empresas diagnosticadas dispone de todas estas tecnologías de manera integral</w:t>
      </w:r>
      <w:r w:rsidR="001A3818" w:rsidRPr="001A3818">
        <w:t>.</w:t>
      </w:r>
    </w:p>
    <w:p w14:paraId="35373CD0" w14:textId="7D570F3D" w:rsidR="00330A77" w:rsidRDefault="00330A77" w:rsidP="00330A77">
      <w:pPr>
        <w:jc w:val="both"/>
      </w:pPr>
      <w:r w:rsidRPr="00330A77">
        <w:t xml:space="preserve">La principal barrera para la adopción de tecnologías avanzadas no es solo el costo, sino </w:t>
      </w:r>
      <w:r w:rsidR="00D32CF2">
        <w:t xml:space="preserve">también </w:t>
      </w:r>
      <w:r w:rsidRPr="00330A77">
        <w:t xml:space="preserve">un profundo déficit de conocimiento e información </w:t>
      </w:r>
      <w:r w:rsidR="00D32CF2">
        <w:t>entr</w:t>
      </w:r>
      <w:r w:rsidRPr="00330A77">
        <w:t xml:space="preserve">e los agricultores. Las conversaciones cualitativas revelan que, incluso entre </w:t>
      </w:r>
      <w:r w:rsidR="00AD7F48">
        <w:t>quienes</w:t>
      </w:r>
      <w:r w:rsidRPr="00330A77">
        <w:t xml:space="preserve"> usan monitoreo básico, los agricultores "no saben cómo utilizar </w:t>
      </w:r>
      <w:r w:rsidR="00AD7F48">
        <w:t>plen</w:t>
      </w:r>
      <w:r w:rsidRPr="00330A77">
        <w:t>amente las tecnologías disponibles ni interpretar adecuadamente los datos que generan"</w:t>
      </w:r>
      <w:r w:rsidR="001A3818">
        <w:t>.</w:t>
      </w:r>
      <w:r w:rsidRPr="00330A77">
        <w:t xml:space="preserve"> </w:t>
      </w:r>
      <w:r w:rsidR="00D32CF2">
        <w:t xml:space="preserve">El bajo </w:t>
      </w:r>
      <w:r w:rsidR="00AD7F48">
        <w:t xml:space="preserve">nivel de </w:t>
      </w:r>
      <w:r w:rsidR="00D32CF2">
        <w:t>entrenamiento</w:t>
      </w:r>
      <w:r w:rsidRPr="00330A77">
        <w:t xml:space="preserve"> es más </w:t>
      </w:r>
      <w:r w:rsidR="00AD7F48">
        <w:t>marca</w:t>
      </w:r>
      <w:r w:rsidRPr="00330A77">
        <w:t>d</w:t>
      </w:r>
      <w:r w:rsidR="00D32CF2">
        <w:t>o</w:t>
      </w:r>
      <w:r w:rsidRPr="00330A77">
        <w:t xml:space="preserve"> en el área de telemetría, donde un abrumador 91</w:t>
      </w:r>
      <w:r w:rsidR="00AE0C14">
        <w:t>,</w:t>
      </w:r>
      <w:r w:rsidRPr="00330A77">
        <w:t>5% de los agricultores no conoce el funcionamiento de estas tecnologías ni dónde adquirirlas</w:t>
      </w:r>
      <w:r w:rsidR="001A3818">
        <w:t xml:space="preserve">. </w:t>
      </w:r>
      <w:r w:rsidRPr="00330A77">
        <w:t xml:space="preserve">Esta falta de información, combinada con el alto costo de adquisición, genera una reticencia en los agricultores que actúa como una barrera adicional para la incorporación </w:t>
      </w:r>
      <w:r w:rsidR="00D32CF2">
        <w:t>de tecnologí</w:t>
      </w:r>
      <w:r w:rsidRPr="00330A77">
        <w:t>a en sus operaciones</w:t>
      </w:r>
      <w:r w:rsidR="001A3818">
        <w:t>.</w:t>
      </w:r>
    </w:p>
    <w:p w14:paraId="669C51BB" w14:textId="6186FEBC" w:rsidR="00585805" w:rsidRPr="00585805" w:rsidRDefault="00C01AA3" w:rsidP="00585805">
      <w:pPr>
        <w:jc w:val="both"/>
      </w:pPr>
      <w:r w:rsidRPr="00962223">
        <w:rPr>
          <w:b/>
          <w:bCs/>
          <w:u w:val="single"/>
        </w:rPr>
        <w:t>Brechas comerciales</w:t>
      </w:r>
      <w:r w:rsidR="00D32CF2">
        <w:rPr>
          <w:b/>
          <w:bCs/>
          <w:u w:val="single"/>
        </w:rPr>
        <w:t>:</w:t>
      </w:r>
      <w:r w:rsidR="00D32CF2">
        <w:t xml:space="preserve"> </w:t>
      </w:r>
      <w:r w:rsidR="00585805" w:rsidRPr="00585805">
        <w:t xml:space="preserve">La brecha comercial fundamental identificada en el sector es la marcada dependencia de los canales de venta tradicionales, lo que se traduce en una baja utilización de </w:t>
      </w:r>
      <w:r w:rsidR="00585805" w:rsidRPr="00585805">
        <w:lastRenderedPageBreak/>
        <w:t xml:space="preserve">plataformas digitales para la comercialización de productos. El diagnóstico reveló que un porcentaje significativo de empresas (81%) realiza sus ventas exclusivamente mediante un contrato o trato efectuado personalmente con una entidad (empresa o persona), </w:t>
      </w:r>
      <w:r w:rsidR="00842CED">
        <w:t>lo que refleja</w:t>
      </w:r>
      <w:r w:rsidR="00585805" w:rsidRPr="00585805">
        <w:t xml:space="preserve"> una estructura comercial altamente convencional. En contraste, la adopción de canales digitales específicos para la venta directa es mínima: solo el 13% de las empresas utiliza plataformas de redes sociales como Instagram, Facebook o WhatsApp, y un escaso 6% dispone de una página web propia para gestionar sus ventas. Esta baja adopción indica que la mayoría de los productores aún no ha migrado sus estrategias comerciales al entorno digital, lo que limita su alcance de mercado y su capacidad para interactuar con el consumidor final.</w:t>
      </w:r>
    </w:p>
    <w:p w14:paraId="2AEF35C2" w14:textId="0FF092B8" w:rsidR="00C01AA3" w:rsidRDefault="00585805" w:rsidP="00962223">
      <w:pPr>
        <w:jc w:val="both"/>
      </w:pPr>
      <w:r w:rsidRPr="00585805">
        <w:t xml:space="preserve">Esta baja utilización se relaciona directamente con una notable falta de preparación y conocimiento </w:t>
      </w:r>
      <w:r w:rsidR="00842CED">
        <w:t xml:space="preserve">por parte </w:t>
      </w:r>
      <w:r w:rsidRPr="00585805">
        <w:t xml:space="preserve">de las empresas para abordar la comercialización digital. </w:t>
      </w:r>
      <w:r w:rsidR="00AD7F48">
        <w:t>La</w:t>
      </w:r>
      <w:r w:rsidRPr="00585805">
        <w:t xml:space="preserve"> mayoría, el 63% de las empresas, declara no tener preparación ni interés en incursionar en el </w:t>
      </w:r>
      <w:r w:rsidRPr="00585805">
        <w:rPr>
          <w:i/>
          <w:iCs/>
        </w:rPr>
        <w:t>E-Commerce</w:t>
      </w:r>
      <w:r w:rsidRPr="00585805">
        <w:t>. Solamente un 16</w:t>
      </w:r>
      <w:r w:rsidR="00842CED">
        <w:t xml:space="preserve">,5 </w:t>
      </w:r>
      <w:r w:rsidRPr="00585805">
        <w:t>% de los empresarios afirma que su nivel de preparación sería competente, mientras que los porcentajes que se sienten preparados o muy preparados son marginales (5</w:t>
      </w:r>
      <w:r w:rsidR="00842CED">
        <w:t xml:space="preserve">,5 </w:t>
      </w:r>
      <w:r w:rsidRPr="00585805">
        <w:t>% y 5% respectivamente). Las observaciones cualitativas complementan este resultado al señalar que la falta de interés y la resistencia se deben a una brecha de edad y generacional, así como a una profunda falta de información sobre las plataformas de comercialización digital y su funcionamiento.</w:t>
      </w:r>
    </w:p>
    <w:p w14:paraId="05651D22" w14:textId="508784EA" w:rsidR="00C249B8" w:rsidRPr="00C249B8" w:rsidRDefault="00C249B8" w:rsidP="00C249B8">
      <w:pPr>
        <w:jc w:val="both"/>
      </w:pPr>
      <w:r w:rsidRPr="00962223">
        <w:rPr>
          <w:b/>
          <w:bCs/>
          <w:u w:val="single"/>
        </w:rPr>
        <w:t>Brecha</w:t>
      </w:r>
      <w:r w:rsidR="00962223">
        <w:rPr>
          <w:b/>
          <w:bCs/>
          <w:u w:val="single"/>
        </w:rPr>
        <w:t>s</w:t>
      </w:r>
      <w:r w:rsidRPr="00962223">
        <w:rPr>
          <w:b/>
          <w:bCs/>
          <w:u w:val="single"/>
        </w:rPr>
        <w:t xml:space="preserve"> tecnológica</w:t>
      </w:r>
      <w:r w:rsidR="00962223">
        <w:rPr>
          <w:b/>
          <w:bCs/>
          <w:u w:val="single"/>
        </w:rPr>
        <w:t>s</w:t>
      </w:r>
      <w:r w:rsidRPr="00962223">
        <w:rPr>
          <w:b/>
          <w:bCs/>
          <w:u w:val="single"/>
        </w:rPr>
        <w:t xml:space="preserve"> y </w:t>
      </w:r>
      <w:r w:rsidR="00842CED">
        <w:rPr>
          <w:b/>
          <w:bCs/>
          <w:u w:val="single"/>
        </w:rPr>
        <w:t xml:space="preserve">de </w:t>
      </w:r>
      <w:r w:rsidRPr="00962223">
        <w:rPr>
          <w:b/>
          <w:bCs/>
          <w:u w:val="single"/>
        </w:rPr>
        <w:t>equipamiento predial</w:t>
      </w:r>
      <w:r w:rsidR="00842CED">
        <w:rPr>
          <w:b/>
          <w:bCs/>
          <w:u w:val="single"/>
        </w:rPr>
        <w:t xml:space="preserve">: </w:t>
      </w:r>
      <w:r w:rsidRPr="00C249B8">
        <w:t xml:space="preserve">La brecha de </w:t>
      </w:r>
      <w:r w:rsidR="00DB6EA5">
        <w:t>t</w:t>
      </w:r>
      <w:r w:rsidRPr="00C249B8">
        <w:t xml:space="preserve">ecnología y </w:t>
      </w:r>
      <w:r w:rsidR="00DB6EA5">
        <w:t>e</w:t>
      </w:r>
      <w:r w:rsidRPr="00C249B8">
        <w:t xml:space="preserve">quipamiento </w:t>
      </w:r>
      <w:r w:rsidR="00DB6EA5">
        <w:t>p</w:t>
      </w:r>
      <w:r w:rsidRPr="00C249B8">
        <w:t xml:space="preserve">redial refleja </w:t>
      </w:r>
      <w:r w:rsidR="00842CED">
        <w:t>un</w:t>
      </w:r>
      <w:r w:rsidRPr="00C249B8">
        <w:t xml:space="preserve"> promedio de avance </w:t>
      </w:r>
      <w:r w:rsidR="00842CED">
        <w:t>del</w:t>
      </w:r>
      <w:r w:rsidRPr="00C249B8">
        <w:t xml:space="preserve"> 33%, lo que indica una limitada incorporación de maquinaria moderna y herramientas digitales en las unidades productivas. La adopción de la Agricultura 4.0 es lenta, a pesar de la disponibilidad de herramientas, pues los productores no las implementan </w:t>
      </w:r>
      <w:r w:rsidR="00842CED">
        <w:t>de manera eficaz</w:t>
      </w:r>
      <w:r w:rsidRPr="00C249B8">
        <w:t>. Esta brecha afecta la eficiencia productiva, la trazabilidad y la capacidad del sector para responder a los desafíos del cambio climático.</w:t>
      </w:r>
    </w:p>
    <w:p w14:paraId="131B4D43" w14:textId="4A530546" w:rsidR="00C249B8" w:rsidRPr="00C249B8" w:rsidRDefault="00C249B8" w:rsidP="00C249B8">
      <w:pPr>
        <w:jc w:val="both"/>
      </w:pPr>
      <w:r w:rsidRPr="00C249B8">
        <w:t>El principal problema tecnológico r</w:t>
      </w:r>
      <w:r w:rsidR="00842CED">
        <w:t>adica</w:t>
      </w:r>
      <w:r w:rsidRPr="00C249B8">
        <w:t xml:space="preserve"> en la fragmentación y</w:t>
      </w:r>
      <w:r w:rsidR="00842CED">
        <w:t xml:space="preserve"> la</w:t>
      </w:r>
      <w:r w:rsidRPr="00C249B8">
        <w:t xml:space="preserve"> subutilización sistémica de las herramientas implementadas. Aunque </w:t>
      </w:r>
      <w:r w:rsidR="00842CED">
        <w:t>el</w:t>
      </w:r>
      <w:r w:rsidRPr="00C249B8">
        <w:t xml:space="preserve"> 61% de los productores ha adoptado alguna tecnología y el 56% u</w:t>
      </w:r>
      <w:r w:rsidR="00AD7F48">
        <w:t>tiliz</w:t>
      </w:r>
      <w:r w:rsidRPr="00C249B8">
        <w:t xml:space="preserve">a sensores para </w:t>
      </w:r>
      <w:r w:rsidR="00842CED">
        <w:t xml:space="preserve">el </w:t>
      </w:r>
      <w:r w:rsidRPr="00C249B8">
        <w:t xml:space="preserve">monitoreo de </w:t>
      </w:r>
      <w:r w:rsidR="00842CED">
        <w:t xml:space="preserve">la </w:t>
      </w:r>
      <w:r w:rsidRPr="00C249B8">
        <w:t>humedad y</w:t>
      </w:r>
      <w:r w:rsidR="00842CED">
        <w:t xml:space="preserve"> la</w:t>
      </w:r>
      <w:r w:rsidRPr="00C249B8">
        <w:t xml:space="preserve"> temperatura, estas soluciones operan de forma aislada y sin integración sistémica entre sí. Esta desconexión impide que los sensores, las estaciones meteorológicas o la automatización funcionen como un sistema unificado que centralice la información y la traduzca en decisiones operativas concretas. </w:t>
      </w:r>
      <w:r w:rsidR="00AD7F48">
        <w:t>En consecuencia</w:t>
      </w:r>
      <w:r w:rsidRPr="00C249B8">
        <w:t xml:space="preserve">, la baja adopción de soluciones </w:t>
      </w:r>
      <w:r w:rsidR="00AD7F48">
        <w:t xml:space="preserve">avanzadas </w:t>
      </w:r>
      <w:r w:rsidRPr="00C249B8">
        <w:t>orientadas a la eficiencia limita la modernización</w:t>
      </w:r>
      <w:r w:rsidR="00842CED">
        <w:t>.</w:t>
      </w:r>
      <w:r w:rsidRPr="00C249B8">
        <w:t xml:space="preserve"> Solo el 28% usa drones o cosechadoras automáticas/semiautomáticas, y un 17% ha implementado prácticas de sostenibilidad avanzadas como </w:t>
      </w:r>
      <w:r w:rsidR="007E2D93">
        <w:t>i</w:t>
      </w:r>
      <w:r w:rsidR="007E2D93" w:rsidRPr="00C249B8">
        <w:t xml:space="preserve">nteligencia </w:t>
      </w:r>
      <w:r w:rsidR="007E2D93">
        <w:t>a</w:t>
      </w:r>
      <w:r w:rsidR="007E2D93" w:rsidRPr="00C249B8">
        <w:t xml:space="preserve">rtificial </w:t>
      </w:r>
      <w:r w:rsidRPr="00C249B8">
        <w:t xml:space="preserve">(IA), economía circular o </w:t>
      </w:r>
      <w:r w:rsidRPr="00C249B8">
        <w:rPr>
          <w:i/>
          <w:iCs/>
        </w:rPr>
        <w:t>software</w:t>
      </w:r>
      <w:r w:rsidRPr="00C249B8">
        <w:t xml:space="preserve"> de gestión.</w:t>
      </w:r>
    </w:p>
    <w:p w14:paraId="196FC7C1" w14:textId="3AF57372" w:rsidR="00C249B8" w:rsidRPr="00C249B8" w:rsidRDefault="00C249B8" w:rsidP="00C249B8">
      <w:pPr>
        <w:jc w:val="both"/>
      </w:pPr>
      <w:r w:rsidRPr="00C249B8">
        <w:t xml:space="preserve">La modernización predial se ve significativamente limitada por barreras económicas y deficiencias de infraestructura. La alta inversión inicial </w:t>
      </w:r>
      <w:r w:rsidR="00842CED">
        <w:t>se</w:t>
      </w:r>
      <w:r w:rsidRPr="00C249B8">
        <w:t xml:space="preserve"> </w:t>
      </w:r>
      <w:r w:rsidR="00842CED" w:rsidRPr="00C249B8">
        <w:t>percib</w:t>
      </w:r>
      <w:r w:rsidR="00842CED">
        <w:t>e</w:t>
      </w:r>
      <w:r w:rsidR="00842CED" w:rsidRPr="00C249B8">
        <w:t xml:space="preserve"> </w:t>
      </w:r>
      <w:r w:rsidRPr="00C249B8">
        <w:t xml:space="preserve">como la principal barrera para la adopción tecnológica, citada por el 42% de los productores. Además, un 25% duda de la rentabilidad de introducir nuevas tecnologías, lo que sugiere una falta de evidencia local </w:t>
      </w:r>
      <w:r w:rsidR="00842CED">
        <w:t>sobre el</w:t>
      </w:r>
      <w:r w:rsidRPr="00C249B8">
        <w:t xml:space="preserve"> retorno de la inversión y frena la innovación. En el ámbito de la infraestructura de soporte, </w:t>
      </w:r>
      <w:r w:rsidR="00842CED">
        <w:t>el</w:t>
      </w:r>
      <w:r w:rsidRPr="00C249B8">
        <w:t xml:space="preserve"> 17% de los productores menciona que </w:t>
      </w:r>
      <w:r w:rsidR="007E2D93">
        <w:t>est</w:t>
      </w:r>
      <w:r w:rsidRPr="00C249B8">
        <w:t xml:space="preserve">a no está preparada para soportar las nuevas tecnologías. Este problema </w:t>
      </w:r>
      <w:r w:rsidR="00842CED">
        <w:t>se</w:t>
      </w:r>
      <w:r w:rsidRPr="00C249B8">
        <w:t xml:space="preserve"> </w:t>
      </w:r>
      <w:r w:rsidR="00842CED">
        <w:t>agrava</w:t>
      </w:r>
      <w:r w:rsidRPr="00C249B8">
        <w:t xml:space="preserve"> </w:t>
      </w:r>
      <w:r w:rsidR="007E2D93">
        <w:t>debido a</w:t>
      </w:r>
      <w:r w:rsidRPr="00C249B8">
        <w:t xml:space="preserve"> la insuficiencia energética actual, que no permite responder al aumento de la demanda asociado a la reconversión frutícola. Finalmente, la baja conectividad rural (donde el 33% la reporta como baja y el 39% como regular) actúa como una barrera para el uso de </w:t>
      </w:r>
      <w:r w:rsidRPr="00C249B8">
        <w:lastRenderedPageBreak/>
        <w:t>tecnologías en tiempo real y la gestión remota, restringiendo así el acceso a herramientas de precisión.</w:t>
      </w:r>
    </w:p>
    <w:p w14:paraId="704EE45E" w14:textId="755AB547" w:rsidR="00C249B8" w:rsidRPr="00C249B8" w:rsidRDefault="00C249B8" w:rsidP="00C249B8">
      <w:pPr>
        <w:jc w:val="both"/>
      </w:pPr>
      <w:r w:rsidRPr="00C249B8">
        <w:t xml:space="preserve">En síntesis, la brecha tecnológica en Biobío es un desafío complejo, caracterizado por una </w:t>
      </w:r>
      <w:r w:rsidR="00842CED">
        <w:t>modernización predial limitada, en la que las tecnologías instaladas no se aprovechan al máximo debido a la desconexión sistémica y a la escasez de capital humano capacitado para operar y analizar datos (INIA,</w:t>
      </w:r>
      <w:r w:rsidRPr="00C249B8">
        <w:t xml:space="preserve"> 2023). El aumento de la productividad y la competitividad dependerá de la implementación de plataformas integradas y del fomento de la inversión</w:t>
      </w:r>
      <w:r w:rsidR="00842CED">
        <w:t>,</w:t>
      </w:r>
      <w:r w:rsidRPr="00C249B8">
        <w:t xml:space="preserve"> que mitigue la percepción</w:t>
      </w:r>
      <w:r w:rsidR="007E2D93">
        <w:t xml:space="preserve"> elevada</w:t>
      </w:r>
      <w:r w:rsidRPr="00C249B8">
        <w:t xml:space="preserve"> de</w:t>
      </w:r>
      <w:r w:rsidR="00842CED">
        <w:t>l</w:t>
      </w:r>
      <w:r w:rsidRPr="00C249B8">
        <w:t xml:space="preserve"> riesgo económico.</w:t>
      </w:r>
    </w:p>
    <w:p w14:paraId="404F898D" w14:textId="17FC8060" w:rsidR="00E37098" w:rsidRPr="00E37098" w:rsidRDefault="00E37098" w:rsidP="00330A77">
      <w:pPr>
        <w:jc w:val="both"/>
      </w:pPr>
      <w:r w:rsidRPr="00962223">
        <w:rPr>
          <w:b/>
          <w:bCs/>
          <w:u w:val="single"/>
        </w:rPr>
        <w:t>Brecha</w:t>
      </w:r>
      <w:r w:rsidR="00962223">
        <w:rPr>
          <w:b/>
          <w:bCs/>
          <w:u w:val="single"/>
        </w:rPr>
        <w:t>s</w:t>
      </w:r>
      <w:r w:rsidRPr="00962223">
        <w:rPr>
          <w:b/>
          <w:bCs/>
          <w:u w:val="single"/>
        </w:rPr>
        <w:t xml:space="preserve"> de capital humano</w:t>
      </w:r>
      <w:r w:rsidR="00842CED">
        <w:rPr>
          <w:b/>
          <w:bCs/>
          <w:u w:val="single"/>
        </w:rPr>
        <w:t xml:space="preserve">: </w:t>
      </w:r>
      <w:r w:rsidRPr="00E37098">
        <w:t xml:space="preserve">El sector frutícola en la Región del Biobío enfrenta desafíos críticos relacionados con el </w:t>
      </w:r>
      <w:r w:rsidR="005B4A4D">
        <w:t>c</w:t>
      </w:r>
      <w:r w:rsidRPr="00E37098">
        <w:t xml:space="preserve">apital </w:t>
      </w:r>
      <w:r w:rsidR="005B4A4D">
        <w:t>h</w:t>
      </w:r>
      <w:r w:rsidRPr="00E37098">
        <w:t xml:space="preserve">umano, identificado </w:t>
      </w:r>
      <w:r w:rsidR="00842CED">
        <w:t>de manera consist</w:t>
      </w:r>
      <w:r w:rsidRPr="00E37098">
        <w:t>ente como una limitante transversal para la modernización y la resiliencia productiva del rubro.</w:t>
      </w:r>
    </w:p>
    <w:p w14:paraId="2F0DB917" w14:textId="18874268" w:rsidR="00E37098" w:rsidRPr="00E37098" w:rsidRDefault="00E37098" w:rsidP="00E37098">
      <w:pPr>
        <w:jc w:val="both"/>
      </w:pPr>
      <w:r w:rsidRPr="00E37098">
        <w:t xml:space="preserve">Una brecha central es la débil alfabetización digital y operativa en </w:t>
      </w:r>
      <w:r w:rsidR="00842CED">
        <w:t xml:space="preserve">el </w:t>
      </w:r>
      <w:r w:rsidRPr="00E37098">
        <w:t xml:space="preserve">campo, que impide la plena explotación de la inversión tecnológica existente. El 33% de los equipos de trabajo de los productores en la región reportan un bajo nivel de competencias digitales. Esta insuficiencia de habilidades digitales limita la capacidad del personal para operar eficazmente sensores, sistemas de automatización de riego, </w:t>
      </w:r>
      <w:r w:rsidRPr="00E37098">
        <w:rPr>
          <w:i/>
          <w:iCs/>
        </w:rPr>
        <w:t>software</w:t>
      </w:r>
      <w:r w:rsidRPr="00E37098">
        <w:t xml:space="preserve"> de gestión agrícola y otras tecnologías instaladas. Esta brecha es crítica, ya que afecta directamente la eficiencia en campo</w:t>
      </w:r>
      <w:r w:rsidR="00D936E2">
        <w:t>. P</w:t>
      </w:r>
      <w:r w:rsidRPr="00E37098">
        <w:t xml:space="preserve">or ejemplo, aunque el 94% de los productores cuenta con riego tecnificado, solo el 33% considera el coeficiente de cultivo (Kc) y </w:t>
      </w:r>
      <w:r w:rsidR="00D936E2">
        <w:t>el</w:t>
      </w:r>
      <w:r w:rsidRPr="00E37098">
        <w:t xml:space="preserve"> 28% integra variables climáticas en la programación del riego. Esto sugiere que el riego se </w:t>
      </w:r>
      <w:r w:rsidR="00842CED">
        <w:t>realiz</w:t>
      </w:r>
      <w:r w:rsidRPr="00E37098">
        <w:t>a sin los ajustes dinámicos ni los criterios agronómicos precisos necesarios, lo que limita la efectividad del sistema.</w:t>
      </w:r>
    </w:p>
    <w:p w14:paraId="3C82676B" w14:textId="68846EF3" w:rsidR="00E37098" w:rsidRPr="00E37098" w:rsidRDefault="00E37098" w:rsidP="00E37098">
      <w:pPr>
        <w:jc w:val="both"/>
      </w:pPr>
      <w:r w:rsidRPr="00E37098">
        <w:t xml:space="preserve">A nivel de la fuerza laboral y su proyección futura, la mano de obra agrícola es percibida como un "gran problema" por la gran mayoría de los encuestados en Biobío (65% de las respuestas), con un 14% adicional que </w:t>
      </w:r>
      <w:r w:rsidR="00842CED">
        <w:t>consider</w:t>
      </w:r>
      <w:r w:rsidRPr="00E37098">
        <w:t xml:space="preserve">a que el problema impulsará la tecnificación de los manejos. Esto se relaciona con la escasez de trabajadores calificados para ciertas labores y </w:t>
      </w:r>
      <w:r w:rsidR="00D936E2">
        <w:t xml:space="preserve">con </w:t>
      </w:r>
      <w:r w:rsidRPr="00E37098">
        <w:t xml:space="preserve">la consecuente alta demanda de mano de obra durante los períodos de verano. Esta situación eleva los costos de producción y exige </w:t>
      </w:r>
      <w:r w:rsidR="00842CED">
        <w:t>un aumento de</w:t>
      </w:r>
      <w:r w:rsidRPr="00E37098">
        <w:t xml:space="preserve"> la productividad marginal de los trabajadores para justificar salarios más altos. Adicionalmente, el sector enfrenta una falta de formación continua y especializada para operarios y productores en </w:t>
      </w:r>
      <w:r w:rsidR="00D936E2">
        <w:t xml:space="preserve">el </w:t>
      </w:r>
      <w:r w:rsidRPr="00E37098">
        <w:t xml:space="preserve">manejo de tecnologías, </w:t>
      </w:r>
      <w:r w:rsidR="00D936E2">
        <w:t xml:space="preserve">la </w:t>
      </w:r>
      <w:r w:rsidRPr="00E37098">
        <w:t>sostenibilidad o</w:t>
      </w:r>
      <w:r w:rsidR="00D936E2">
        <w:t xml:space="preserve"> la</w:t>
      </w:r>
      <w:r w:rsidRPr="00E37098">
        <w:t xml:space="preserve"> gestión hídrica moderna.</w:t>
      </w:r>
    </w:p>
    <w:p w14:paraId="5DFBB24C" w14:textId="181BB9F5" w:rsidR="00A718A5" w:rsidRDefault="00E37098" w:rsidP="00304DC0">
      <w:pPr>
        <w:jc w:val="both"/>
      </w:pPr>
      <w:r w:rsidRPr="00E37098">
        <w:t xml:space="preserve">Finalmente, las brechas de </w:t>
      </w:r>
      <w:r w:rsidR="00DF44A8">
        <w:t>c</w:t>
      </w:r>
      <w:r w:rsidRPr="00E37098">
        <w:t xml:space="preserve">apital </w:t>
      </w:r>
      <w:r w:rsidR="00DF44A8">
        <w:t>h</w:t>
      </w:r>
      <w:r w:rsidRPr="00E37098">
        <w:t xml:space="preserve">umano también abarcan el conocimiento limitado sobre prácticas sostenibles y la gestión de la información. Solo el 26% de los productores declara manejar conceptos de sostenibilidad y únicamente entre el 12% y el 17% ha implementado soluciones avanzadas como </w:t>
      </w:r>
      <w:r w:rsidR="00D936E2">
        <w:t xml:space="preserve">la </w:t>
      </w:r>
      <w:r w:rsidRPr="00E37098">
        <w:t xml:space="preserve">Agricultura 4.0, </w:t>
      </w:r>
      <w:r w:rsidR="00D936E2">
        <w:t xml:space="preserve">la </w:t>
      </w:r>
      <w:r w:rsidRPr="00E37098">
        <w:t>IA o</w:t>
      </w:r>
      <w:r w:rsidR="00D936E2">
        <w:t xml:space="preserve"> la</w:t>
      </w:r>
      <w:r w:rsidRPr="00E37098">
        <w:t xml:space="preserve"> economía circular. Esta falta de conocimiento se articula con la ausencia de un sistema de gestión de información agronómica estructurada; la mayoría de los productores no lleva registros organizados de riego, clima o labores, lo cual impide el aprendizaje técnico y la toma de decisiones informadas de temporada en temporada. De esta forma, la limitación en el </w:t>
      </w:r>
      <w:r w:rsidR="00D936E2">
        <w:t>c</w:t>
      </w:r>
      <w:r w:rsidR="00D936E2" w:rsidRPr="00E37098">
        <w:t xml:space="preserve">apital </w:t>
      </w:r>
      <w:r w:rsidR="00D936E2">
        <w:t>h</w:t>
      </w:r>
      <w:r w:rsidR="00D936E2" w:rsidRPr="00E37098">
        <w:t xml:space="preserve">umano </w:t>
      </w:r>
      <w:r w:rsidRPr="00E37098">
        <w:t>no solo restringe la adopción tecnológica, sino que también limita el potencial de Biobío para transitar hacia un modelo productivo sostenible, resiliente y basado en datos.</w:t>
      </w:r>
    </w:p>
    <w:p w14:paraId="6922164D" w14:textId="77777777" w:rsidR="00E61E01" w:rsidRDefault="00842CED" w:rsidP="00193DA2">
      <w:pPr>
        <w:pStyle w:val="Ttulo1"/>
      </w:pPr>
      <w:bookmarkStart w:id="9" w:name="_Toc215418145"/>
      <w:r>
        <w:lastRenderedPageBreak/>
        <w:t>Metodología:</w:t>
      </w:r>
      <w:bookmarkEnd w:id="9"/>
      <w:r>
        <w:t xml:space="preserve"> </w:t>
      </w:r>
    </w:p>
    <w:p w14:paraId="5635FE65" w14:textId="04C56C08" w:rsidR="008770FE" w:rsidRPr="002347F4" w:rsidRDefault="008770FE" w:rsidP="00EA6251">
      <w:pPr>
        <w:jc w:val="both"/>
      </w:pPr>
      <w:r w:rsidRPr="00EA6251">
        <w:t>E</w:t>
      </w:r>
      <w:r w:rsidR="00EA6251" w:rsidRPr="00EA6251">
        <w:t>l trabajo</w:t>
      </w:r>
      <w:r w:rsidRPr="00EA6251">
        <w:t xml:space="preserve"> adopta un enfoque cualitativo de tipo descriptivo-analítico, utilizando el método de estudio de caso. Se analizan fuentes primarias y secundarias, incluyendo documentos institucionales de CORFO, informes de diagnóstico sectorial (Fortalece Pyme Los Ángeles e IFI Recuperación Frutícola), estadísticas </w:t>
      </w:r>
      <w:r w:rsidRPr="002347F4">
        <w:t>de ODEPA e INIA, y antecedentes bibliográficos vinculados al desarrollo territorial sostenible y la gobernanza colaborativa.</w:t>
      </w:r>
    </w:p>
    <w:p w14:paraId="706D4227" w14:textId="77777777" w:rsidR="008770FE" w:rsidRPr="002347F4" w:rsidRDefault="008770FE" w:rsidP="008770FE">
      <w:pPr>
        <w:jc w:val="both"/>
      </w:pPr>
      <w:r w:rsidRPr="002347F4">
        <w:t>El proceso metodológico contempla tres etapas complementarias:</w:t>
      </w:r>
    </w:p>
    <w:p w14:paraId="2A8FCDBA" w14:textId="77777777" w:rsidR="008770FE" w:rsidRPr="002347F4" w:rsidRDefault="008770FE" w:rsidP="008770FE">
      <w:pPr>
        <w:numPr>
          <w:ilvl w:val="0"/>
          <w:numId w:val="30"/>
        </w:numPr>
        <w:jc w:val="both"/>
      </w:pPr>
      <w:r w:rsidRPr="002347F4">
        <w:t>Revisión documental y bibliográfica sobre fruticultura</w:t>
      </w:r>
      <w:r>
        <w:t xml:space="preserve"> y</w:t>
      </w:r>
      <w:r w:rsidRPr="002347F4">
        <w:t xml:space="preserve"> </w:t>
      </w:r>
      <w:r w:rsidRPr="006578B4">
        <w:t>desarrollo territorial sostenible, a</w:t>
      </w:r>
      <w:r w:rsidRPr="002347F4">
        <w:t xml:space="preserve"> partir de estudios nacionales y regionales que permitieron contextualizar el desempeño y los desafíos del sector frutícola del Biobío.</w:t>
      </w:r>
    </w:p>
    <w:p w14:paraId="69D42046" w14:textId="77777777" w:rsidR="008770FE" w:rsidRPr="002347F4" w:rsidRDefault="008770FE" w:rsidP="008770FE">
      <w:pPr>
        <w:numPr>
          <w:ilvl w:val="0"/>
          <w:numId w:val="30"/>
        </w:numPr>
        <w:jc w:val="both"/>
      </w:pPr>
      <w:r w:rsidRPr="002347F4">
        <w:t xml:space="preserve">Análisis de brechas y diagnóstico sectorial, basado en la sistematización de los resultados obtenidos en los instrumentos de CORFO </w:t>
      </w:r>
      <w:r>
        <w:t>de los programas</w:t>
      </w:r>
      <w:r w:rsidRPr="002347F4">
        <w:t xml:space="preserve"> Fortalece Pyme Los Ángeles (2021–2024) </w:t>
      </w:r>
      <w:r>
        <w:t xml:space="preserve">e </w:t>
      </w:r>
      <w:r w:rsidRPr="00EC5428">
        <w:t>Instrumento de Fomento Integrado (IFI)</w:t>
      </w:r>
      <w:r w:rsidRPr="00DB7A61">
        <w:t xml:space="preserve"> Recuperación sostenible y resiliente de la actividad frutícola de la macrozona centro-sur (Etapa de formulación 2025</w:t>
      </w:r>
      <w:r w:rsidRPr="002347F4">
        <w:t>), identificando los principales factores limitantes para la competitividad y sostenibilidad del sector.</w:t>
      </w:r>
    </w:p>
    <w:p w14:paraId="09E7171E" w14:textId="7AB9AAA4" w:rsidR="008770FE" w:rsidRPr="002347F4" w:rsidRDefault="008770FE" w:rsidP="008770FE">
      <w:pPr>
        <w:numPr>
          <w:ilvl w:val="0"/>
          <w:numId w:val="30"/>
        </w:numPr>
        <w:jc w:val="both"/>
      </w:pPr>
      <w:r w:rsidRPr="002347F4">
        <w:t xml:space="preserve">Síntesis analítica del caso PTI </w:t>
      </w:r>
      <w:proofErr w:type="spellStart"/>
      <w:r w:rsidRPr="002347F4">
        <w:t>Tecnofruta</w:t>
      </w:r>
      <w:proofErr w:type="spellEnd"/>
      <w:r w:rsidRPr="002347F4">
        <w:t xml:space="preserve"> Biobío, que incluyó una reunión con actores relevantes del sector frutícola regional</w:t>
      </w:r>
      <w:r>
        <w:t xml:space="preserve"> (INIA </w:t>
      </w:r>
      <w:proofErr w:type="spellStart"/>
      <w:r>
        <w:t>Quilamapu</w:t>
      </w:r>
      <w:proofErr w:type="spellEnd"/>
      <w:r>
        <w:t xml:space="preserve"> y Grupo GTT).</w:t>
      </w:r>
      <w:r w:rsidRPr="002347F4">
        <w:t xml:space="preserve"> Esta instancia permitió validar los resultados de los diagnósticos previos (FPYME e IFI), identificar coincidencias y nuevas brechas y recoger percepciones territoriales sobre los desafíos y oportunidades del sector, aportando insumos cualitativos al proceso de formulación y análisis del PTI.</w:t>
      </w:r>
    </w:p>
    <w:p w14:paraId="550B2501" w14:textId="0E358A9F" w:rsidR="008770FE" w:rsidRPr="008770FE" w:rsidRDefault="008770FE" w:rsidP="0088506C">
      <w:pPr>
        <w:jc w:val="both"/>
      </w:pPr>
      <w:r w:rsidRPr="002347F4">
        <w:t>Esta aproximación metodológica permite comprender cómo los instrumentos de fomento territorial pueden contribuir al fortalecimiento competitivo y sostenible de un sector productivo específico, articulando políticas públicas con capacidades locales y promoviendo la integración entre innovación, sostenibilidad y gestión territorial colaborativa.</w:t>
      </w:r>
    </w:p>
    <w:p w14:paraId="6AC6349B" w14:textId="3FD45016" w:rsidR="00573DB1" w:rsidRPr="00B92EF6" w:rsidRDefault="00795414" w:rsidP="00304DC0">
      <w:pPr>
        <w:jc w:val="both"/>
      </w:pPr>
      <w:r w:rsidRPr="00B92EF6">
        <w:t xml:space="preserve">Las brechas identificadas a través de los diagnósticos del programa Fortalece Pyme Los Ángeles (2021–2024) y del IFI Recuperación Frutícola (2025) fueron validadas </w:t>
      </w:r>
      <w:r w:rsidR="00424D98">
        <w:t>en</w:t>
      </w:r>
      <w:r w:rsidRPr="00B92EF6">
        <w:t xml:space="preserve"> una reunión técnica con actores relevantes del ecosistema frutícola regional</w:t>
      </w:r>
      <w:r w:rsidR="00842CED" w:rsidRPr="00B92EF6">
        <w:t xml:space="preserve">. </w:t>
      </w:r>
      <w:r w:rsidR="00573DB1" w:rsidRPr="00B92EF6">
        <w:t xml:space="preserve">El objetivo del proceso fue </w:t>
      </w:r>
      <w:r w:rsidRPr="00B92EF6">
        <w:t>contrastar los hallazgos y priorizar los desafíos estratégicos del sector. En esta instancia participaron</w:t>
      </w:r>
      <w:r w:rsidR="00B1024C" w:rsidRPr="00B92EF6">
        <w:t xml:space="preserve"> Ximena Riffo Vargas, subdirectora de competitividad de CORFO Biobío,</w:t>
      </w:r>
      <w:r w:rsidRPr="00B92EF6">
        <w:t xml:space="preserve"> Stanley Best, investigador del Instituto de Investigaciones Agropecuarias (INIA </w:t>
      </w:r>
      <w:proofErr w:type="spellStart"/>
      <w:r w:rsidRPr="00B92EF6">
        <w:t>Quilamapu</w:t>
      </w:r>
      <w:proofErr w:type="spellEnd"/>
      <w:r w:rsidRPr="00B92EF6">
        <w:t>),</w:t>
      </w:r>
      <w:r w:rsidR="00B1024C" w:rsidRPr="00B92EF6">
        <w:t xml:space="preserve"> José Ignacio Maldonado, part</w:t>
      </w:r>
      <w:r w:rsidR="00B92EF6" w:rsidRPr="00B92EF6">
        <w:t xml:space="preserve">e del </w:t>
      </w:r>
      <w:r w:rsidR="00B1024C" w:rsidRPr="00B92EF6">
        <w:t xml:space="preserve">staff ejecutor de </w:t>
      </w:r>
      <w:r w:rsidR="00B92EF6" w:rsidRPr="00B92EF6">
        <w:t>tecnologías</w:t>
      </w:r>
      <w:r w:rsidR="00B1024C" w:rsidRPr="00B92EF6">
        <w:t xml:space="preserve"> Agro 4.0 en proyecto </w:t>
      </w:r>
      <w:proofErr w:type="spellStart"/>
      <w:r w:rsidR="00B1024C" w:rsidRPr="00B92EF6">
        <w:t>SmartField</w:t>
      </w:r>
      <w:proofErr w:type="spellEnd"/>
      <w:r w:rsidR="00B1024C" w:rsidRPr="00B92EF6">
        <w:t xml:space="preserve"> de INIA</w:t>
      </w:r>
      <w:r w:rsidRPr="00B92EF6">
        <w:t xml:space="preserve"> </w:t>
      </w:r>
      <w:proofErr w:type="spellStart"/>
      <w:r w:rsidR="00B92EF6">
        <w:t>Quilamapu</w:t>
      </w:r>
      <w:proofErr w:type="spellEnd"/>
      <w:r w:rsidR="00B92EF6">
        <w:t xml:space="preserve"> </w:t>
      </w:r>
      <w:r w:rsidRPr="00B92EF6">
        <w:t>y Verónica Fernández, presidenta del Grupo GTT,</w:t>
      </w:r>
      <w:r w:rsidR="00B92EF6">
        <w:t xml:space="preserve"> todos</w:t>
      </w:r>
      <w:r w:rsidRPr="00B92EF6">
        <w:t xml:space="preserve"> referentes en innovación y transferencia tecnológica frutícola en la macrozona centro-sur</w:t>
      </w:r>
      <w:r w:rsidR="00B92EF6" w:rsidRPr="00B92EF6">
        <w:t xml:space="preserve"> del país.</w:t>
      </w:r>
      <w:r w:rsidR="00565F7E" w:rsidRPr="00B92EF6">
        <w:t xml:space="preserve"> (Anexo 2).</w:t>
      </w:r>
    </w:p>
    <w:p w14:paraId="6A1B0281" w14:textId="6233FF15" w:rsidR="00203197" w:rsidRDefault="00795414" w:rsidP="00304DC0">
      <w:pPr>
        <w:jc w:val="both"/>
      </w:pPr>
      <w:r w:rsidRPr="00B92EF6">
        <w:t>Durante la reunión se ratificaron las brechas estructurales previamente detectadas —baja adopción tecnológica, déficit de capital humano especializado, gestión predial</w:t>
      </w:r>
      <w:r w:rsidR="00424D98">
        <w:t xml:space="preserve"> limitada</w:t>
      </w:r>
      <w:r w:rsidRPr="00B92EF6">
        <w:t xml:space="preserve"> y débil articulación entre actores—, coincidiendo en la necesidad de fortalecer la gobernanza territorial y la digitalización de procesos como ejes prioritarios para el desarrollo sostenible del sector. Este proceso de validación permitió consolidar un diagnóstico consensuado entre </w:t>
      </w:r>
      <w:r w:rsidR="00424D98">
        <w:t>los</w:t>
      </w:r>
      <w:r w:rsidRPr="00B92EF6">
        <w:t xml:space="preserve"> ámbito</w:t>
      </w:r>
      <w:r w:rsidR="00424D98">
        <w:t>s</w:t>
      </w:r>
      <w:r w:rsidRPr="00B92EF6">
        <w:t xml:space="preserve"> técnico-</w:t>
      </w:r>
      <w:r w:rsidRPr="00B92EF6">
        <w:lastRenderedPageBreak/>
        <w:t xml:space="preserve">científico y productivo, otorgando sustento empírico y legitimidad al diseño del PTI </w:t>
      </w:r>
      <w:proofErr w:type="spellStart"/>
      <w:r w:rsidRPr="00B92EF6">
        <w:t>Tecnofruta</w:t>
      </w:r>
      <w:proofErr w:type="spellEnd"/>
      <w:r w:rsidRPr="00B92EF6">
        <w:t xml:space="preserve"> Biobío como instrumento articulador de la fruticultura regional.</w:t>
      </w:r>
    </w:p>
    <w:p w14:paraId="4F99218E" w14:textId="7FCDC2FC" w:rsidR="00DA7BB4" w:rsidRPr="00DA7BB4" w:rsidRDefault="00DA7BB4" w:rsidP="00304DC0">
      <w:pPr>
        <w:jc w:val="both"/>
      </w:pPr>
      <w:r>
        <w:t>Por otro lado, l</w:t>
      </w:r>
      <w:r w:rsidRPr="00DA7BB4">
        <w:t xml:space="preserve">as brechas diagnosticadas se </w:t>
      </w:r>
      <w:r w:rsidR="003059B2">
        <w:t>alinean</w:t>
      </w:r>
      <w:r w:rsidRPr="00DA7BB4">
        <w:t xml:space="preserve"> con los pilares estratégicos definidos por la Estrategia de Sustentabilidad del Sector Silvoagropecuario y de la Cadena Alimentaria (ODEPA, 2021). Este marco nacional de acción orienta la transformación del sector agroalimentario chileno hacia un modelo productivo más resiliente y sostenible, estructurado sobre cuatro ejes centrales: (1) </w:t>
      </w:r>
      <w:r>
        <w:t>C</w:t>
      </w:r>
      <w:r w:rsidRPr="00DA7BB4">
        <w:t xml:space="preserve">ambio climático y gestión sostenible de los recursos naturales (2) </w:t>
      </w:r>
      <w:r>
        <w:t>I</w:t>
      </w:r>
      <w:r w:rsidRPr="00DA7BB4">
        <w:t xml:space="preserve">nnovación, tecnología y digitalización para la sustentabilidad (3) </w:t>
      </w:r>
      <w:r>
        <w:t>E</w:t>
      </w:r>
      <w:r w:rsidRPr="00DA7BB4">
        <w:t xml:space="preserve">quidad social, capital humano y calidad de vida en los territorios rurales y (4) </w:t>
      </w:r>
      <w:r>
        <w:t>G</w:t>
      </w:r>
      <w:r w:rsidRPr="00DA7BB4">
        <w:t xml:space="preserve">obernanza e institucionalidad para la sostenibilidad. Estos pilares, vinculados directamente con los Objetivos de Desarrollo Sostenible (ODS 2, 8, 9, 12 y 13), establecen una convergencia explícita con las brechas detectadas en la fruticultura del Biobío y sustentan la pertinencia del PTI </w:t>
      </w:r>
      <w:proofErr w:type="spellStart"/>
      <w:r w:rsidRPr="00DA7BB4">
        <w:t>Tecnofruta</w:t>
      </w:r>
      <w:proofErr w:type="spellEnd"/>
      <w:r w:rsidRPr="00DA7BB4">
        <w:t xml:space="preserve"> Biobío como instrumento que operacionaliza, a escala territorial, los lineamientos de la política nacional de sostenibilidad agroalimentaria.</w:t>
      </w:r>
    </w:p>
    <w:p w14:paraId="157174FC" w14:textId="29DCD539" w:rsidR="00AB71C1" w:rsidRPr="00373B3E" w:rsidRDefault="00842CED" w:rsidP="00193DA2">
      <w:pPr>
        <w:pStyle w:val="Ttulo1"/>
      </w:pPr>
      <w:bookmarkStart w:id="10" w:name="_Toc215418146"/>
      <w:r>
        <w:t xml:space="preserve">Resultados: </w:t>
      </w:r>
      <w:r w:rsidR="00F84A27">
        <w:t xml:space="preserve">Programa Territorial Integrado </w:t>
      </w:r>
      <w:proofErr w:type="spellStart"/>
      <w:r w:rsidR="00F84A27">
        <w:t>Tecnofruta</w:t>
      </w:r>
      <w:proofErr w:type="spellEnd"/>
      <w:r w:rsidR="00F84A27">
        <w:t xml:space="preserve"> Biobío</w:t>
      </w:r>
      <w:bookmarkEnd w:id="10"/>
    </w:p>
    <w:p w14:paraId="6B55F324" w14:textId="3746F44B" w:rsidR="00922CE7" w:rsidRPr="00922CE7" w:rsidRDefault="00106415" w:rsidP="00922CE7">
      <w:pPr>
        <w:jc w:val="both"/>
      </w:pPr>
      <w:r w:rsidRPr="00922CE7">
        <w:t>El Proyecto Territorial Integrado (PTI)</w:t>
      </w:r>
      <w:r w:rsidRPr="00922CE7">
        <w:rPr>
          <w:iCs/>
        </w:rPr>
        <w:t xml:space="preserve"> </w:t>
      </w:r>
      <w:proofErr w:type="spellStart"/>
      <w:r w:rsidRPr="00922CE7">
        <w:rPr>
          <w:iCs/>
        </w:rPr>
        <w:t>Tecnofruta</w:t>
      </w:r>
      <w:proofErr w:type="spellEnd"/>
      <w:r w:rsidRPr="00922CE7">
        <w:rPr>
          <w:iCs/>
        </w:rPr>
        <w:t xml:space="preserve"> Biobío</w:t>
      </w:r>
      <w:r w:rsidRPr="00922CE7">
        <w:t xml:space="preserve"> </w:t>
      </w:r>
      <w:r w:rsidR="00D40D65" w:rsidRPr="00922CE7">
        <w:t>posee</w:t>
      </w:r>
      <w:r w:rsidRPr="00922CE7">
        <w:t xml:space="preserve"> como objetivo implementar un modelo de gestión territorial que mejore la competitividad del sector frutícola de la Provincia de Biobío, mediante la incorporación de tecnologías digitales y habilitantes, la formación de capital humano especializado y la articulación de actores públicos y privados en torno a una fruticultura sostenible, eficiente y basada en datos.</w:t>
      </w:r>
      <w:r w:rsidR="00922CE7" w:rsidRPr="00922CE7">
        <w:t xml:space="preserve"> Para ello se plantean los siguientes objetivos específicos:</w:t>
      </w:r>
    </w:p>
    <w:p w14:paraId="5B5DA815" w14:textId="77777777" w:rsidR="00922CE7" w:rsidRPr="00922CE7" w:rsidRDefault="00922CE7" w:rsidP="00922CE7">
      <w:pPr>
        <w:pStyle w:val="Prrafodelista"/>
        <w:numPr>
          <w:ilvl w:val="0"/>
          <w:numId w:val="37"/>
        </w:numPr>
        <w:jc w:val="both"/>
      </w:pPr>
      <w:r w:rsidRPr="00922CE7">
        <w:t>Promover la incorporación de tecnologías en procesos productivos del sector frutícola de la Provincia de Biobío.</w:t>
      </w:r>
    </w:p>
    <w:p w14:paraId="33061F25" w14:textId="77777777" w:rsidR="00922CE7" w:rsidRPr="00922CE7" w:rsidRDefault="00922CE7" w:rsidP="00922CE7">
      <w:pPr>
        <w:pStyle w:val="Prrafodelista"/>
        <w:numPr>
          <w:ilvl w:val="0"/>
          <w:numId w:val="37"/>
        </w:numPr>
        <w:jc w:val="both"/>
        <w:rPr>
          <w:iCs/>
        </w:rPr>
      </w:pPr>
      <w:r w:rsidRPr="00922CE7">
        <w:rPr>
          <w:iCs/>
        </w:rPr>
        <w:t>Fortalecer las capacidades de gestión, planificación y digitalización de las empresas frutícolas de la Provincia de Biobío.</w:t>
      </w:r>
    </w:p>
    <w:p w14:paraId="55CC0289" w14:textId="0E0A8EDC" w:rsidR="00106415" w:rsidRPr="00922CE7" w:rsidRDefault="00922CE7" w:rsidP="00922CE7">
      <w:pPr>
        <w:pStyle w:val="Prrafodelista"/>
        <w:numPr>
          <w:ilvl w:val="0"/>
          <w:numId w:val="37"/>
        </w:numPr>
        <w:jc w:val="both"/>
        <w:rPr>
          <w:iCs/>
        </w:rPr>
      </w:pPr>
      <w:r w:rsidRPr="00922CE7">
        <w:rPr>
          <w:iCs/>
        </w:rPr>
        <w:t>Desarrollar capital humano especializado en uso de tecnologías habilitantes del sector frutícola.</w:t>
      </w:r>
    </w:p>
    <w:p w14:paraId="6420F808" w14:textId="13BE2F24" w:rsidR="00106415" w:rsidRDefault="00106415" w:rsidP="00106415">
      <w:pPr>
        <w:jc w:val="both"/>
        <w:rPr>
          <w:iCs/>
        </w:rPr>
      </w:pPr>
      <w:r w:rsidRPr="00922CE7">
        <w:t>El programa se desarrollará en la Provincia de Biobío, que concentra cerca del 98,2% de la superficie frutícola regional, destacando especies como arándanos, avellanos europeos, cerezos y nogales. Este territorio constituye un corredor agrícola estratégico en el valle central, con altos niveles de tecnificación, disponibilidad de infraestructura y ventajas comparativas en el uso eficiente del recurso hídrico, que permite</w:t>
      </w:r>
      <w:r w:rsidR="003059B2">
        <w:t>n</w:t>
      </w:r>
      <w:r w:rsidRPr="00922CE7">
        <w:t xml:space="preserve"> mantener </w:t>
      </w:r>
      <w:r w:rsidR="003059B2">
        <w:t xml:space="preserve">la </w:t>
      </w:r>
      <w:r w:rsidRPr="00922CE7">
        <w:t>competitividad incluso en escenarios de escasez hídrica.</w:t>
      </w:r>
      <w:r w:rsidR="00573DB1" w:rsidRPr="00922CE7">
        <w:t xml:space="preserve"> </w:t>
      </w:r>
      <w:r w:rsidR="00573DB1" w:rsidRPr="00922CE7">
        <w:rPr>
          <w:iCs/>
        </w:rPr>
        <w:t xml:space="preserve">PTI </w:t>
      </w:r>
      <w:proofErr w:type="spellStart"/>
      <w:r w:rsidR="00573DB1" w:rsidRPr="00922CE7">
        <w:rPr>
          <w:iCs/>
        </w:rPr>
        <w:t>Tecnofruta</w:t>
      </w:r>
      <w:proofErr w:type="spellEnd"/>
      <w:r w:rsidR="00573DB1" w:rsidRPr="00922CE7">
        <w:rPr>
          <w:iCs/>
        </w:rPr>
        <w:t xml:space="preserve"> Biobío</w:t>
      </w:r>
      <w:r w:rsidR="00573DB1" w:rsidRPr="00922CE7">
        <w:rPr>
          <w:iCs/>
          <w:lang w:val="es-MX"/>
        </w:rPr>
        <w:t xml:space="preserve"> se inserta en la Provincia de Biobío, específicamente en las comunas de Los Ángeles, Mulchén</w:t>
      </w:r>
      <w:r w:rsidR="00573DB1" w:rsidRPr="00922CE7">
        <w:rPr>
          <w:iCs/>
        </w:rPr>
        <w:t>, Cabrero, Nacimiento, Negrete, Quilaco, Santa Bárbara y Tucapel</w:t>
      </w:r>
      <w:r w:rsidR="00573DB1" w:rsidRPr="00922CE7">
        <w:rPr>
          <w:iCs/>
          <w:lang w:val="es-MX"/>
        </w:rPr>
        <w:t xml:space="preserve">. </w:t>
      </w:r>
      <w:r w:rsidR="00573DB1" w:rsidRPr="00922CE7">
        <w:rPr>
          <w:iCs/>
        </w:rPr>
        <w:t xml:space="preserve">Según el Catastro Frutícola 2022 (ODEPA–CIREN), la comuna de Los Ángeles concentra más de 3.160 ha plantadas, principalmente de arándanos </w:t>
      </w:r>
      <w:r w:rsidR="00573DB1" w:rsidRPr="00812363">
        <w:rPr>
          <w:iCs/>
        </w:rPr>
        <w:t xml:space="preserve">(1.130 ha), avellanos (699 ha), nogales (621 ha) y cerezos (402 ha), </w:t>
      </w:r>
      <w:r w:rsidR="003059B2">
        <w:rPr>
          <w:iCs/>
        </w:rPr>
        <w:t>lo que representa</w:t>
      </w:r>
      <w:r w:rsidR="00573DB1" w:rsidRPr="00812363">
        <w:rPr>
          <w:iCs/>
        </w:rPr>
        <w:t xml:space="preserve"> casi la mitad de la superficie frutícola de la provincia</w:t>
      </w:r>
      <w:r w:rsidR="00573DB1">
        <w:rPr>
          <w:iCs/>
        </w:rPr>
        <w:t xml:space="preserve"> (Figura 1)</w:t>
      </w:r>
      <w:r w:rsidR="00573DB1" w:rsidRPr="00812363">
        <w:rPr>
          <w:iCs/>
        </w:rPr>
        <w:t>.</w:t>
      </w:r>
    </w:p>
    <w:p w14:paraId="62E91C7F" w14:textId="77777777" w:rsidR="001342B1" w:rsidRDefault="001342B1" w:rsidP="001342B1">
      <w:pPr>
        <w:jc w:val="center"/>
        <w:rPr>
          <w:iCs/>
        </w:rPr>
      </w:pPr>
      <w:r w:rsidRPr="00193DA2">
        <w:rPr>
          <w:b/>
          <w:bCs/>
          <w:iCs/>
        </w:rPr>
        <w:lastRenderedPageBreak/>
        <w:t xml:space="preserve">Figura 1: Mapa de las comunas de impacto del PTI </w:t>
      </w:r>
      <w:proofErr w:type="spellStart"/>
      <w:r w:rsidRPr="00193DA2">
        <w:rPr>
          <w:b/>
          <w:bCs/>
          <w:iCs/>
        </w:rPr>
        <w:t>Tecnofruta</w:t>
      </w:r>
      <w:proofErr w:type="spellEnd"/>
      <w:r w:rsidRPr="00193DA2">
        <w:rPr>
          <w:b/>
          <w:bCs/>
          <w:iCs/>
        </w:rPr>
        <w:t xml:space="preserve"> Biobío</w:t>
      </w:r>
      <w:r>
        <w:rPr>
          <w:noProof/>
          <w:sz w:val="20"/>
          <w:szCs w:val="20"/>
          <w:lang w:val="es-MX"/>
        </w:rPr>
        <w:drawing>
          <wp:inline distT="0" distB="0" distL="0" distR="0" wp14:anchorId="5AD3FF7A" wp14:editId="1F0BF7C7">
            <wp:extent cx="4252328" cy="3718882"/>
            <wp:effectExtent l="0" t="0" r="0" b="0"/>
            <wp:docPr id="776438296" name="Imagen 776438296" descr="Map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6438296" name="Imagen 776438296" descr="Mapa&#10;&#10;El contenido generado por IA puede ser incorrecto."/>
                    <pic:cNvPicPr/>
                  </pic:nvPicPr>
                  <pic:blipFill>
                    <a:blip r:embed="rId13">
                      <a:extLst>
                        <a:ext uri="{28A0092B-C50C-407E-A947-70E740481C1C}">
                          <a14:useLocalDpi xmlns:a14="http://schemas.microsoft.com/office/drawing/2010/main" val="0"/>
                        </a:ext>
                      </a:extLst>
                    </a:blip>
                    <a:stretch>
                      <a:fillRect/>
                    </a:stretch>
                  </pic:blipFill>
                  <pic:spPr>
                    <a:xfrm>
                      <a:off x="0" y="0"/>
                      <a:ext cx="4252328" cy="3718882"/>
                    </a:xfrm>
                    <a:prstGeom prst="rect">
                      <a:avLst/>
                    </a:prstGeom>
                  </pic:spPr>
                </pic:pic>
              </a:graphicData>
            </a:graphic>
          </wp:inline>
        </w:drawing>
      </w:r>
    </w:p>
    <w:p w14:paraId="5C0F0C96" w14:textId="436289F3" w:rsidR="001342B1" w:rsidRPr="00106415" w:rsidRDefault="001342B1" w:rsidP="00106415">
      <w:pPr>
        <w:jc w:val="both"/>
      </w:pPr>
      <w:r w:rsidRPr="00812363">
        <w:rPr>
          <w:i/>
        </w:rPr>
        <w:t>Fuente: Elaboración propia.</w:t>
      </w:r>
    </w:p>
    <w:p w14:paraId="037C3440" w14:textId="3B4158D0" w:rsidR="00106415" w:rsidRPr="00106415" w:rsidRDefault="00106415" w:rsidP="00106415">
      <w:pPr>
        <w:jc w:val="both"/>
      </w:pPr>
      <w:r w:rsidRPr="00106415">
        <w:t xml:space="preserve">El PTI intervendrá principalmente </w:t>
      </w:r>
      <w:r w:rsidR="003059B2">
        <w:t xml:space="preserve">en </w:t>
      </w:r>
      <w:r w:rsidRPr="00106415">
        <w:t>el eslabón de producción de la cadena frutícola, que concentra las brechas estructurales en gestión, capital humano especializado y adopción tecnológica. Las empresas beneficiarias, en su mayoría pymes, presentan un bajo nivel de digitalización y competencias técnicas</w:t>
      </w:r>
      <w:r w:rsidR="003059B2">
        <w:t xml:space="preserve"> limitadas</w:t>
      </w:r>
      <w:r w:rsidRPr="00106415">
        <w:t xml:space="preserve"> para incorporar herramientas de agricultura de precisión y enfrentar los efectos del cambio climático. Durante el primer año, el programa enfocará </w:t>
      </w:r>
      <w:r w:rsidR="003059B2">
        <w:t>las</w:t>
      </w:r>
      <w:r w:rsidR="003059B2" w:rsidRPr="00106415">
        <w:t xml:space="preserve"> </w:t>
      </w:r>
      <w:r w:rsidRPr="00106415">
        <w:t>acciones en fortalecer la gestión predial, modernizar procesos productivos y promover la incorporación de tecnologías habilitantes, sentando las bases para un manejo más eficiente y sostenible de los huertos. A partir del segundo año, el PTI ampliará su intervención hacia el eslabón de cosecha y postcosecha, abordando brechas vinculadas a la preservación de la calidad, manejo de frío, trazabilidad y valor agregado, con el propósito de consolidar una cadena frutícola más competitiva, resiliente y sustentable en la Región del Biobío.</w:t>
      </w:r>
    </w:p>
    <w:p w14:paraId="7C48E5B0" w14:textId="3DF24CCB" w:rsidR="00106415" w:rsidRPr="00106415" w:rsidRDefault="00106415" w:rsidP="00106415">
      <w:pPr>
        <w:jc w:val="both"/>
      </w:pPr>
      <w:r w:rsidRPr="00106415">
        <w:t>La estrategia de ejecución considera la implementación de pilotos demostrativos de tecnologías habilitantes, consultorías climáticas y de gestión de datos, capacitaciones en digitalización y la creación de mesas técnicas territoriales que aseguren continuidad y gobernanza colaborativa. Estas acciones se articulan con instrumentos de fomento y habilitantes que permitirán el escalamiento competitivo del sector, tales como Desarrolla Inversión, Red Proveedores, Red Asociativa Agro+, FOCAL, Programa de Difusión Tecnológica, IFI Frutícola, Programa Transforma Alimentos y Viraliza Formación y Eventos.</w:t>
      </w:r>
    </w:p>
    <w:p w14:paraId="103237BF" w14:textId="4515F0B3" w:rsidR="00106415" w:rsidRPr="00106415" w:rsidRDefault="00106415" w:rsidP="00106415">
      <w:pPr>
        <w:jc w:val="both"/>
      </w:pPr>
      <w:r w:rsidRPr="00106415">
        <w:t xml:space="preserve">Durante la primera etapa, el PTI buscará que las empresas frutícolas implementen sistemas digitales de gestión predial, generando capacidades para registrar, analizar y utilizar información técnica que </w:t>
      </w:r>
      <w:r w:rsidRPr="00106415">
        <w:lastRenderedPageBreak/>
        <w:t>sustente decisiones productivas basadas en datos. A mediano plazo, se espera que las empresas participantes inviertan en infraestructura tecnológica habilitante, mejoren su eficiencia en el uso de recursos y fortalezcan su capacidad de adaptación al cambio climático y a los nuevos estándares de sostenibilidad exigidos por los mercados internacionales.</w:t>
      </w:r>
    </w:p>
    <w:p w14:paraId="465A8611" w14:textId="497E7EC9" w:rsidR="00106415" w:rsidRPr="00106415" w:rsidRDefault="00106415" w:rsidP="007C352B">
      <w:pPr>
        <w:jc w:val="both"/>
      </w:pPr>
      <w:r w:rsidRPr="00106415">
        <w:t xml:space="preserve">El foco de trabajo del PTI será consolidar una gobernanza territorial robusta y participativa, integrada por productores, gremios, proveedores tecnológicos, </w:t>
      </w:r>
      <w:r w:rsidRPr="00193DA2">
        <w:t xml:space="preserve">instituciones públicas y centros de </w:t>
      </w:r>
      <w:r w:rsidR="00573DB1" w:rsidRPr="00193DA2">
        <w:t xml:space="preserve">conocimiento, como el INIA </w:t>
      </w:r>
      <w:proofErr w:type="spellStart"/>
      <w:r w:rsidR="00573DB1" w:rsidRPr="00193DA2">
        <w:t>Quilamapu</w:t>
      </w:r>
      <w:proofErr w:type="spellEnd"/>
      <w:r w:rsidR="00573DB1" w:rsidRPr="00193DA2">
        <w:t xml:space="preserve">, el INDAP, la FIA, </w:t>
      </w:r>
      <w:proofErr w:type="spellStart"/>
      <w:r w:rsidR="00573DB1" w:rsidRPr="00193DA2">
        <w:t>ProChile</w:t>
      </w:r>
      <w:proofErr w:type="spellEnd"/>
      <w:r w:rsidR="00573DB1" w:rsidRPr="00193DA2">
        <w:t>, el GORE Biobío, el CDPR</w:t>
      </w:r>
      <w:r w:rsidR="00573DB1" w:rsidRPr="00193DA2" w:rsidDel="00573DB1">
        <w:t xml:space="preserve"> </w:t>
      </w:r>
      <w:r w:rsidRPr="00193DA2">
        <w:t>Biobío, asociaciones gremiales y centros generadores de conocimiento. Esta gobernanza</w:t>
      </w:r>
      <w:r w:rsidR="001A430C" w:rsidRPr="00193DA2">
        <w:t xml:space="preserve"> (Anexo 1)</w:t>
      </w:r>
      <w:r w:rsidRPr="00193DA2">
        <w:t xml:space="preserve"> permitirá coordinar acciones, evitar duplicidades y generar sinergias en torno a una agenda</w:t>
      </w:r>
      <w:r w:rsidRPr="00106415">
        <w:t xml:space="preserve"> común que posicione a la fruticultura del Biobío como un referente nacional en sostenibilidad, digitalización y competitividad territorial.</w:t>
      </w:r>
    </w:p>
    <w:p w14:paraId="14137CE0" w14:textId="62C6E9DA" w:rsidR="00282E55" w:rsidRPr="00282E55" w:rsidRDefault="006845EB" w:rsidP="00193DA2">
      <w:pPr>
        <w:pStyle w:val="Ttulo2"/>
      </w:pPr>
      <w:bookmarkStart w:id="11" w:name="_Toc215418147"/>
      <w:r w:rsidRPr="006845EB">
        <w:t>Brechas priorizadas para trabajar en el programa</w:t>
      </w:r>
      <w:bookmarkEnd w:id="11"/>
    </w:p>
    <w:p w14:paraId="3944CB2F" w14:textId="6FE1A14B" w:rsidR="008C4A99" w:rsidRPr="00FC62D2" w:rsidRDefault="008C4A99" w:rsidP="0060174D">
      <w:pPr>
        <w:jc w:val="both"/>
      </w:pPr>
      <w:r w:rsidRPr="00FC62D2">
        <w:t>A partir del análisis de los diagnósticos FPYME e IFI y de la validación técnica con actores clave, se definieron las brechas estratégicas a abordar durante el primer año de ejecución del PTI.</w:t>
      </w:r>
      <w:r w:rsidR="00FC62D2" w:rsidRPr="00FC62D2">
        <w:t xml:space="preserve"> La Tabla 2 presenta las brechas seleccionadas, junto con </w:t>
      </w:r>
      <w:r w:rsidR="003059B2">
        <w:t>la</w:t>
      </w:r>
      <w:r w:rsidR="00FC62D2" w:rsidRPr="00FC62D2">
        <w:t xml:space="preserve"> justificación y el aporte esperado del PTI para su mitigación.</w:t>
      </w:r>
    </w:p>
    <w:p w14:paraId="277D4E02" w14:textId="3DF5AE4F" w:rsidR="00573DB1" w:rsidRPr="00F331A9" w:rsidRDefault="00A42E7A" w:rsidP="008770FE">
      <w:pPr>
        <w:rPr>
          <w:b/>
          <w:bCs/>
        </w:rPr>
      </w:pPr>
      <w:r w:rsidRPr="00F331A9">
        <w:rPr>
          <w:b/>
          <w:bCs/>
        </w:rPr>
        <w:t xml:space="preserve">Tabla </w:t>
      </w:r>
      <w:r w:rsidR="00DB7374" w:rsidRPr="00F331A9">
        <w:rPr>
          <w:b/>
          <w:bCs/>
        </w:rPr>
        <w:t>2</w:t>
      </w:r>
      <w:r w:rsidRPr="00F331A9">
        <w:rPr>
          <w:b/>
          <w:bCs/>
        </w:rPr>
        <w:t xml:space="preserve"> </w:t>
      </w:r>
      <w:r w:rsidR="00DB7374" w:rsidRPr="00F331A9">
        <w:rPr>
          <w:b/>
          <w:bCs/>
        </w:rPr>
        <w:t xml:space="preserve">: </w:t>
      </w:r>
      <w:r w:rsidR="00F331A9" w:rsidRPr="00F331A9">
        <w:rPr>
          <w:b/>
          <w:bCs/>
        </w:rPr>
        <w:t>Priorización de brechas para el programa</w:t>
      </w:r>
    </w:p>
    <w:tbl>
      <w:tblPr>
        <w:tblStyle w:val="Tablaconcuadrcula"/>
        <w:tblW w:w="8926" w:type="dxa"/>
        <w:tblLook w:val="04A0" w:firstRow="1" w:lastRow="0" w:firstColumn="1" w:lastColumn="0" w:noHBand="0" w:noVBand="1"/>
      </w:tblPr>
      <w:tblGrid>
        <w:gridCol w:w="2122"/>
        <w:gridCol w:w="3543"/>
        <w:gridCol w:w="3261"/>
      </w:tblGrid>
      <w:tr w:rsidR="006845EB" w:rsidRPr="006845EB" w14:paraId="105620CA" w14:textId="77777777" w:rsidTr="00344590">
        <w:trPr>
          <w:trHeight w:val="488"/>
          <w:tblHeader/>
        </w:trPr>
        <w:tc>
          <w:tcPr>
            <w:tcW w:w="2122" w:type="dxa"/>
            <w:vAlign w:val="center"/>
          </w:tcPr>
          <w:p w14:paraId="0E04C104" w14:textId="13CE76E7" w:rsidR="006845EB" w:rsidRPr="006845EB" w:rsidRDefault="006845EB" w:rsidP="00A606C2">
            <w:pPr>
              <w:tabs>
                <w:tab w:val="left" w:pos="1395"/>
              </w:tabs>
              <w:jc w:val="center"/>
              <w:rPr>
                <w:b/>
                <w:bCs/>
                <w:lang w:val="es-MX"/>
              </w:rPr>
            </w:pPr>
            <w:r w:rsidRPr="006845EB">
              <w:rPr>
                <w:b/>
                <w:bCs/>
                <w:lang w:val="es-MX"/>
              </w:rPr>
              <w:t>Brechas seleccionadas</w:t>
            </w:r>
          </w:p>
        </w:tc>
        <w:tc>
          <w:tcPr>
            <w:tcW w:w="3543" w:type="dxa"/>
            <w:vAlign w:val="center"/>
          </w:tcPr>
          <w:p w14:paraId="676D6728" w14:textId="77777777" w:rsidR="006845EB" w:rsidRPr="006845EB" w:rsidRDefault="006845EB" w:rsidP="00A606C2">
            <w:pPr>
              <w:jc w:val="center"/>
              <w:rPr>
                <w:b/>
                <w:bCs/>
                <w:lang w:val="es-MX"/>
              </w:rPr>
            </w:pPr>
            <w:r w:rsidRPr="006845EB">
              <w:rPr>
                <w:b/>
                <w:bCs/>
                <w:lang w:val="es-MX"/>
              </w:rPr>
              <w:t>Justificación de su priorización</w:t>
            </w:r>
          </w:p>
        </w:tc>
        <w:tc>
          <w:tcPr>
            <w:tcW w:w="3261" w:type="dxa"/>
            <w:vAlign w:val="center"/>
          </w:tcPr>
          <w:p w14:paraId="6B1B45EA" w14:textId="133DC049" w:rsidR="006845EB" w:rsidRPr="006845EB" w:rsidRDefault="006845EB" w:rsidP="00A606C2">
            <w:pPr>
              <w:jc w:val="center"/>
              <w:rPr>
                <w:b/>
                <w:bCs/>
                <w:lang w:val="es-MX"/>
              </w:rPr>
            </w:pPr>
            <w:r w:rsidRPr="006845EB">
              <w:rPr>
                <w:b/>
                <w:bCs/>
                <w:lang w:val="es-MX"/>
              </w:rPr>
              <w:t>Aporte del programa para su mitigación</w:t>
            </w:r>
          </w:p>
        </w:tc>
      </w:tr>
      <w:tr w:rsidR="006845EB" w:rsidRPr="00A42E7A" w14:paraId="555651C6" w14:textId="77777777" w:rsidTr="00344590">
        <w:trPr>
          <w:trHeight w:val="488"/>
        </w:trPr>
        <w:tc>
          <w:tcPr>
            <w:tcW w:w="2122" w:type="dxa"/>
          </w:tcPr>
          <w:p w14:paraId="5334A5BF" w14:textId="77777777" w:rsidR="006845EB" w:rsidRPr="006845EB" w:rsidRDefault="006845EB" w:rsidP="00A606C2">
            <w:pPr>
              <w:jc w:val="both"/>
              <w:rPr>
                <w:lang w:val="es-MX"/>
              </w:rPr>
            </w:pPr>
            <w:r w:rsidRPr="006845EB">
              <w:t>Limitada capacidad de gestión</w:t>
            </w:r>
          </w:p>
        </w:tc>
        <w:tc>
          <w:tcPr>
            <w:tcW w:w="3543" w:type="dxa"/>
          </w:tcPr>
          <w:p w14:paraId="0C70F900" w14:textId="7320314E" w:rsidR="00573DB1" w:rsidRDefault="00573DB1" w:rsidP="00A606C2">
            <w:pPr>
              <w:jc w:val="both"/>
            </w:pPr>
            <w:r>
              <w:t>U</w:t>
            </w:r>
            <w:r w:rsidR="006845EB" w:rsidRPr="006845EB">
              <w:t xml:space="preserve">na de las principales debilidades que afectan la competitividad de los productores frutícolas de la Provincia de Biobío. </w:t>
            </w:r>
          </w:p>
          <w:p w14:paraId="0303454A" w14:textId="576D3D37" w:rsidR="00573DB1" w:rsidRDefault="00573DB1" w:rsidP="00A606C2">
            <w:pPr>
              <w:jc w:val="both"/>
            </w:pPr>
            <w:r>
              <w:t xml:space="preserve">Mayormente </w:t>
            </w:r>
            <w:r w:rsidR="006845EB" w:rsidRPr="006845EB">
              <w:t xml:space="preserve">registros manuales o mixtos, con información dispersa y poco sistematizada, lo que genera dificultades en la planificación predial, en el control de costos y en la toma de decisiones estratégicas. </w:t>
            </w:r>
          </w:p>
          <w:p w14:paraId="6E6E22CD" w14:textId="77777777" w:rsidR="006845EB" w:rsidRPr="006845EB" w:rsidRDefault="006845EB" w:rsidP="00A606C2">
            <w:pPr>
              <w:jc w:val="both"/>
            </w:pPr>
            <w:r w:rsidRPr="006845EB">
              <w:t xml:space="preserve">Subsanar esta brecha es clave porque permite a los productores ordenar su negocio agrícola con una visión integral, integrar datos productivos y financieros, y anticipar escenarios de riesgo. Una gestión moderna y digitalizada facilita el control de inventarios, la programación de cosechas, el registro de labores y la evaluación de resultados, lo que se traduce en mayor eficiencia y rentabilidad. Además, mejora la relación con otros eslabones de la cadena de valor (agroindustria, exportadoras y proveedores), al </w:t>
            </w:r>
            <w:r w:rsidRPr="006845EB">
              <w:lastRenderedPageBreak/>
              <w:t>entregar información estandarizada y verificable que incrementa la confianza y la capacidad de negociación.</w:t>
            </w:r>
          </w:p>
        </w:tc>
        <w:tc>
          <w:tcPr>
            <w:tcW w:w="3261" w:type="dxa"/>
          </w:tcPr>
          <w:p w14:paraId="1239FAC7" w14:textId="77777777" w:rsidR="006845EB" w:rsidRPr="006845EB" w:rsidRDefault="006845EB" w:rsidP="00A606C2">
            <w:pPr>
              <w:jc w:val="both"/>
              <w:rPr>
                <w:lang w:val="es-MX"/>
              </w:rPr>
            </w:pPr>
            <w:r w:rsidRPr="006845EB">
              <w:lastRenderedPageBreak/>
              <w:t>El aporte del programa será que los productores fortalezcan sus capacidades de gestión agrícola, avanzando hacia sistemas más ordenados, digitalizados y estratégicos. Al término del programa, los agricultores contarán con registros integrados y confiables, lo que permitirá mejor planificación predial, control de costos, trazabilidad y toma de decisiones informadas.</w:t>
            </w:r>
          </w:p>
        </w:tc>
      </w:tr>
      <w:tr w:rsidR="006845EB" w:rsidRPr="006845EB" w14:paraId="41FA43A2" w14:textId="77777777" w:rsidTr="00344590">
        <w:trPr>
          <w:trHeight w:val="488"/>
        </w:trPr>
        <w:tc>
          <w:tcPr>
            <w:tcW w:w="2122" w:type="dxa"/>
          </w:tcPr>
          <w:p w14:paraId="6B8BFC95" w14:textId="77777777" w:rsidR="006845EB" w:rsidRPr="006845EB" w:rsidRDefault="006845EB" w:rsidP="00A606C2">
            <w:pPr>
              <w:jc w:val="both"/>
              <w:rPr>
                <w:lang w:val="es-MX"/>
              </w:rPr>
            </w:pPr>
            <w:r w:rsidRPr="006845EB">
              <w:t>Déficit de capital humano especializado</w:t>
            </w:r>
          </w:p>
        </w:tc>
        <w:tc>
          <w:tcPr>
            <w:tcW w:w="3543" w:type="dxa"/>
          </w:tcPr>
          <w:p w14:paraId="7465D04B" w14:textId="77777777" w:rsidR="006845EB" w:rsidRPr="006845EB" w:rsidRDefault="006845EB" w:rsidP="00A606C2">
            <w:pPr>
              <w:jc w:val="both"/>
            </w:pPr>
            <w:r w:rsidRPr="006845EB">
              <w:t>La brecha de déficit de capital humano especializado se prioriza porque constituye uno de los factores críticos que limita la capacidad de los productores frutícolas para incorporar innovación y mantener procesos de gestión digital en el tiempo. Hoy, gran parte de las tareas relacionadas con registros, uso de software, análisis de datos y adopción tecnológica recaen en los mismos productores o en trabajadores multifuncionales, sin formación técnica ni profesional específica. Esta situación genera sobrecarga de labores, baja eficiencia y desconfianza hacia la digitalización, lo que ralentiza la modernización del sector.</w:t>
            </w:r>
          </w:p>
          <w:p w14:paraId="00F4CA4E" w14:textId="77777777" w:rsidR="006845EB" w:rsidRPr="006845EB" w:rsidRDefault="006845EB" w:rsidP="00A606C2">
            <w:pPr>
              <w:jc w:val="both"/>
            </w:pPr>
            <w:r w:rsidRPr="006845EB">
              <w:t>Subsanar esta brecha es fundamental porque contar con capital humano capacitado permite profesionalizar la gestión agrícola, asegurar el uso efectivo de tecnologías habilitantes y mantener prácticas sostenibles a largo plazo. Además, trabajadores con competencias técnicas y digitales fortalecen la resiliencia del sector frente a desafíos como el aumento de costos, la competencia internacional y la exigencia de mercados que demandan trazabilidad y certificaciones de calidad.</w:t>
            </w:r>
          </w:p>
        </w:tc>
        <w:tc>
          <w:tcPr>
            <w:tcW w:w="3261" w:type="dxa"/>
          </w:tcPr>
          <w:p w14:paraId="4A01CBF5" w14:textId="77777777" w:rsidR="006845EB" w:rsidRPr="006845EB" w:rsidRDefault="006845EB" w:rsidP="00A606C2">
            <w:pPr>
              <w:jc w:val="both"/>
            </w:pPr>
            <w:r w:rsidRPr="006845EB">
              <w:t>El aporte del PTI será que los productores cuenten con capital humano especializado en competencias técnicas y digitales, capaz de utilizar herramientas de planificación, gestión y análisis de datos de manera efectiva. Al término del programa, las empresas dispondrán de equipos preparados para sostener procesos de digitalización y adopción tecnológica.</w:t>
            </w:r>
          </w:p>
        </w:tc>
      </w:tr>
      <w:tr w:rsidR="006845EB" w:rsidRPr="006845EB" w14:paraId="1B0233EC" w14:textId="77777777" w:rsidTr="00344590">
        <w:trPr>
          <w:trHeight w:val="488"/>
        </w:trPr>
        <w:tc>
          <w:tcPr>
            <w:tcW w:w="2122" w:type="dxa"/>
          </w:tcPr>
          <w:p w14:paraId="390163AF" w14:textId="77777777" w:rsidR="006845EB" w:rsidRPr="006845EB" w:rsidRDefault="006845EB" w:rsidP="00A606C2">
            <w:pPr>
              <w:jc w:val="both"/>
              <w:rPr>
                <w:lang w:val="es-MX"/>
              </w:rPr>
            </w:pPr>
            <w:r w:rsidRPr="006845EB">
              <w:rPr>
                <w:rFonts w:cstheme="minorHAnsi"/>
              </w:rPr>
              <w:t>Baja utilización y adopción tecnológica</w:t>
            </w:r>
          </w:p>
        </w:tc>
        <w:tc>
          <w:tcPr>
            <w:tcW w:w="3543" w:type="dxa"/>
          </w:tcPr>
          <w:p w14:paraId="055A1582" w14:textId="77777777" w:rsidR="006845EB" w:rsidRPr="006845EB" w:rsidRDefault="006845EB" w:rsidP="00A606C2">
            <w:pPr>
              <w:jc w:val="both"/>
              <w:rPr>
                <w:lang w:val="es-MX"/>
              </w:rPr>
            </w:pPr>
            <w:r w:rsidRPr="006845EB">
              <w:t xml:space="preserve">La brecha de baja utilización y adopción tecnológica en la fruticultura de la Provincia de Biobío se prioriza porque afecta de manera directa la rentabilidad, productividad y competitividad de los productores. El sector enfrenta altos costos de producción, con incrementos sostenidos en fertilizantes (60–70%), </w:t>
            </w:r>
            <w:r w:rsidRPr="006845EB">
              <w:lastRenderedPageBreak/>
              <w:t>mano de obra (15% en la última década), agroquímicos y energía, lo que ha reducido drásticamente los márgenes de ganancia y los vuelve más vulnerables frente a la competencia internacional. Este escenario obliga a ser más eficientes y a producir fruta de mayor calidad y homogeneidad para responder a los estándares de mercados globales altamente exigentes. En este contexto, la tecnología se convierte en un motor de cambio ineludible, ya que permite optimizar el uso de insumos, mejorar los procesos productivos y asegurar fruta de calidad premium, con trazabilidad certificada, atributos cada vez más demandados y mejor valorados en los mercados internacionales.</w:t>
            </w:r>
          </w:p>
        </w:tc>
        <w:tc>
          <w:tcPr>
            <w:tcW w:w="3261" w:type="dxa"/>
          </w:tcPr>
          <w:p w14:paraId="6BF7C309" w14:textId="77777777" w:rsidR="006845EB" w:rsidRPr="006845EB" w:rsidRDefault="006845EB" w:rsidP="00A606C2">
            <w:pPr>
              <w:jc w:val="both"/>
              <w:rPr>
                <w:lang w:val="es-MX"/>
              </w:rPr>
            </w:pPr>
            <w:r w:rsidRPr="006845EB">
              <w:lastRenderedPageBreak/>
              <w:t xml:space="preserve">El aporte del PTI será que los productores conozcan las tecnologías disponibles para el sector, comprendan cómo incorporarlas en sus procesos productivos y valoren los beneficios que conllevan en términos de eficiencia, reducción de costos y calidad de la fruta. Al </w:t>
            </w:r>
            <w:r w:rsidRPr="006845EB">
              <w:lastRenderedPageBreak/>
              <w:t>término del programa, los agricultores estarán en condiciones de utilizar estas herramientas de manera efectiva, logrando mayor competitividad, capacidad de adaptación a mercados exigentes y sostenibilidad en el tiempo.</w:t>
            </w:r>
          </w:p>
        </w:tc>
      </w:tr>
      <w:tr w:rsidR="006845EB" w:rsidRPr="006845EB" w14:paraId="2E3A9C7A" w14:textId="77777777" w:rsidTr="00344590">
        <w:trPr>
          <w:trHeight w:val="488"/>
        </w:trPr>
        <w:tc>
          <w:tcPr>
            <w:tcW w:w="2122" w:type="dxa"/>
          </w:tcPr>
          <w:p w14:paraId="3E8E9DC1" w14:textId="77777777" w:rsidR="006845EB" w:rsidRPr="006845EB" w:rsidRDefault="006845EB" w:rsidP="00A606C2">
            <w:pPr>
              <w:jc w:val="both"/>
              <w:rPr>
                <w:lang w:val="es-MX"/>
              </w:rPr>
            </w:pPr>
            <w:r w:rsidRPr="006845EB">
              <w:rPr>
                <w:rFonts w:cstheme="minorHAnsi"/>
                <w:lang w:val="es"/>
              </w:rPr>
              <w:lastRenderedPageBreak/>
              <w:t>Falta de asociatividad y trabajo colaborativo entre los actores del sector frutícola</w:t>
            </w:r>
          </w:p>
        </w:tc>
        <w:tc>
          <w:tcPr>
            <w:tcW w:w="3543" w:type="dxa"/>
          </w:tcPr>
          <w:p w14:paraId="0046D7B9" w14:textId="77777777" w:rsidR="006845EB" w:rsidRPr="006845EB" w:rsidRDefault="006845EB" w:rsidP="00A606C2">
            <w:pPr>
              <w:jc w:val="both"/>
            </w:pPr>
            <w:r w:rsidRPr="006845EB">
              <w:rPr>
                <w:lang w:val="es-MX"/>
              </w:rPr>
              <w:t>S</w:t>
            </w:r>
            <w:r w:rsidRPr="006845EB">
              <w:t>i bien existen diversas iniciativas y proyectos en ejecución, impulsados por organismos públicos, privados y académicos, no existe una estructura territorial que articule y ordene los esfuerzos, evitando la dispersión de recursos y la duplicidad de acciones. Actualmente, los productores participan de instancias aisladas de apoyo, capacitaciones o proyectos piloto, pero estos carecen de continuidad y de una gobernanza sólida que permita integrar a todos los actores en torno a una visión común para el desarrollo frutícola.</w:t>
            </w:r>
          </w:p>
          <w:p w14:paraId="38CE892F" w14:textId="77777777" w:rsidR="006845EB" w:rsidRPr="006845EB" w:rsidRDefault="006845EB" w:rsidP="00A606C2">
            <w:pPr>
              <w:jc w:val="both"/>
            </w:pPr>
            <w:r w:rsidRPr="006845EB">
              <w:t xml:space="preserve">La ausencia de una red articulada limita la generación de sinergias, el intercambio de información y la capacidad de enfrentar desafíos colectivos como la reducción de costos logísticos, la incorporación de nuevas tecnologías y el acceso a mercados más competitivos. La priorización de esta brecha responde entonces a la necesidad de construir una gobernanza territorial estable, </w:t>
            </w:r>
            <w:r w:rsidRPr="006845EB">
              <w:lastRenderedPageBreak/>
              <w:t>participativa y estratégica, que potencie el trabajo colaborativo entre productores, gremios, empresas privadas, instituciones públicas y centros de investigación, fortaleciendo la competitividad del sector en toda la cadena de valor.</w:t>
            </w:r>
          </w:p>
        </w:tc>
        <w:tc>
          <w:tcPr>
            <w:tcW w:w="3261" w:type="dxa"/>
          </w:tcPr>
          <w:p w14:paraId="667193A9" w14:textId="77777777" w:rsidR="006845EB" w:rsidRPr="006845EB" w:rsidRDefault="006845EB" w:rsidP="00A606C2">
            <w:pPr>
              <w:jc w:val="both"/>
              <w:rPr>
                <w:lang w:val="es-MX"/>
              </w:rPr>
            </w:pPr>
            <w:r w:rsidRPr="006845EB">
              <w:lastRenderedPageBreak/>
              <w:t>El aporte será la creación de una gobernanza territorial robusta y participativa, que actúe como marco articulador de las distintas iniciativas existentes y futuras. Al término del programa, se espera contar con una estructura estable de coordinación entre productores, gremios, proveedores tecnológicos, instituciones públicas y centros generadores de conocimiento, que permita ordenar y priorizar esfuerzos, evitar duplicidades y generar sinergias en torno a objetivos comunes.</w:t>
            </w:r>
          </w:p>
        </w:tc>
      </w:tr>
    </w:tbl>
    <w:p w14:paraId="02930CA6" w14:textId="77777777" w:rsidR="00FD43FB" w:rsidRDefault="00FD43FB" w:rsidP="007C352B">
      <w:pPr>
        <w:jc w:val="both"/>
      </w:pPr>
    </w:p>
    <w:p w14:paraId="131C3B81" w14:textId="30769997" w:rsidR="00282E55" w:rsidRPr="00282E55" w:rsidRDefault="006845EB" w:rsidP="00193DA2">
      <w:pPr>
        <w:pStyle w:val="Ttulo2"/>
        <w:rPr>
          <w:lang w:val="es-MX"/>
        </w:rPr>
      </w:pPr>
      <w:bookmarkStart w:id="12" w:name="_Toc215418148"/>
      <w:r w:rsidRPr="00F27DDE">
        <w:rPr>
          <w:lang w:val="es-MX"/>
        </w:rPr>
        <w:t>Cambios en la cadena de valor proyectada a partir de la acción del PTI:</w:t>
      </w:r>
      <w:bookmarkEnd w:id="12"/>
    </w:p>
    <w:p w14:paraId="046A3C17" w14:textId="51DD65F1" w:rsidR="00672B3D" w:rsidRPr="00282E55" w:rsidRDefault="00282E55" w:rsidP="00506543">
      <w:pPr>
        <w:jc w:val="both"/>
        <w:rPr>
          <w:iCs/>
        </w:rPr>
      </w:pPr>
      <w:r w:rsidRPr="00282E55">
        <w:rPr>
          <w:iCs/>
        </w:rPr>
        <w:t xml:space="preserve">La cadena de valor del sector frutícola constituye el marco analítico para comprender la estructura productiva y comercial del rubro en la Provincia de Biobío. La </w:t>
      </w:r>
      <w:r w:rsidR="00A71F0E">
        <w:rPr>
          <w:iCs/>
        </w:rPr>
        <w:t>Figura</w:t>
      </w:r>
      <w:r w:rsidRPr="00282E55">
        <w:rPr>
          <w:iCs/>
        </w:rPr>
        <w:t xml:space="preserve"> 2 sintetiza esta cadena e introduce los eslabones que la componen, los cuales se describen a continuación para contextualizar las principales brechas diagnosticadas. Sobre esta base, se presentan los cambios proyectados en la cadena de valor </w:t>
      </w:r>
      <w:r w:rsidR="00A71F0E">
        <w:rPr>
          <w:iCs/>
        </w:rPr>
        <w:t>derivados</w:t>
      </w:r>
      <w:r w:rsidRPr="00282E55">
        <w:rPr>
          <w:iCs/>
        </w:rPr>
        <w:t xml:space="preserve"> de la intervención del PTI </w:t>
      </w:r>
      <w:proofErr w:type="spellStart"/>
      <w:r w:rsidRPr="00282E55">
        <w:rPr>
          <w:iCs/>
        </w:rPr>
        <w:t>Tecnofruta</w:t>
      </w:r>
      <w:proofErr w:type="spellEnd"/>
      <w:r w:rsidRPr="00282E55">
        <w:rPr>
          <w:iCs/>
        </w:rPr>
        <w:t xml:space="preserve"> Biobío.</w:t>
      </w:r>
    </w:p>
    <w:p w14:paraId="5E14D3C5" w14:textId="359CA11F" w:rsidR="00672B3D" w:rsidRPr="00F331A9" w:rsidRDefault="00A71F0E" w:rsidP="00672B3D">
      <w:pPr>
        <w:jc w:val="both"/>
        <w:rPr>
          <w:b/>
          <w:bCs/>
          <w:iCs/>
        </w:rPr>
      </w:pPr>
      <w:r>
        <w:rPr>
          <w:b/>
          <w:bCs/>
          <w:iCs/>
        </w:rPr>
        <w:t xml:space="preserve">Figura </w:t>
      </w:r>
      <w:r w:rsidR="00672B3D" w:rsidRPr="00F331A9">
        <w:rPr>
          <w:b/>
          <w:bCs/>
          <w:iCs/>
        </w:rPr>
        <w:t>2: Cadena de valor del sector frutícola.</w:t>
      </w:r>
    </w:p>
    <w:p w14:paraId="600D2187" w14:textId="77777777" w:rsidR="00672B3D" w:rsidRDefault="00672B3D" w:rsidP="00672B3D">
      <w:pPr>
        <w:jc w:val="center"/>
        <w:rPr>
          <w:iCs/>
        </w:rPr>
      </w:pPr>
      <w:r w:rsidRPr="001E4CE4">
        <w:rPr>
          <w:noProof/>
          <w:sz w:val="20"/>
          <w:szCs w:val="20"/>
          <w:lang w:val="es-MX"/>
        </w:rPr>
        <w:drawing>
          <wp:inline distT="0" distB="0" distL="0" distR="0" wp14:anchorId="1CF318F4" wp14:editId="68FDCD0D">
            <wp:extent cx="5572125" cy="1710475"/>
            <wp:effectExtent l="0" t="0" r="0" b="4445"/>
            <wp:docPr id="4" name="Imagen 4" descr="Escala de tiemp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Escala de tiempo&#10;&#10;El contenido generado por IA puede ser incorrecto."/>
                    <pic:cNvPicPr/>
                  </pic:nvPicPr>
                  <pic:blipFill>
                    <a:blip r:embed="rId14"/>
                    <a:stretch>
                      <a:fillRect/>
                    </a:stretch>
                  </pic:blipFill>
                  <pic:spPr>
                    <a:xfrm>
                      <a:off x="0" y="0"/>
                      <a:ext cx="5573494" cy="1710895"/>
                    </a:xfrm>
                    <a:prstGeom prst="rect">
                      <a:avLst/>
                    </a:prstGeom>
                  </pic:spPr>
                </pic:pic>
              </a:graphicData>
            </a:graphic>
          </wp:inline>
        </w:drawing>
      </w:r>
    </w:p>
    <w:p w14:paraId="7F9C25C8" w14:textId="46C72978" w:rsidR="00672B3D" w:rsidRDefault="00672B3D" w:rsidP="00506543">
      <w:pPr>
        <w:jc w:val="both"/>
        <w:rPr>
          <w:i/>
        </w:rPr>
      </w:pPr>
      <w:r w:rsidRPr="00F27DDE">
        <w:rPr>
          <w:i/>
        </w:rPr>
        <w:t>Fuente: Elaboración propia.</w:t>
      </w:r>
    </w:p>
    <w:p w14:paraId="0FB20D33" w14:textId="0459948E" w:rsidR="00A71F0E" w:rsidRPr="003D54C9" w:rsidRDefault="00A71F0E" w:rsidP="00506543">
      <w:pPr>
        <w:jc w:val="both"/>
        <w:rPr>
          <w:iCs/>
        </w:rPr>
      </w:pPr>
      <w:r>
        <w:rPr>
          <w:iCs/>
        </w:rPr>
        <w:t>La descripción de los diferentes es como sigue:</w:t>
      </w:r>
    </w:p>
    <w:p w14:paraId="004A7D89" w14:textId="54DE028B" w:rsidR="00672B3D" w:rsidRPr="00F27DDE" w:rsidRDefault="00672B3D" w:rsidP="00672B3D">
      <w:pPr>
        <w:numPr>
          <w:ilvl w:val="0"/>
          <w:numId w:val="17"/>
        </w:numPr>
        <w:jc w:val="both"/>
        <w:rPr>
          <w:iCs/>
          <w:lang w:val="es-MX"/>
        </w:rPr>
      </w:pPr>
      <w:r w:rsidRPr="00F27DDE">
        <w:rPr>
          <w:b/>
          <w:bCs/>
          <w:iCs/>
          <w:lang w:val="es-MX"/>
        </w:rPr>
        <w:t>Provisión de insumos</w:t>
      </w:r>
      <w:r w:rsidRPr="00F27DDE">
        <w:rPr>
          <w:iCs/>
          <w:lang w:val="es-MX"/>
        </w:rPr>
        <w:t xml:space="preserve">: </w:t>
      </w:r>
      <w:r>
        <w:rPr>
          <w:iCs/>
        </w:rPr>
        <w:t>A</w:t>
      </w:r>
      <w:r w:rsidRPr="00F27DDE">
        <w:rPr>
          <w:iCs/>
        </w:rPr>
        <w:t>dquisición de todos los elementos necesarios para establecer un huerto frutal competitivo. Incluye la compra de plantas frutales certificadas, fertilizantes, agroquímicos, sustratos, mallas, tutores y otros materiales necesarios para la instalación del huerto. Asimismo, se consideran actividades como el análisis y corrección del suelo y la instalación de infraestructura básica.</w:t>
      </w:r>
    </w:p>
    <w:p w14:paraId="44BE9D5A" w14:textId="004C41E4" w:rsidR="00672B3D" w:rsidRPr="00F27DDE" w:rsidRDefault="00672B3D" w:rsidP="00672B3D">
      <w:pPr>
        <w:numPr>
          <w:ilvl w:val="0"/>
          <w:numId w:val="17"/>
        </w:numPr>
        <w:jc w:val="both"/>
        <w:rPr>
          <w:iCs/>
          <w:lang w:val="es-MX"/>
        </w:rPr>
      </w:pPr>
      <w:r w:rsidRPr="00F27DDE">
        <w:rPr>
          <w:b/>
          <w:bCs/>
          <w:iCs/>
          <w:lang w:val="es-MX"/>
        </w:rPr>
        <w:t>Producción</w:t>
      </w:r>
      <w:r w:rsidRPr="00F27DDE">
        <w:rPr>
          <w:iCs/>
          <w:lang w:val="es-MX"/>
        </w:rPr>
        <w:t xml:space="preserve">: </w:t>
      </w:r>
      <w:r>
        <w:rPr>
          <w:iCs/>
        </w:rPr>
        <w:t>D</w:t>
      </w:r>
      <w:r w:rsidRPr="00F27DDE">
        <w:rPr>
          <w:iCs/>
        </w:rPr>
        <w:t xml:space="preserve">esarrollo y manejo técnico del huerto frutal. Las actividades clave incluyen la preparación del terreno, la plantación de los frutales, el manejo de riego, la fertilización, el control fitosanitario, y la incorporación de herramientas de agricultura de precisión como sensores, estaciones meteorológicas, imágenes satelitales o drones para monitorear el estado del cultivo. Esta fase requiere decisiones agronómicas permanentes que </w:t>
      </w:r>
      <w:r w:rsidR="00A71F0E" w:rsidRPr="00F27DDE">
        <w:rPr>
          <w:iCs/>
        </w:rPr>
        <w:t>i</w:t>
      </w:r>
      <w:r w:rsidR="00A71F0E">
        <w:rPr>
          <w:iCs/>
        </w:rPr>
        <w:t>ncide</w:t>
      </w:r>
      <w:r w:rsidR="00A71F0E" w:rsidRPr="00F27DDE">
        <w:rPr>
          <w:iCs/>
        </w:rPr>
        <w:t xml:space="preserve">n </w:t>
      </w:r>
      <w:r w:rsidRPr="00F27DDE">
        <w:rPr>
          <w:iCs/>
        </w:rPr>
        <w:t>directamente en los rendimientos y la calidad final de la fruta.</w:t>
      </w:r>
    </w:p>
    <w:p w14:paraId="5FA76275" w14:textId="77777777" w:rsidR="00672B3D" w:rsidRPr="00F27DDE" w:rsidRDefault="00672B3D" w:rsidP="00672B3D">
      <w:pPr>
        <w:numPr>
          <w:ilvl w:val="0"/>
          <w:numId w:val="17"/>
        </w:numPr>
        <w:jc w:val="both"/>
        <w:rPr>
          <w:iCs/>
          <w:lang w:val="es-MX"/>
        </w:rPr>
      </w:pPr>
      <w:r w:rsidRPr="00F27DDE">
        <w:rPr>
          <w:b/>
          <w:bCs/>
          <w:iCs/>
          <w:lang w:val="es-MX"/>
        </w:rPr>
        <w:lastRenderedPageBreak/>
        <w:t>Cosecha y Post Cosecha</w:t>
      </w:r>
      <w:r w:rsidRPr="00F27DDE">
        <w:rPr>
          <w:iCs/>
          <w:lang w:val="es-MX"/>
        </w:rPr>
        <w:t xml:space="preserve">: </w:t>
      </w:r>
      <w:r w:rsidRPr="00F27DDE">
        <w:rPr>
          <w:iCs/>
        </w:rPr>
        <w:t>Esta etapa es crítica para preservar el valor comercial y la vida útil de la fruta. Inicia con la cosecha manual, realizada en el punto óptimo de madurez según parámetros como firmeza, color y grados Brix, para luego pasar a procesos de selección y clasificación que ordenan la fruta por calibre y condiciones visuales. Posteriormente, se realiza el secado, el preenfriamiento, el almacenamiento en cámaras frigoríficas y el empaque de acuerdo con los requerimientos del mercado de destino. También se gestionan certificaciones fitosanitarias, de calidad e inocuidad alimentaria, exigidas tanto por el mercado nacional como por los destinos internacionales.</w:t>
      </w:r>
    </w:p>
    <w:p w14:paraId="337905C9" w14:textId="7445EFA8" w:rsidR="00672B3D" w:rsidRPr="00F27DDE" w:rsidRDefault="00672B3D" w:rsidP="00672B3D">
      <w:pPr>
        <w:numPr>
          <w:ilvl w:val="0"/>
          <w:numId w:val="17"/>
        </w:numPr>
        <w:jc w:val="both"/>
        <w:rPr>
          <w:iCs/>
          <w:lang w:val="es-MX"/>
        </w:rPr>
      </w:pPr>
      <w:r w:rsidRPr="00F27DDE">
        <w:rPr>
          <w:b/>
          <w:bCs/>
          <w:iCs/>
          <w:lang w:val="es-MX"/>
        </w:rPr>
        <w:t>Distribución y Comercialización:</w:t>
      </w:r>
      <w:r w:rsidRPr="00F27DDE">
        <w:rPr>
          <w:iCs/>
          <w:lang w:val="es-MX"/>
        </w:rPr>
        <w:t xml:space="preserve"> </w:t>
      </w:r>
      <w:r w:rsidRPr="00F27DDE">
        <w:rPr>
          <w:iCs/>
        </w:rPr>
        <w:t xml:space="preserve">La fruta, una vez acondicionada, debe </w:t>
      </w:r>
      <w:r w:rsidR="00A71F0E">
        <w:rPr>
          <w:iCs/>
        </w:rPr>
        <w:t>transportarse</w:t>
      </w:r>
      <w:r w:rsidRPr="00F27DDE">
        <w:rPr>
          <w:iCs/>
        </w:rPr>
        <w:t xml:space="preserve"> en condiciones óptimas hasta su punto de venta o</w:t>
      </w:r>
      <w:r w:rsidR="00A71F0E">
        <w:rPr>
          <w:iCs/>
        </w:rPr>
        <w:t xml:space="preserve"> de</w:t>
      </w:r>
      <w:r w:rsidRPr="00F27DDE">
        <w:rPr>
          <w:iCs/>
        </w:rPr>
        <w:t xml:space="preserve"> exportación. Esta etapa incluye la logística de transporte refrigerado, la gestión de </w:t>
      </w:r>
      <w:r w:rsidR="00A71F0E">
        <w:rPr>
          <w:iCs/>
        </w:rPr>
        <w:t xml:space="preserve">la </w:t>
      </w:r>
      <w:r w:rsidRPr="00F27DDE">
        <w:rPr>
          <w:iCs/>
        </w:rPr>
        <w:t xml:space="preserve">trazabilidad, el cumplimiento de normativas y certificaciones, así como la venta a mercados mayoristas, supermercados, ferias o a intermediarios exportadores. La comercialización puede orientarse tanto al mercado interno como a la exportación, </w:t>
      </w:r>
      <w:r w:rsidR="00A71F0E">
        <w:rPr>
          <w:iCs/>
        </w:rPr>
        <w:t>según</w:t>
      </w:r>
      <w:r w:rsidRPr="00F27DDE">
        <w:rPr>
          <w:iCs/>
        </w:rPr>
        <w:t xml:space="preserve"> la calidad, </w:t>
      </w:r>
      <w:r w:rsidR="00A71F0E">
        <w:rPr>
          <w:iCs/>
        </w:rPr>
        <w:t xml:space="preserve">la </w:t>
      </w:r>
      <w:r w:rsidRPr="00F27DDE">
        <w:rPr>
          <w:iCs/>
        </w:rPr>
        <w:t>variedad y</w:t>
      </w:r>
      <w:r w:rsidR="00A71F0E">
        <w:rPr>
          <w:iCs/>
        </w:rPr>
        <w:t xml:space="preserve"> la</w:t>
      </w:r>
      <w:r w:rsidRPr="00F27DDE">
        <w:rPr>
          <w:iCs/>
        </w:rPr>
        <w:t xml:space="preserve"> estacionalidad del producto.</w:t>
      </w:r>
    </w:p>
    <w:p w14:paraId="6B539365" w14:textId="6641427C" w:rsidR="00672B3D" w:rsidRPr="00A71F0E" w:rsidRDefault="00672B3D" w:rsidP="003D54C9">
      <w:pPr>
        <w:numPr>
          <w:ilvl w:val="0"/>
          <w:numId w:val="17"/>
        </w:numPr>
        <w:jc w:val="both"/>
        <w:rPr>
          <w:iCs/>
          <w:lang w:val="es-MX"/>
        </w:rPr>
      </w:pPr>
      <w:r w:rsidRPr="00F27DDE">
        <w:rPr>
          <w:b/>
          <w:bCs/>
          <w:iCs/>
          <w:lang w:val="es-MX"/>
        </w:rPr>
        <w:t>Consumidor final:</w:t>
      </w:r>
      <w:r w:rsidRPr="00F27DDE">
        <w:rPr>
          <w:iCs/>
          <w:lang w:val="es-MX"/>
        </w:rPr>
        <w:t xml:space="preserve"> </w:t>
      </w:r>
      <w:r w:rsidRPr="00F27DDE">
        <w:rPr>
          <w:iCs/>
        </w:rPr>
        <w:t xml:space="preserve">La última etapa corresponde al destino final de la fruta, que puede ser consumida fresca o procesada, en el mercado local o internacional. </w:t>
      </w:r>
    </w:p>
    <w:p w14:paraId="579ABCCD" w14:textId="0B3B2660" w:rsidR="006845EB" w:rsidRPr="00F27DDE" w:rsidRDefault="006845EB" w:rsidP="00506543">
      <w:pPr>
        <w:jc w:val="both"/>
        <w:rPr>
          <w:iCs/>
        </w:rPr>
      </w:pPr>
      <w:r w:rsidRPr="00F27DDE">
        <w:rPr>
          <w:iCs/>
          <w:lang w:val="es-MX"/>
        </w:rPr>
        <w:t>En el primer año de</w:t>
      </w:r>
      <w:r w:rsidR="00A42E7A">
        <w:rPr>
          <w:iCs/>
          <w:lang w:val="es-MX"/>
        </w:rPr>
        <w:t>l</w:t>
      </w:r>
      <w:r w:rsidRPr="00F27DDE">
        <w:rPr>
          <w:iCs/>
          <w:lang w:val="es-MX"/>
        </w:rPr>
        <w:t xml:space="preserve"> programa, se propone intervenir</w:t>
      </w:r>
      <w:r w:rsidR="00A42E7A">
        <w:rPr>
          <w:iCs/>
          <w:lang w:val="es-MX"/>
        </w:rPr>
        <w:t xml:space="preserve"> en</w:t>
      </w:r>
      <w:r w:rsidRPr="00F27DDE">
        <w:rPr>
          <w:iCs/>
          <w:lang w:val="es-MX"/>
        </w:rPr>
        <w:t xml:space="preserve"> el </w:t>
      </w:r>
      <w:r w:rsidRPr="00F27DDE">
        <w:rPr>
          <w:b/>
          <w:bCs/>
          <w:iCs/>
          <w:lang w:val="es-MX"/>
        </w:rPr>
        <w:t>eslabón de producción del sector frutícola de la Provincia de Biobío</w:t>
      </w:r>
      <w:r w:rsidRPr="00F27DDE">
        <w:rPr>
          <w:iCs/>
          <w:lang w:val="es-MX"/>
        </w:rPr>
        <w:t xml:space="preserve">, ya que esta fase </w:t>
      </w:r>
      <w:r w:rsidRPr="00F27DDE">
        <w:rPr>
          <w:iCs/>
        </w:rPr>
        <w:t xml:space="preserve">concentra las principales brechas estructurales que limitan la productividad, </w:t>
      </w:r>
      <w:r w:rsidR="00A71F0E">
        <w:rPr>
          <w:iCs/>
        </w:rPr>
        <w:t xml:space="preserve">la </w:t>
      </w:r>
      <w:r w:rsidRPr="00F27DDE">
        <w:rPr>
          <w:iCs/>
        </w:rPr>
        <w:t>sostenibilidad y</w:t>
      </w:r>
      <w:r w:rsidR="00A71F0E">
        <w:rPr>
          <w:iCs/>
        </w:rPr>
        <w:t xml:space="preserve"> la</w:t>
      </w:r>
      <w:r w:rsidRPr="00F27DDE">
        <w:rPr>
          <w:iCs/>
        </w:rPr>
        <w:t xml:space="preserve"> capacidad de es</w:t>
      </w:r>
      <w:r w:rsidRPr="00583914">
        <w:rPr>
          <w:iCs/>
        </w:rPr>
        <w:t xml:space="preserve">calamiento. </w:t>
      </w:r>
      <w:r w:rsidR="00583914" w:rsidRPr="00583914">
        <w:rPr>
          <w:iCs/>
        </w:rPr>
        <w:t xml:space="preserve">Para operacionalizar este enfoque, el programa cuenta con un Plan de Trabajo del Primer Año, incluido en el Anexo </w:t>
      </w:r>
      <w:r w:rsidR="00565F7E">
        <w:rPr>
          <w:iCs/>
        </w:rPr>
        <w:t>3</w:t>
      </w:r>
      <w:r w:rsidR="00583914" w:rsidRPr="00583914">
        <w:rPr>
          <w:iCs/>
        </w:rPr>
        <w:t>, que organiza las actividades según objetivos específicos, identifica los actores involucrados y define los resultados intermedios esperados. Este plan permite asegurar una implementación consistente con las brechas diagnosticadas y establece los mecanismos de coordinación técnica que guiarán la intervención inicial del PTI.</w:t>
      </w:r>
    </w:p>
    <w:p w14:paraId="3EBC6860" w14:textId="5F99DE59" w:rsidR="006845EB" w:rsidRPr="00F27DDE" w:rsidRDefault="006845EB" w:rsidP="00506543">
      <w:pPr>
        <w:jc w:val="both"/>
        <w:rPr>
          <w:iCs/>
        </w:rPr>
      </w:pPr>
      <w:r w:rsidRPr="00F27DDE">
        <w:rPr>
          <w:iCs/>
        </w:rPr>
        <w:t>A partir del segundo año de ejecución, el</w:t>
      </w:r>
      <w:r w:rsidRPr="00F27DDE">
        <w:rPr>
          <w:b/>
          <w:bCs/>
          <w:iCs/>
        </w:rPr>
        <w:t xml:space="preserve"> PTI ampliará su intervención hacia el eslabón de cosecha y postcosecha</w:t>
      </w:r>
      <w:r w:rsidRPr="00F27DDE">
        <w:rPr>
          <w:iCs/>
        </w:rPr>
        <w:t xml:space="preserve">, una vez que se hayan comenzado a superar las principales brechas del eslabón de producción. Esta progresión es fundamental, ya que la eficiencia y </w:t>
      </w:r>
      <w:r w:rsidR="00A42E7A">
        <w:rPr>
          <w:iCs/>
        </w:rPr>
        <w:t xml:space="preserve">la </w:t>
      </w:r>
      <w:r w:rsidRPr="00F27DDE">
        <w:rPr>
          <w:iCs/>
        </w:rPr>
        <w:t>calidad alcanzadas en la cosecha dependen directamente del manejo técnico y</w:t>
      </w:r>
      <w:r w:rsidR="00A42E7A">
        <w:rPr>
          <w:iCs/>
        </w:rPr>
        <w:t xml:space="preserve"> de</w:t>
      </w:r>
      <w:r w:rsidRPr="00F27DDE">
        <w:rPr>
          <w:iCs/>
        </w:rPr>
        <w:t xml:space="preserve"> la productividad lograda en el huerto. Por ello, el enfoque gradual del programa permitirá primero fortalecer las bases productivas, mediante la adopción de tecnologías, la mejora en la gestión del riego y la planificación predial, para luego abordar los desafíos vinculados a la preservación del valor comercial de la fruta, incorporando soluciones en cosecha, enfriamiento, selección, empaque y certificaciones de inocuidad.</w:t>
      </w:r>
    </w:p>
    <w:p w14:paraId="5CFD0A2F" w14:textId="67AE8A72" w:rsidR="006845EB" w:rsidRPr="00F27DDE" w:rsidRDefault="006845EB" w:rsidP="00506543">
      <w:pPr>
        <w:jc w:val="both"/>
        <w:rPr>
          <w:iCs/>
        </w:rPr>
      </w:pPr>
      <w:r w:rsidRPr="00F27DDE">
        <w:rPr>
          <w:iCs/>
        </w:rPr>
        <w:t xml:space="preserve">Se espera que, al finalizar los tres años de ejecución del PTI </w:t>
      </w:r>
      <w:proofErr w:type="spellStart"/>
      <w:r w:rsidRPr="00F27DDE">
        <w:rPr>
          <w:iCs/>
        </w:rPr>
        <w:t>Tecnofruta</w:t>
      </w:r>
      <w:proofErr w:type="spellEnd"/>
      <w:r w:rsidRPr="00F27DDE">
        <w:rPr>
          <w:iCs/>
        </w:rPr>
        <w:t xml:space="preserve"> Biobío, las empresas frutícolas de la Provincia de Biobío presenten una mejora significativa en la eficiencia de sus procesos productivos, reflejada en un uso más racional del agua y fertilizantes. Los predios contarán con registros digitales sistematizados que permitan una mejor planificación y toma de decisiones, lo que se traducirá en una mayor productividad por hectárea y una reducción de pérdidas por manejo ineficiente. De hecho, según IFI (2025), el 89% de los productores ya ha comenzado a implementar medidas de mitigación frente a estas amenazas, siendo las más relevantes la aplicación de tecnología (50%) y el manejo de</w:t>
      </w:r>
      <w:r w:rsidR="00A42E7A">
        <w:rPr>
          <w:iCs/>
        </w:rPr>
        <w:t>l</w:t>
      </w:r>
      <w:r w:rsidRPr="00F27DDE">
        <w:rPr>
          <w:iCs/>
        </w:rPr>
        <w:t xml:space="preserve"> suelo (39%), lo que confirma </w:t>
      </w:r>
      <w:r w:rsidR="00A42E7A">
        <w:rPr>
          <w:iCs/>
        </w:rPr>
        <w:t>la</w:t>
      </w:r>
      <w:r w:rsidRPr="00F27DDE">
        <w:rPr>
          <w:iCs/>
        </w:rPr>
        <w:t xml:space="preserve"> disposición del sector a adoptar soluciones innovadoras que el PTI puede acelerar y escalar en el territorio. A su vez</w:t>
      </w:r>
      <w:r w:rsidR="00A71F0E">
        <w:rPr>
          <w:iCs/>
        </w:rPr>
        <w:t>,</w:t>
      </w:r>
      <w:r w:rsidRPr="00F27DDE">
        <w:rPr>
          <w:iCs/>
        </w:rPr>
        <w:t xml:space="preserve"> se espera que </w:t>
      </w:r>
      <w:r w:rsidRPr="00F27DDE">
        <w:rPr>
          <w:iCs/>
        </w:rPr>
        <w:lastRenderedPageBreak/>
        <w:t>los actores involucrados, principalmente productores, jefes de campo y equipos técnicos prediales, fortalezcan sus capacidades en planificación, control y toma de decisiones a partir de información técnica y herramientas digitales. Al cabo de tres años, se proyecta que estos actores cuenten con conocimientos actualizados en fruticultura sustentable, competencias en digitalización y análisis de datos agrícolas, manejo agronómico de precisión y uso de tecnologías habilitantes, lo que permitirá una gestión predial más eficiente, trazable y orientada a resultados. De igual forma</w:t>
      </w:r>
      <w:r w:rsidR="00A42E7A">
        <w:rPr>
          <w:iCs/>
        </w:rPr>
        <w:t>,</w:t>
      </w:r>
      <w:r w:rsidRPr="00F27DDE">
        <w:rPr>
          <w:iCs/>
        </w:rPr>
        <w:t xml:space="preserve"> al término del programa, se espera contar con una estructura estable de coordinación entre productores, gremios, proveedores tecnológicos, instituciones públicas y centros generadores de conocimiento, que permita ordenar y priorizar esfuerzos, evitar duplicidades y generar sinergias en torno a objetivos comunes, consolidando así la competitividad del sector frutícola regional.</w:t>
      </w:r>
    </w:p>
    <w:p w14:paraId="2009E3BE" w14:textId="4BE0D47E" w:rsidR="00AB71C1" w:rsidRPr="00AB71C1" w:rsidRDefault="00A71F0E" w:rsidP="00AB71C1">
      <w:pPr>
        <w:jc w:val="both"/>
        <w:rPr>
          <w:iCs/>
        </w:rPr>
      </w:pPr>
      <w:r>
        <w:rPr>
          <w:iCs/>
        </w:rPr>
        <w:t>El impulso a</w:t>
      </w:r>
      <w:r w:rsidR="006845EB" w:rsidRPr="00F27DDE">
        <w:rPr>
          <w:iCs/>
        </w:rPr>
        <w:t xml:space="preserve"> la implementación de tecnologías como sensores de humedad, estaciones meteorológicas, telemetría, monitoreo satelital y sistemas de gestión digital en el huerto frutícola, los productores de la Provincia de Biobío </w:t>
      </w:r>
      <w:r>
        <w:rPr>
          <w:iCs/>
        </w:rPr>
        <w:t>busca incidir en</w:t>
      </w:r>
      <w:r w:rsidR="006845EB" w:rsidRPr="00F27DDE">
        <w:rPr>
          <w:iCs/>
        </w:rPr>
        <w:t xml:space="preserve"> optimizar el uso de agua y fertilizantes, anticiparse a eventos de estrés hídrico o plagas, y programar labores con mayor precisión. Esta mayor eficiencia y control agronómico mejora</w:t>
      </w:r>
      <w:r w:rsidR="001A430C">
        <w:rPr>
          <w:iCs/>
        </w:rPr>
        <w:t>n</w:t>
      </w:r>
      <w:r w:rsidR="006845EB" w:rsidRPr="00F27DDE">
        <w:rPr>
          <w:iCs/>
        </w:rPr>
        <w:t xml:space="preserve"> directamente la uniformidad, </w:t>
      </w:r>
      <w:r>
        <w:rPr>
          <w:iCs/>
        </w:rPr>
        <w:t xml:space="preserve">la </w:t>
      </w:r>
      <w:r w:rsidR="006845EB" w:rsidRPr="00F27DDE">
        <w:rPr>
          <w:iCs/>
        </w:rPr>
        <w:t>firmeza y</w:t>
      </w:r>
      <w:r>
        <w:rPr>
          <w:iCs/>
        </w:rPr>
        <w:t xml:space="preserve"> el</w:t>
      </w:r>
      <w:r w:rsidR="006845EB" w:rsidRPr="00F27DDE">
        <w:rPr>
          <w:iCs/>
        </w:rPr>
        <w:t xml:space="preserve"> contenido de sólidos de la fruta, elevando su calidad y su vida útil postcosecha. Estas tecnologías cobran especial relevancia considerando que, según el estudio IFI (2025), un 65% de los productores identificó la mano de obra agrícola como un gran problema o previó un aumento de sus costos, problemática que se agrava</w:t>
      </w:r>
      <w:r w:rsidR="001A430C">
        <w:rPr>
          <w:iCs/>
        </w:rPr>
        <w:t>,</w:t>
      </w:r>
      <w:r w:rsidR="006845EB" w:rsidRPr="00F27DDE">
        <w:rPr>
          <w:iCs/>
        </w:rPr>
        <w:t xml:space="preserve"> dado que los costos de contratación en el sector agrícola han crecido un 15% en la última década</w:t>
      </w:r>
      <w:r w:rsidR="001A430C">
        <w:rPr>
          <w:iCs/>
        </w:rPr>
        <w:t>,</w:t>
      </w:r>
      <w:r w:rsidR="006845EB" w:rsidRPr="00F27DDE">
        <w:rPr>
          <w:iCs/>
        </w:rPr>
        <w:t xml:space="preserve"> según ODEPA (2025). En este contexto, el PTI se posiciona como una herramienta estratégica para mitigar este impacto estructural mediante la digitalización y mecanización que permiten automatizar labores intensivas en mano de obra como el monitoreo de cultivos, la aplicación de riego de precisión y la detección temprana de plagas, transformando el desafío del costo laboral en una oportunidad de modernización y competitividad. Con fruta de mejor estándar y procesos más eficientes, se accede a mercados internacionales exigentes </w:t>
      </w:r>
      <w:r w:rsidR="001A430C">
        <w:rPr>
          <w:iCs/>
        </w:rPr>
        <w:t xml:space="preserve">y </w:t>
      </w:r>
      <w:r w:rsidR="006845EB" w:rsidRPr="00F27DDE">
        <w:rPr>
          <w:iCs/>
        </w:rPr>
        <w:t xml:space="preserve">con </w:t>
      </w:r>
      <w:r>
        <w:rPr>
          <w:iCs/>
        </w:rPr>
        <w:t>precio</w:t>
      </w:r>
      <w:r w:rsidR="006845EB" w:rsidRPr="00F27DDE">
        <w:rPr>
          <w:iCs/>
        </w:rPr>
        <w:t xml:space="preserve">s </w:t>
      </w:r>
      <w:r>
        <w:rPr>
          <w:iCs/>
        </w:rPr>
        <w:t>más alt</w:t>
      </w:r>
      <w:r w:rsidR="006845EB" w:rsidRPr="00F27DDE">
        <w:rPr>
          <w:iCs/>
        </w:rPr>
        <w:t>os, reduciendo</w:t>
      </w:r>
      <w:r w:rsidR="001A430C">
        <w:rPr>
          <w:iCs/>
        </w:rPr>
        <w:t xml:space="preserve"> las</w:t>
      </w:r>
      <w:r w:rsidR="006845EB" w:rsidRPr="00F27DDE">
        <w:rPr>
          <w:iCs/>
        </w:rPr>
        <w:t xml:space="preserve"> pérdidas en los eslabones de cosecha, comercialización y logística. Además, al reducir costos operativos y pérdidas de calidad, la rentabilidad del productor mejora, lo que le permite reinvertir en infraestructura, certificaciones y escala productiva. Esta capacidad creciente fortalece la posición comercial de los productores frente a competidores internacionales, facilitando negociaciones más ventajosas para exportadores, reduciendo el riesgo de rechazo en destino y promoviendo marcas de origen. En suma, una producción digitalizada y eficiente actúa como motor que eleva la competitividad de toda la cadena, desde la logística hasta la comercialización final, al permitir mejores estándares, menores costos y mayor atractivo para mercados de valor agregado</w:t>
      </w:r>
      <w:r w:rsidR="006845EB">
        <w:rPr>
          <w:iCs/>
        </w:rPr>
        <w:t>.</w:t>
      </w:r>
    </w:p>
    <w:p w14:paraId="330C36DC" w14:textId="2D0D644D" w:rsidR="00506543" w:rsidRDefault="00D36FE0" w:rsidP="00193DA2">
      <w:pPr>
        <w:pStyle w:val="Ttulo2"/>
      </w:pPr>
      <w:bookmarkStart w:id="13" w:name="_Toc215418149"/>
      <w:r w:rsidRPr="00D36FE0">
        <w:t>Indicadores para el primer año de ejecución:</w:t>
      </w:r>
      <w:bookmarkEnd w:id="13"/>
    </w:p>
    <w:p w14:paraId="07F86688" w14:textId="6AA2573C" w:rsidR="00FB71D4" w:rsidRDefault="00193DA2" w:rsidP="00193DA2">
      <w:pPr>
        <w:jc w:val="both"/>
      </w:pPr>
      <w:r w:rsidRPr="00193DA2">
        <w:t xml:space="preserve">Para evaluar el desempeño del PTI </w:t>
      </w:r>
      <w:proofErr w:type="spellStart"/>
      <w:r w:rsidRPr="00193DA2">
        <w:t>Tecnofruta</w:t>
      </w:r>
      <w:proofErr w:type="spellEnd"/>
      <w:r w:rsidRPr="00193DA2">
        <w:t xml:space="preserve"> Biobío durante su primer año de ejecución, se definieron dos tipos de indicadores: un indicador de éxito y tres de resultados.</w:t>
      </w:r>
      <w:r w:rsidR="00FB71D4">
        <w:t xml:space="preserve"> </w:t>
      </w:r>
      <w:r w:rsidR="00FB71D4" w:rsidRPr="00FB71D4">
        <w:t>La definición y estructura de estos indicadores se elabor</w:t>
      </w:r>
      <w:r w:rsidR="00A71F0E">
        <w:t>aron</w:t>
      </w:r>
      <w:r w:rsidR="00FB71D4" w:rsidRPr="00FB71D4">
        <w:t xml:space="preserve"> siguiendo los lineamientos metodológicos establecidos por CORFO para los Programas Territoriales Integrados, presentados en </w:t>
      </w:r>
      <w:r w:rsidR="00FB71D4" w:rsidRPr="00FB71D4">
        <w:rPr>
          <w:i/>
          <w:iCs/>
        </w:rPr>
        <w:t>Hablemos de Indicadores</w:t>
      </w:r>
      <w:r w:rsidR="00FB71D4" w:rsidRPr="00FB71D4">
        <w:t xml:space="preserve"> (Corporación de Fomento de la Producción, 2020</w:t>
      </w:r>
      <w:r w:rsidR="00FB71D4">
        <w:t>).</w:t>
      </w:r>
    </w:p>
    <w:p w14:paraId="7FBB5F74" w14:textId="43DA2715" w:rsidR="00B40078" w:rsidRDefault="00193DA2" w:rsidP="00193DA2">
      <w:pPr>
        <w:jc w:val="both"/>
      </w:pPr>
      <w:r w:rsidRPr="00193DA2">
        <w:t xml:space="preserve">El </w:t>
      </w:r>
      <w:r w:rsidRPr="00193DA2">
        <w:rPr>
          <w:b/>
          <w:bCs/>
        </w:rPr>
        <w:t>indicador de éxito</w:t>
      </w:r>
      <w:r w:rsidRPr="00193DA2">
        <w:t xml:space="preserve"> se orienta a medir cuántas empresas mantienen digitalizada la información de su negocio, puesto que no basta con incorporar tecnología si esta no se utiliza </w:t>
      </w:r>
      <w:r w:rsidR="00A71F0E">
        <w:t>ni se</w:t>
      </w:r>
      <w:r w:rsidRPr="00193DA2">
        <w:t xml:space="preserve"> actualiza de manera sostenida en el tiempo. La digitalización debe convertirse en una práctica permanente de </w:t>
      </w:r>
      <w:r w:rsidRPr="00193DA2">
        <w:lastRenderedPageBreak/>
        <w:t xml:space="preserve">gestión, </w:t>
      </w:r>
      <w:r w:rsidR="00A71F0E">
        <w:t>en la qu</w:t>
      </w:r>
      <w:r w:rsidRPr="00193DA2">
        <w:t xml:space="preserve">e los datos se registren, analicen y </w:t>
      </w:r>
      <w:r w:rsidR="00A71F0E">
        <w:t>utilic</w:t>
      </w:r>
      <w:r w:rsidRPr="00193DA2">
        <w:t xml:space="preserve">en para la toma de decisiones productivas y estratégicas. Solo así la tecnología adquiere valor y la intervención del PTI se vuelve sostenible, sentando las bases para avanzar desde la digitalización inicial hacia una verdadera transformación digital del sector frutícola. </w:t>
      </w:r>
    </w:p>
    <w:p w14:paraId="6DA74574" w14:textId="77DFE036" w:rsidR="00085CE3" w:rsidRDefault="00193DA2" w:rsidP="00193DA2">
      <w:pPr>
        <w:jc w:val="both"/>
      </w:pPr>
      <w:r w:rsidRPr="00193DA2">
        <w:t xml:space="preserve">Por su parte, los </w:t>
      </w:r>
      <w:r w:rsidRPr="00193DA2">
        <w:rPr>
          <w:b/>
          <w:bCs/>
        </w:rPr>
        <w:t>indicadores de resultados</w:t>
      </w:r>
      <w:r w:rsidRPr="00193DA2">
        <w:t xml:space="preserve"> permiten monitorear los avances concretos en ámbitos clave para la competitividad del sector: la inversión en infraestructura tecnológica, la adopción de sistemas digitales de registro y gestión predial, y la formación de capital humano especializado. Estos indicadores permiten medir </w:t>
      </w:r>
      <w:r w:rsidR="00A71F0E">
        <w:t>con</w:t>
      </w:r>
      <w:r w:rsidRPr="00193DA2">
        <w:t xml:space="preserve"> </w:t>
      </w:r>
      <w:r w:rsidR="00A71F0E">
        <w:t>precisión</w:t>
      </w:r>
      <w:r w:rsidRPr="00193DA2">
        <w:t xml:space="preserve"> los efectos intermedios del programa, </w:t>
      </w:r>
      <w:r w:rsidR="00A71F0E" w:rsidRPr="00193DA2">
        <w:t>evidencia</w:t>
      </w:r>
      <w:r w:rsidR="00A71F0E">
        <w:t>r</w:t>
      </w:r>
      <w:r w:rsidR="00A71F0E" w:rsidRPr="00193DA2">
        <w:t xml:space="preserve"> </w:t>
      </w:r>
      <w:r w:rsidRPr="00193DA2">
        <w:t xml:space="preserve">el grado de avance hacia los objetivos estratégicos del PTI y </w:t>
      </w:r>
      <w:r w:rsidR="00A71F0E" w:rsidRPr="00193DA2">
        <w:t>orienta</w:t>
      </w:r>
      <w:r w:rsidR="00A71F0E">
        <w:t>r</w:t>
      </w:r>
      <w:r w:rsidR="00A71F0E" w:rsidRPr="00193DA2">
        <w:t xml:space="preserve"> </w:t>
      </w:r>
      <w:r w:rsidRPr="00193DA2">
        <w:t>la toma de decisiones para las etapas siguientes.</w:t>
      </w:r>
    </w:p>
    <w:p w14:paraId="3D55AE1D" w14:textId="3335F386" w:rsidR="00FD14B9" w:rsidRPr="00F331A9" w:rsidRDefault="00FD14B9" w:rsidP="00FD14B9">
      <w:pPr>
        <w:rPr>
          <w:b/>
          <w:bCs/>
        </w:rPr>
      </w:pPr>
      <w:r w:rsidRPr="00F331A9">
        <w:rPr>
          <w:b/>
          <w:bCs/>
        </w:rPr>
        <w:t xml:space="preserve">Tabla </w:t>
      </w:r>
      <w:r>
        <w:rPr>
          <w:b/>
          <w:bCs/>
        </w:rPr>
        <w:t>3</w:t>
      </w:r>
      <w:r w:rsidRPr="00F331A9">
        <w:rPr>
          <w:b/>
          <w:bCs/>
        </w:rPr>
        <w:t xml:space="preserve"> : Priorización de brechas para el programa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35"/>
        <w:gridCol w:w="1513"/>
        <w:gridCol w:w="2551"/>
        <w:gridCol w:w="1843"/>
        <w:gridCol w:w="1886"/>
      </w:tblGrid>
      <w:tr w:rsidR="00085CE3" w:rsidRPr="002A6167" w14:paraId="4C91563C" w14:textId="77777777" w:rsidTr="00177228">
        <w:trPr>
          <w:trHeight w:val="147"/>
          <w:tblHeader/>
        </w:trPr>
        <w:tc>
          <w:tcPr>
            <w:tcW w:w="586" w:type="pct"/>
            <w:shd w:val="clear" w:color="auto" w:fill="D9E2F3" w:themeFill="accent1" w:themeFillTint="33"/>
            <w:vAlign w:val="center"/>
          </w:tcPr>
          <w:p w14:paraId="7B95210E" w14:textId="77777777" w:rsidR="00085CE3" w:rsidRPr="00756D76" w:rsidRDefault="00085CE3" w:rsidP="00E05A7F">
            <w:pPr>
              <w:spacing w:after="0" w:line="240" w:lineRule="auto"/>
              <w:jc w:val="center"/>
              <w:rPr>
                <w:rFonts w:eastAsia="Times New Roman" w:cs="Calibri"/>
                <w:b/>
                <w:bCs/>
                <w:color w:val="000000"/>
                <w:sz w:val="20"/>
                <w:szCs w:val="20"/>
              </w:rPr>
            </w:pPr>
            <w:r>
              <w:rPr>
                <w:rFonts w:eastAsia="Times New Roman" w:cs="Calibri"/>
                <w:b/>
                <w:bCs/>
                <w:color w:val="000000"/>
                <w:sz w:val="20"/>
                <w:szCs w:val="20"/>
              </w:rPr>
              <w:t>OBJETIVO ASOCIADO</w:t>
            </w:r>
          </w:p>
        </w:tc>
        <w:tc>
          <w:tcPr>
            <w:tcW w:w="857" w:type="pct"/>
            <w:shd w:val="clear" w:color="auto" w:fill="D9E2F3" w:themeFill="accent1" w:themeFillTint="33"/>
            <w:vAlign w:val="center"/>
            <w:hideMark/>
          </w:tcPr>
          <w:p w14:paraId="232205CE" w14:textId="77777777" w:rsidR="00085CE3" w:rsidRDefault="00085CE3" w:rsidP="00E05A7F">
            <w:pPr>
              <w:spacing w:after="0" w:line="240" w:lineRule="auto"/>
              <w:jc w:val="center"/>
              <w:rPr>
                <w:rFonts w:eastAsia="Times New Roman" w:cs="Calibri"/>
                <w:b/>
                <w:bCs/>
                <w:color w:val="000000"/>
                <w:sz w:val="20"/>
                <w:szCs w:val="20"/>
              </w:rPr>
            </w:pPr>
            <w:r w:rsidRPr="00756D76">
              <w:rPr>
                <w:rFonts w:eastAsia="Times New Roman" w:cs="Calibri"/>
                <w:b/>
                <w:bCs/>
                <w:color w:val="000000"/>
                <w:sz w:val="20"/>
                <w:szCs w:val="20"/>
              </w:rPr>
              <w:t>NOMBRE INDICADOR</w:t>
            </w:r>
          </w:p>
          <w:p w14:paraId="6B458314" w14:textId="77777777" w:rsidR="00085CE3" w:rsidRPr="00756D76" w:rsidRDefault="00085CE3" w:rsidP="00E05A7F">
            <w:pPr>
              <w:spacing w:after="0" w:line="240" w:lineRule="auto"/>
              <w:jc w:val="center"/>
              <w:rPr>
                <w:rFonts w:eastAsia="Times New Roman" w:cs="Calibri"/>
                <w:b/>
                <w:bCs/>
                <w:color w:val="000000"/>
                <w:sz w:val="20"/>
                <w:szCs w:val="20"/>
              </w:rPr>
            </w:pPr>
            <w:r w:rsidRPr="002F7CE9">
              <w:rPr>
                <w:rFonts w:eastAsia="Times New Roman" w:cs="Calibri"/>
                <w:color w:val="000000"/>
                <w:sz w:val="20"/>
                <w:szCs w:val="20"/>
              </w:rPr>
              <w:t>(</w:t>
            </w:r>
            <w:r w:rsidRPr="00FB3EA4">
              <w:rPr>
                <w:rFonts w:eastAsia="Times New Roman" w:cs="Calibri"/>
                <w:color w:val="000000"/>
                <w:sz w:val="20"/>
                <w:szCs w:val="20"/>
              </w:rPr>
              <w:t>De acuerdo con</w:t>
            </w:r>
            <w:r w:rsidRPr="002F7CE9">
              <w:rPr>
                <w:rFonts w:eastAsia="Times New Roman" w:cs="Calibri"/>
                <w:color w:val="000000"/>
                <w:sz w:val="20"/>
                <w:szCs w:val="20"/>
              </w:rPr>
              <w:t xml:space="preserve"> nombres genéricos de indicadores PTI)</w:t>
            </w:r>
          </w:p>
        </w:tc>
        <w:tc>
          <w:tcPr>
            <w:tcW w:w="1445" w:type="pct"/>
            <w:shd w:val="clear" w:color="auto" w:fill="D9E2F3" w:themeFill="accent1" w:themeFillTint="33"/>
            <w:vAlign w:val="center"/>
            <w:hideMark/>
          </w:tcPr>
          <w:p w14:paraId="64C28EE6" w14:textId="77777777" w:rsidR="00085CE3" w:rsidRDefault="00085CE3" w:rsidP="00E05A7F">
            <w:pPr>
              <w:spacing w:after="0" w:line="240" w:lineRule="auto"/>
              <w:jc w:val="center"/>
              <w:rPr>
                <w:rFonts w:eastAsia="Times New Roman" w:cs="Calibri"/>
                <w:b/>
                <w:bCs/>
                <w:color w:val="000000"/>
                <w:sz w:val="20"/>
                <w:szCs w:val="20"/>
              </w:rPr>
            </w:pPr>
            <w:r w:rsidRPr="00756D76">
              <w:rPr>
                <w:rFonts w:eastAsia="Times New Roman" w:cs="Calibri"/>
                <w:b/>
                <w:bCs/>
                <w:color w:val="000000"/>
                <w:sz w:val="20"/>
                <w:szCs w:val="20"/>
              </w:rPr>
              <w:t>DESCRIPCIÓN</w:t>
            </w:r>
          </w:p>
          <w:p w14:paraId="16F0F87B" w14:textId="77777777" w:rsidR="00085CE3" w:rsidRPr="000F5C02" w:rsidRDefault="00085CE3" w:rsidP="00E05A7F">
            <w:pPr>
              <w:spacing w:after="0" w:line="240" w:lineRule="auto"/>
              <w:jc w:val="center"/>
              <w:rPr>
                <w:rFonts w:eastAsia="Times New Roman" w:cs="Calibri"/>
                <w:color w:val="000000"/>
                <w:sz w:val="20"/>
                <w:szCs w:val="20"/>
              </w:rPr>
            </w:pPr>
            <w:r w:rsidRPr="000F5C02">
              <w:rPr>
                <w:rFonts w:eastAsia="Times New Roman" w:cs="Calibri"/>
                <w:color w:val="000000"/>
                <w:sz w:val="20"/>
                <w:szCs w:val="20"/>
              </w:rPr>
              <w:t>(</w:t>
            </w:r>
            <w:r>
              <w:rPr>
                <w:rFonts w:eastAsia="Times New Roman" w:cs="Calibri"/>
                <w:color w:val="000000"/>
                <w:sz w:val="20"/>
                <w:szCs w:val="20"/>
              </w:rPr>
              <w:t>D</w:t>
            </w:r>
            <w:r w:rsidRPr="000F5C02">
              <w:rPr>
                <w:rFonts w:eastAsia="Times New Roman" w:cs="Calibri"/>
                <w:color w:val="000000"/>
                <w:sz w:val="20"/>
                <w:szCs w:val="20"/>
              </w:rPr>
              <w:t>escriba el objeto de la medición)</w:t>
            </w:r>
          </w:p>
        </w:tc>
        <w:tc>
          <w:tcPr>
            <w:tcW w:w="1044" w:type="pct"/>
            <w:shd w:val="clear" w:color="auto" w:fill="D9E2F3" w:themeFill="accent1" w:themeFillTint="33"/>
            <w:vAlign w:val="center"/>
            <w:hideMark/>
          </w:tcPr>
          <w:p w14:paraId="357941E1" w14:textId="77777777" w:rsidR="00085CE3" w:rsidRPr="00756D76" w:rsidRDefault="00085CE3" w:rsidP="00E05A7F">
            <w:pPr>
              <w:spacing w:after="0" w:line="240" w:lineRule="auto"/>
              <w:jc w:val="center"/>
              <w:rPr>
                <w:rFonts w:eastAsia="Times New Roman" w:cs="Calibri"/>
                <w:b/>
                <w:bCs/>
                <w:color w:val="000000"/>
                <w:sz w:val="20"/>
                <w:szCs w:val="20"/>
              </w:rPr>
            </w:pPr>
            <w:r w:rsidRPr="00756D76">
              <w:rPr>
                <w:rFonts w:eastAsia="Times New Roman" w:cs="Calibri"/>
                <w:b/>
                <w:bCs/>
                <w:color w:val="000000"/>
                <w:sz w:val="20"/>
                <w:szCs w:val="20"/>
              </w:rPr>
              <w:t>FÓRMULA DE CÁLCULO</w:t>
            </w:r>
          </w:p>
        </w:tc>
        <w:tc>
          <w:tcPr>
            <w:tcW w:w="1068" w:type="pct"/>
            <w:shd w:val="clear" w:color="auto" w:fill="D9E2F3" w:themeFill="accent1" w:themeFillTint="33"/>
            <w:vAlign w:val="center"/>
            <w:hideMark/>
          </w:tcPr>
          <w:p w14:paraId="774FD452" w14:textId="77777777" w:rsidR="00085CE3" w:rsidRPr="00756D76" w:rsidRDefault="00085CE3" w:rsidP="00E05A7F">
            <w:pPr>
              <w:spacing w:after="0" w:line="240" w:lineRule="auto"/>
              <w:jc w:val="center"/>
              <w:rPr>
                <w:rFonts w:eastAsia="Times New Roman" w:cs="Calibri"/>
                <w:b/>
                <w:bCs/>
                <w:color w:val="000000"/>
                <w:sz w:val="20"/>
                <w:szCs w:val="20"/>
              </w:rPr>
            </w:pPr>
            <w:r w:rsidRPr="00756D76">
              <w:rPr>
                <w:rFonts w:eastAsia="Times New Roman" w:cs="Calibri"/>
                <w:b/>
                <w:bCs/>
                <w:color w:val="000000"/>
                <w:sz w:val="20"/>
                <w:szCs w:val="20"/>
              </w:rPr>
              <w:t>MEDIO DE VERIFICACIÓN</w:t>
            </w:r>
          </w:p>
        </w:tc>
      </w:tr>
      <w:tr w:rsidR="00520F6C" w:rsidRPr="002A6167" w14:paraId="1356C6B0" w14:textId="77777777" w:rsidTr="00177228">
        <w:trPr>
          <w:trHeight w:val="481"/>
        </w:trPr>
        <w:tc>
          <w:tcPr>
            <w:tcW w:w="586" w:type="pct"/>
            <w:vAlign w:val="center"/>
          </w:tcPr>
          <w:p w14:paraId="03E47FBB" w14:textId="3FBD822E" w:rsidR="00520F6C" w:rsidRDefault="00520F6C" w:rsidP="00520F6C">
            <w:pPr>
              <w:jc w:val="center"/>
              <w:rPr>
                <w:rFonts w:eastAsia="Times New Roman" w:cs="Calibri"/>
                <w:color w:val="000000"/>
                <w:sz w:val="20"/>
                <w:szCs w:val="20"/>
              </w:rPr>
            </w:pPr>
            <w:r>
              <w:rPr>
                <w:rFonts w:eastAsia="Times New Roman" w:cs="Calibri"/>
                <w:color w:val="000000"/>
                <w:sz w:val="20"/>
                <w:szCs w:val="20"/>
              </w:rPr>
              <w:t>OG</w:t>
            </w:r>
          </w:p>
        </w:tc>
        <w:tc>
          <w:tcPr>
            <w:tcW w:w="857" w:type="pct"/>
            <w:vAlign w:val="center"/>
          </w:tcPr>
          <w:p w14:paraId="7004C9D3" w14:textId="26DA8C08" w:rsidR="00520F6C" w:rsidRDefault="00520F6C" w:rsidP="00520F6C">
            <w:pPr>
              <w:rPr>
                <w:sz w:val="20"/>
                <w:szCs w:val="20"/>
              </w:rPr>
            </w:pPr>
            <w:proofErr w:type="spellStart"/>
            <w:r w:rsidRPr="00740196">
              <w:rPr>
                <w:rFonts w:eastAsia="Times New Roman" w:cs="Calibri"/>
                <w:color w:val="000000"/>
                <w:sz w:val="20"/>
                <w:szCs w:val="20"/>
              </w:rPr>
              <w:t>Nº</w:t>
            </w:r>
            <w:proofErr w:type="spellEnd"/>
            <w:r w:rsidRPr="00740196">
              <w:rPr>
                <w:rFonts w:eastAsia="Times New Roman" w:cs="Calibri"/>
                <w:color w:val="000000"/>
                <w:sz w:val="20"/>
                <w:szCs w:val="20"/>
              </w:rPr>
              <w:t xml:space="preserve"> empresas que mantienen digitalizada la información de su negocio</w:t>
            </w:r>
            <w:r>
              <w:rPr>
                <w:rFonts w:eastAsia="Times New Roman" w:cs="Calibri"/>
                <w:color w:val="000000"/>
                <w:sz w:val="20"/>
                <w:szCs w:val="20"/>
              </w:rPr>
              <w:t>.</w:t>
            </w:r>
          </w:p>
        </w:tc>
        <w:tc>
          <w:tcPr>
            <w:tcW w:w="1445" w:type="pct"/>
            <w:vAlign w:val="center"/>
          </w:tcPr>
          <w:p w14:paraId="02BF99E5" w14:textId="293AD018" w:rsidR="00520F6C" w:rsidRPr="00E607EF" w:rsidRDefault="00520F6C" w:rsidP="00520F6C">
            <w:pPr>
              <w:spacing w:after="0" w:line="240" w:lineRule="auto"/>
              <w:jc w:val="both"/>
              <w:rPr>
                <w:rFonts w:eastAsia="Times New Roman" w:cs="Calibri"/>
                <w:color w:val="000000"/>
                <w:sz w:val="20"/>
                <w:szCs w:val="20"/>
              </w:rPr>
            </w:pPr>
            <w:r>
              <w:rPr>
                <w:rFonts w:eastAsia="Times New Roman" w:cs="Calibri"/>
                <w:color w:val="000000"/>
                <w:sz w:val="20"/>
                <w:szCs w:val="20"/>
              </w:rPr>
              <w:t xml:space="preserve">Se medirá la cantidad de empresas frutícolas que </w:t>
            </w:r>
            <w:r w:rsidRPr="004A6314">
              <w:rPr>
                <w:rFonts w:eastAsia="Times New Roman" w:cs="Calibri"/>
                <w:sz w:val="20"/>
                <w:szCs w:val="20"/>
              </w:rPr>
              <w:t xml:space="preserve">mantienen registros digitales y herramientas </w:t>
            </w:r>
            <w:r>
              <w:rPr>
                <w:rFonts w:eastAsia="Times New Roman" w:cs="Calibri"/>
                <w:color w:val="000000"/>
                <w:sz w:val="20"/>
                <w:szCs w:val="20"/>
              </w:rPr>
              <w:t xml:space="preserve">de sistematización de datos </w:t>
            </w:r>
            <w:r w:rsidRPr="00ED7058">
              <w:rPr>
                <w:rFonts w:eastAsia="Times New Roman" w:cs="Calibri"/>
                <w:color w:val="000000"/>
                <w:sz w:val="20"/>
                <w:szCs w:val="20"/>
              </w:rPr>
              <w:t xml:space="preserve">(productivos, administrativos </w:t>
            </w:r>
            <w:r>
              <w:rPr>
                <w:rFonts w:eastAsia="Times New Roman" w:cs="Calibri"/>
                <w:color w:val="000000"/>
                <w:sz w:val="20"/>
                <w:szCs w:val="20"/>
              </w:rPr>
              <w:t>y/</w:t>
            </w:r>
            <w:r w:rsidRPr="00ED7058">
              <w:rPr>
                <w:rFonts w:eastAsia="Times New Roman" w:cs="Calibri"/>
                <w:color w:val="000000"/>
                <w:sz w:val="20"/>
                <w:szCs w:val="20"/>
              </w:rPr>
              <w:t>o de gestión predial)</w:t>
            </w:r>
            <w:r>
              <w:rPr>
                <w:rFonts w:eastAsia="Times New Roman" w:cs="Calibri"/>
                <w:color w:val="000000"/>
                <w:sz w:val="20"/>
                <w:szCs w:val="20"/>
              </w:rPr>
              <w:t xml:space="preserve">.  </w:t>
            </w:r>
          </w:p>
        </w:tc>
        <w:tc>
          <w:tcPr>
            <w:tcW w:w="1044" w:type="pct"/>
            <w:vAlign w:val="center"/>
          </w:tcPr>
          <w:p w14:paraId="0B7F8B96" w14:textId="504E039B" w:rsidR="00520F6C" w:rsidRDefault="00520F6C" w:rsidP="00520F6C">
            <w:pPr>
              <w:spacing w:after="0" w:line="240" w:lineRule="auto"/>
              <w:jc w:val="center"/>
              <w:rPr>
                <w:rFonts w:eastAsia="Times New Roman" w:cs="Calibri"/>
                <w:color w:val="000000"/>
                <w:sz w:val="20"/>
                <w:szCs w:val="20"/>
              </w:rPr>
            </w:pPr>
            <w:r>
              <w:rPr>
                <w:rFonts w:eastAsia="Times New Roman" w:cs="Calibri"/>
                <w:color w:val="000000"/>
                <w:sz w:val="20"/>
                <w:szCs w:val="20"/>
              </w:rPr>
              <w:t>(</w:t>
            </w:r>
            <w:proofErr w:type="spellStart"/>
            <w:r w:rsidRPr="00ED7058">
              <w:rPr>
                <w:rFonts w:eastAsia="Times New Roman" w:cs="Calibri"/>
                <w:color w:val="000000"/>
                <w:sz w:val="20"/>
                <w:szCs w:val="20"/>
              </w:rPr>
              <w:t>N°</w:t>
            </w:r>
            <w:proofErr w:type="spellEnd"/>
            <w:r w:rsidRPr="00ED7058">
              <w:rPr>
                <w:rFonts w:eastAsia="Times New Roman" w:cs="Calibri"/>
                <w:color w:val="000000"/>
                <w:sz w:val="20"/>
                <w:szCs w:val="20"/>
              </w:rPr>
              <w:t xml:space="preserve"> de empresas con registros digitales sistematizados / </w:t>
            </w:r>
            <w:proofErr w:type="spellStart"/>
            <w:r w:rsidRPr="00ED7058">
              <w:rPr>
                <w:rFonts w:eastAsia="Times New Roman" w:cs="Calibri"/>
                <w:color w:val="000000"/>
                <w:sz w:val="20"/>
                <w:szCs w:val="20"/>
              </w:rPr>
              <w:t>N°</w:t>
            </w:r>
            <w:proofErr w:type="spellEnd"/>
            <w:r w:rsidRPr="00ED7058">
              <w:rPr>
                <w:rFonts w:eastAsia="Times New Roman" w:cs="Calibri"/>
                <w:color w:val="000000"/>
                <w:sz w:val="20"/>
                <w:szCs w:val="20"/>
              </w:rPr>
              <w:t xml:space="preserve"> total de empresas participantes del PTI</w:t>
            </w:r>
            <w:r>
              <w:rPr>
                <w:rFonts w:eastAsia="Times New Roman" w:cs="Calibri"/>
                <w:color w:val="000000"/>
                <w:sz w:val="20"/>
                <w:szCs w:val="20"/>
              </w:rPr>
              <w:t>)*100</w:t>
            </w:r>
          </w:p>
        </w:tc>
        <w:tc>
          <w:tcPr>
            <w:tcW w:w="1068" w:type="pct"/>
            <w:vAlign w:val="center"/>
          </w:tcPr>
          <w:p w14:paraId="371A9F1C" w14:textId="45FFC5EC" w:rsidR="00520F6C" w:rsidRPr="009567A4" w:rsidRDefault="00520F6C" w:rsidP="00520F6C">
            <w:pPr>
              <w:spacing w:after="0" w:line="240" w:lineRule="auto"/>
              <w:jc w:val="both"/>
              <w:rPr>
                <w:rFonts w:eastAsia="Times New Roman" w:cs="Calibri"/>
                <w:color w:val="000000"/>
                <w:sz w:val="20"/>
                <w:szCs w:val="20"/>
              </w:rPr>
            </w:pPr>
            <w:r w:rsidRPr="009567A4">
              <w:rPr>
                <w:rFonts w:eastAsia="Times New Roman" w:cs="Calibri"/>
                <w:color w:val="000000"/>
                <w:sz w:val="20"/>
                <w:szCs w:val="20"/>
              </w:rPr>
              <w:t xml:space="preserve">Reportes </w:t>
            </w:r>
            <w:r>
              <w:rPr>
                <w:rFonts w:eastAsia="Times New Roman" w:cs="Calibri"/>
                <w:color w:val="000000"/>
                <w:sz w:val="20"/>
                <w:szCs w:val="20"/>
              </w:rPr>
              <w:t>de las empresas beneficiarias</w:t>
            </w:r>
            <w:r w:rsidRPr="009567A4">
              <w:rPr>
                <w:rFonts w:eastAsia="Times New Roman" w:cs="Calibri"/>
                <w:color w:val="000000"/>
                <w:sz w:val="20"/>
                <w:szCs w:val="20"/>
              </w:rPr>
              <w:t>.</w:t>
            </w:r>
          </w:p>
        </w:tc>
      </w:tr>
      <w:tr w:rsidR="00520F6C" w:rsidRPr="002A6167" w14:paraId="0E006D2C" w14:textId="77777777" w:rsidTr="00177228">
        <w:trPr>
          <w:trHeight w:val="481"/>
        </w:trPr>
        <w:tc>
          <w:tcPr>
            <w:tcW w:w="586" w:type="pct"/>
            <w:vAlign w:val="center"/>
          </w:tcPr>
          <w:p w14:paraId="7EA60CCA" w14:textId="77777777" w:rsidR="00520F6C" w:rsidRPr="003A3C62" w:rsidRDefault="00520F6C" w:rsidP="00520F6C">
            <w:pPr>
              <w:jc w:val="center"/>
              <w:rPr>
                <w:rFonts w:eastAsia="Times New Roman" w:cs="Calibri"/>
                <w:color w:val="000000"/>
                <w:sz w:val="20"/>
                <w:szCs w:val="20"/>
              </w:rPr>
            </w:pPr>
            <w:r>
              <w:rPr>
                <w:rFonts w:eastAsia="Times New Roman" w:cs="Calibri"/>
                <w:color w:val="000000"/>
                <w:sz w:val="20"/>
                <w:szCs w:val="20"/>
              </w:rPr>
              <w:t>OE1</w:t>
            </w:r>
          </w:p>
        </w:tc>
        <w:tc>
          <w:tcPr>
            <w:tcW w:w="857" w:type="pct"/>
            <w:vAlign w:val="center"/>
          </w:tcPr>
          <w:p w14:paraId="4345AF26" w14:textId="77777777" w:rsidR="00520F6C" w:rsidRPr="003A3C62" w:rsidRDefault="00520F6C" w:rsidP="00520F6C">
            <w:pPr>
              <w:rPr>
                <w:sz w:val="20"/>
                <w:szCs w:val="20"/>
              </w:rPr>
            </w:pPr>
            <w:proofErr w:type="spellStart"/>
            <w:r>
              <w:rPr>
                <w:sz w:val="20"/>
                <w:szCs w:val="20"/>
              </w:rPr>
              <w:t>N°</w:t>
            </w:r>
            <w:proofErr w:type="spellEnd"/>
            <w:r>
              <w:rPr>
                <w:sz w:val="20"/>
                <w:szCs w:val="20"/>
              </w:rPr>
              <w:t xml:space="preserve"> de empresas que invierten</w:t>
            </w:r>
            <w:r w:rsidRPr="00E607EF">
              <w:rPr>
                <w:sz w:val="20"/>
                <w:szCs w:val="20"/>
              </w:rPr>
              <w:t xml:space="preserve"> en infraestructura </w:t>
            </w:r>
            <w:r>
              <w:rPr>
                <w:sz w:val="20"/>
                <w:szCs w:val="20"/>
              </w:rPr>
              <w:t>y equipamiento tecnológico.</w:t>
            </w:r>
          </w:p>
        </w:tc>
        <w:tc>
          <w:tcPr>
            <w:tcW w:w="1445" w:type="pct"/>
            <w:vAlign w:val="center"/>
          </w:tcPr>
          <w:p w14:paraId="635D11C1" w14:textId="77777777" w:rsidR="00520F6C" w:rsidRPr="00E930B3" w:rsidRDefault="00520F6C" w:rsidP="00520F6C">
            <w:pPr>
              <w:spacing w:after="0" w:line="240" w:lineRule="auto"/>
              <w:jc w:val="both"/>
              <w:rPr>
                <w:rFonts w:eastAsia="Times New Roman" w:cs="Calibri"/>
                <w:color w:val="000000"/>
                <w:sz w:val="20"/>
                <w:szCs w:val="20"/>
              </w:rPr>
            </w:pPr>
            <w:r w:rsidRPr="00E607EF">
              <w:rPr>
                <w:rFonts w:eastAsia="Times New Roman" w:cs="Calibri"/>
                <w:color w:val="000000"/>
                <w:sz w:val="20"/>
                <w:szCs w:val="20"/>
              </w:rPr>
              <w:t xml:space="preserve">Mide </w:t>
            </w:r>
            <w:r>
              <w:rPr>
                <w:rFonts w:eastAsia="Times New Roman" w:cs="Calibri"/>
                <w:color w:val="000000"/>
                <w:sz w:val="20"/>
                <w:szCs w:val="20"/>
              </w:rPr>
              <w:t>la cantidad de empresas frutícolas que realizan</w:t>
            </w:r>
            <w:r w:rsidRPr="00E607EF">
              <w:rPr>
                <w:rFonts w:eastAsia="Times New Roman" w:cs="Calibri"/>
                <w:color w:val="000000"/>
                <w:sz w:val="20"/>
                <w:szCs w:val="20"/>
              </w:rPr>
              <w:t xml:space="preserve"> </w:t>
            </w:r>
            <w:r>
              <w:rPr>
                <w:rFonts w:eastAsia="Times New Roman" w:cs="Calibri"/>
                <w:color w:val="000000"/>
                <w:sz w:val="20"/>
                <w:szCs w:val="20"/>
              </w:rPr>
              <w:t>inversiones</w:t>
            </w:r>
            <w:r w:rsidRPr="00E607EF">
              <w:rPr>
                <w:rFonts w:eastAsia="Times New Roman" w:cs="Calibri"/>
                <w:color w:val="000000"/>
                <w:sz w:val="20"/>
                <w:szCs w:val="20"/>
              </w:rPr>
              <w:t xml:space="preserve"> en infraestructur</w:t>
            </w:r>
            <w:r>
              <w:rPr>
                <w:rFonts w:eastAsia="Times New Roman" w:cs="Calibri"/>
                <w:color w:val="000000"/>
                <w:sz w:val="20"/>
                <w:szCs w:val="20"/>
              </w:rPr>
              <w:t xml:space="preserve">a y equipamiento </w:t>
            </w:r>
            <w:r w:rsidRPr="00E607EF">
              <w:rPr>
                <w:rFonts w:eastAsia="Times New Roman" w:cs="Calibri"/>
                <w:color w:val="000000"/>
                <w:sz w:val="20"/>
                <w:szCs w:val="20"/>
              </w:rPr>
              <w:t>a tecnológic</w:t>
            </w:r>
            <w:r>
              <w:rPr>
                <w:rFonts w:eastAsia="Times New Roman" w:cs="Calibri"/>
                <w:color w:val="000000"/>
                <w:sz w:val="20"/>
                <w:szCs w:val="20"/>
              </w:rPr>
              <w:t>o de agricultura de precisión.</w:t>
            </w:r>
          </w:p>
        </w:tc>
        <w:tc>
          <w:tcPr>
            <w:tcW w:w="1044" w:type="pct"/>
            <w:vAlign w:val="center"/>
          </w:tcPr>
          <w:p w14:paraId="047F07DC" w14:textId="77777777" w:rsidR="00520F6C" w:rsidRPr="00756D76" w:rsidRDefault="00520F6C" w:rsidP="00520F6C">
            <w:pPr>
              <w:spacing w:after="0" w:line="240" w:lineRule="auto"/>
              <w:jc w:val="center"/>
              <w:rPr>
                <w:rFonts w:eastAsia="Times New Roman" w:cs="Calibri"/>
                <w:color w:val="000000"/>
                <w:sz w:val="20"/>
                <w:szCs w:val="20"/>
              </w:rPr>
            </w:pPr>
            <w:proofErr w:type="spellStart"/>
            <w:r>
              <w:rPr>
                <w:rFonts w:eastAsia="Times New Roman" w:cs="Calibri"/>
                <w:color w:val="000000"/>
                <w:sz w:val="20"/>
                <w:szCs w:val="20"/>
              </w:rPr>
              <w:t>N°</w:t>
            </w:r>
            <w:proofErr w:type="spellEnd"/>
            <w:r>
              <w:rPr>
                <w:rFonts w:eastAsia="Times New Roman" w:cs="Calibri"/>
                <w:color w:val="000000"/>
                <w:sz w:val="20"/>
                <w:szCs w:val="20"/>
              </w:rPr>
              <w:t xml:space="preserve"> de empresas que invierten en infraestructura y equipamiento tecnológico. (Sumatoria de las empresas que invierten en infraestructura y equipamiento tecnológico de agricultura de precisión)</w:t>
            </w:r>
          </w:p>
        </w:tc>
        <w:tc>
          <w:tcPr>
            <w:tcW w:w="1068" w:type="pct"/>
            <w:vAlign w:val="center"/>
          </w:tcPr>
          <w:p w14:paraId="3E98FBCB" w14:textId="77777777" w:rsidR="00520F6C" w:rsidRPr="00756D76" w:rsidRDefault="00520F6C" w:rsidP="00520F6C">
            <w:pPr>
              <w:spacing w:after="0" w:line="240" w:lineRule="auto"/>
              <w:jc w:val="both"/>
              <w:rPr>
                <w:rFonts w:eastAsia="Times New Roman" w:cs="Calibri"/>
                <w:color w:val="000000"/>
                <w:sz w:val="20"/>
                <w:szCs w:val="20"/>
              </w:rPr>
            </w:pPr>
            <w:r w:rsidRPr="009567A4">
              <w:rPr>
                <w:rFonts w:eastAsia="Times New Roman" w:cs="Calibri"/>
                <w:color w:val="000000"/>
                <w:sz w:val="20"/>
                <w:szCs w:val="20"/>
              </w:rPr>
              <w:t xml:space="preserve">Reportes </w:t>
            </w:r>
            <w:r>
              <w:rPr>
                <w:rFonts w:eastAsia="Times New Roman" w:cs="Calibri"/>
                <w:color w:val="000000"/>
                <w:sz w:val="20"/>
                <w:szCs w:val="20"/>
              </w:rPr>
              <w:t>de las empresas beneficiarias</w:t>
            </w:r>
            <w:r w:rsidRPr="009567A4">
              <w:rPr>
                <w:rFonts w:eastAsia="Times New Roman" w:cs="Calibri"/>
                <w:color w:val="000000"/>
                <w:sz w:val="20"/>
                <w:szCs w:val="20"/>
              </w:rPr>
              <w:t>.</w:t>
            </w:r>
          </w:p>
        </w:tc>
      </w:tr>
      <w:tr w:rsidR="00520F6C" w:rsidRPr="002A6167" w14:paraId="5218E2ED" w14:textId="77777777" w:rsidTr="00177228">
        <w:trPr>
          <w:trHeight w:val="481"/>
        </w:trPr>
        <w:tc>
          <w:tcPr>
            <w:tcW w:w="586" w:type="pct"/>
            <w:vAlign w:val="center"/>
          </w:tcPr>
          <w:p w14:paraId="4168DCF8" w14:textId="77777777" w:rsidR="00520F6C" w:rsidRPr="003A3C62" w:rsidRDefault="00520F6C" w:rsidP="00520F6C">
            <w:pPr>
              <w:jc w:val="center"/>
              <w:rPr>
                <w:rFonts w:eastAsia="Times New Roman" w:cs="Calibri"/>
                <w:color w:val="000000"/>
                <w:sz w:val="20"/>
                <w:szCs w:val="20"/>
              </w:rPr>
            </w:pPr>
            <w:r>
              <w:rPr>
                <w:rFonts w:eastAsia="Times New Roman" w:cs="Calibri"/>
                <w:color w:val="000000"/>
                <w:sz w:val="20"/>
                <w:szCs w:val="20"/>
              </w:rPr>
              <w:t>OE2</w:t>
            </w:r>
          </w:p>
        </w:tc>
        <w:tc>
          <w:tcPr>
            <w:tcW w:w="857" w:type="pct"/>
            <w:vAlign w:val="center"/>
          </w:tcPr>
          <w:p w14:paraId="6EF1E178" w14:textId="77777777" w:rsidR="00520F6C" w:rsidRPr="00831C0C" w:rsidRDefault="00520F6C" w:rsidP="00520F6C">
            <w:pPr>
              <w:rPr>
                <w:sz w:val="20"/>
                <w:szCs w:val="20"/>
              </w:rPr>
            </w:pPr>
            <w:proofErr w:type="spellStart"/>
            <w:r w:rsidRPr="00831C0C">
              <w:rPr>
                <w:sz w:val="20"/>
                <w:szCs w:val="20"/>
              </w:rPr>
              <w:t>Nº</w:t>
            </w:r>
            <w:proofErr w:type="spellEnd"/>
            <w:r w:rsidRPr="00831C0C">
              <w:rPr>
                <w:sz w:val="20"/>
                <w:szCs w:val="20"/>
              </w:rPr>
              <w:t xml:space="preserve"> empresas que digitaliz</w:t>
            </w:r>
            <w:r>
              <w:rPr>
                <w:sz w:val="20"/>
                <w:szCs w:val="20"/>
              </w:rPr>
              <w:t>an</w:t>
            </w:r>
            <w:r w:rsidRPr="00831C0C">
              <w:rPr>
                <w:sz w:val="20"/>
                <w:szCs w:val="20"/>
              </w:rPr>
              <w:t xml:space="preserve"> la información de su negocio</w:t>
            </w:r>
            <w:r>
              <w:rPr>
                <w:sz w:val="20"/>
                <w:szCs w:val="20"/>
              </w:rPr>
              <w:t>.</w:t>
            </w:r>
          </w:p>
        </w:tc>
        <w:tc>
          <w:tcPr>
            <w:tcW w:w="1445" w:type="pct"/>
            <w:vAlign w:val="center"/>
          </w:tcPr>
          <w:p w14:paraId="5063AE75" w14:textId="77777777" w:rsidR="00520F6C" w:rsidRPr="00831C0C" w:rsidRDefault="00520F6C" w:rsidP="00520F6C">
            <w:pPr>
              <w:spacing w:after="0" w:line="240" w:lineRule="auto"/>
              <w:jc w:val="both"/>
              <w:rPr>
                <w:rFonts w:eastAsia="Times New Roman" w:cs="Calibri"/>
                <w:color w:val="000000"/>
                <w:sz w:val="20"/>
                <w:szCs w:val="20"/>
              </w:rPr>
            </w:pPr>
            <w:r w:rsidRPr="00831C0C">
              <w:rPr>
                <w:rFonts w:eastAsia="Times New Roman" w:cs="Calibri"/>
                <w:color w:val="000000"/>
                <w:sz w:val="20"/>
                <w:szCs w:val="20"/>
              </w:rPr>
              <w:t>Mide la cantidad total de empresas frutícolas que incorporan</w:t>
            </w:r>
            <w:r>
              <w:rPr>
                <w:rFonts w:eastAsia="Times New Roman" w:cs="Calibri"/>
                <w:color w:val="000000"/>
                <w:sz w:val="20"/>
                <w:szCs w:val="20"/>
              </w:rPr>
              <w:t xml:space="preserve"> nuevos</w:t>
            </w:r>
            <w:r w:rsidRPr="00831C0C">
              <w:rPr>
                <w:rFonts w:eastAsia="Times New Roman" w:cs="Calibri"/>
                <w:color w:val="000000"/>
                <w:sz w:val="20"/>
                <w:szCs w:val="20"/>
              </w:rPr>
              <w:t xml:space="preserve"> sistemas digitales de registro y gestión de información en sus procesos administrativos</w:t>
            </w:r>
            <w:r>
              <w:rPr>
                <w:rFonts w:eastAsia="Times New Roman" w:cs="Calibri"/>
                <w:color w:val="000000"/>
                <w:sz w:val="20"/>
                <w:szCs w:val="20"/>
              </w:rPr>
              <w:t xml:space="preserve"> y/o </w:t>
            </w:r>
            <w:r w:rsidRPr="00831C0C">
              <w:rPr>
                <w:rFonts w:eastAsia="Times New Roman" w:cs="Calibri"/>
                <w:color w:val="000000"/>
                <w:sz w:val="20"/>
                <w:szCs w:val="20"/>
              </w:rPr>
              <w:t>productivos</w:t>
            </w:r>
            <w:r>
              <w:rPr>
                <w:rFonts w:eastAsia="Times New Roman" w:cs="Calibri"/>
                <w:color w:val="000000"/>
                <w:sz w:val="20"/>
                <w:szCs w:val="20"/>
              </w:rPr>
              <w:t>.</w:t>
            </w:r>
          </w:p>
        </w:tc>
        <w:tc>
          <w:tcPr>
            <w:tcW w:w="1044" w:type="pct"/>
            <w:vAlign w:val="center"/>
          </w:tcPr>
          <w:p w14:paraId="1B288DB5" w14:textId="77777777" w:rsidR="00520F6C" w:rsidRPr="00831C0C" w:rsidRDefault="00520F6C" w:rsidP="00520F6C">
            <w:pPr>
              <w:spacing w:after="0" w:line="240" w:lineRule="auto"/>
              <w:jc w:val="center"/>
              <w:rPr>
                <w:rFonts w:eastAsia="Times New Roman" w:cs="Calibri"/>
                <w:color w:val="000000"/>
                <w:sz w:val="20"/>
                <w:szCs w:val="20"/>
              </w:rPr>
            </w:pPr>
            <w:proofErr w:type="spellStart"/>
            <w:r w:rsidRPr="00831C0C">
              <w:rPr>
                <w:rFonts w:eastAsia="Times New Roman" w:cs="Calibri"/>
                <w:color w:val="000000"/>
                <w:sz w:val="20"/>
                <w:szCs w:val="20"/>
              </w:rPr>
              <w:t>N°</w:t>
            </w:r>
            <w:proofErr w:type="spellEnd"/>
            <w:r w:rsidRPr="00831C0C">
              <w:rPr>
                <w:rFonts w:eastAsia="Times New Roman" w:cs="Calibri"/>
                <w:color w:val="000000"/>
                <w:sz w:val="20"/>
                <w:szCs w:val="20"/>
              </w:rPr>
              <w:t xml:space="preserve"> </w:t>
            </w:r>
            <w:r>
              <w:rPr>
                <w:rFonts w:eastAsia="Times New Roman" w:cs="Calibri"/>
                <w:color w:val="000000"/>
                <w:sz w:val="20"/>
                <w:szCs w:val="20"/>
              </w:rPr>
              <w:t xml:space="preserve">de empresas que adquieren nuevos sistemas digitales. </w:t>
            </w:r>
            <w:r w:rsidRPr="00831C0C">
              <w:rPr>
                <w:rFonts w:eastAsia="Times New Roman" w:cs="Calibri"/>
                <w:color w:val="000000"/>
                <w:sz w:val="20"/>
                <w:szCs w:val="20"/>
              </w:rPr>
              <w:t xml:space="preserve">(Sumatoria </w:t>
            </w:r>
            <w:r>
              <w:rPr>
                <w:rFonts w:eastAsia="Times New Roman" w:cs="Calibri"/>
                <w:color w:val="000000"/>
                <w:sz w:val="20"/>
                <w:szCs w:val="20"/>
              </w:rPr>
              <w:t>de empresas que implementan herramientas digitales de registro y gestión de datos</w:t>
            </w:r>
            <w:r w:rsidRPr="00831C0C">
              <w:rPr>
                <w:rFonts w:eastAsia="Times New Roman" w:cs="Calibri"/>
                <w:color w:val="000000"/>
                <w:sz w:val="20"/>
                <w:szCs w:val="20"/>
              </w:rPr>
              <w:t>)</w:t>
            </w:r>
          </w:p>
        </w:tc>
        <w:tc>
          <w:tcPr>
            <w:tcW w:w="1068" w:type="pct"/>
            <w:vAlign w:val="center"/>
          </w:tcPr>
          <w:p w14:paraId="7B2EEBCC" w14:textId="77777777" w:rsidR="00520F6C" w:rsidRPr="00831C0C" w:rsidRDefault="00520F6C" w:rsidP="00520F6C">
            <w:pPr>
              <w:spacing w:after="0" w:line="240" w:lineRule="auto"/>
              <w:jc w:val="both"/>
              <w:rPr>
                <w:rFonts w:eastAsia="Times New Roman" w:cs="Calibri"/>
                <w:color w:val="000000"/>
                <w:sz w:val="20"/>
                <w:szCs w:val="20"/>
              </w:rPr>
            </w:pPr>
            <w:r>
              <w:rPr>
                <w:rFonts w:eastAsia="Times New Roman" w:cs="Calibri"/>
                <w:color w:val="000000"/>
                <w:sz w:val="20"/>
                <w:szCs w:val="20"/>
              </w:rPr>
              <w:t>Reportes de las empresas beneficiarias.</w:t>
            </w:r>
          </w:p>
        </w:tc>
      </w:tr>
      <w:tr w:rsidR="00520F6C" w:rsidRPr="002A6167" w14:paraId="6AC63FF1" w14:textId="77777777" w:rsidTr="00177228">
        <w:trPr>
          <w:trHeight w:val="481"/>
        </w:trPr>
        <w:tc>
          <w:tcPr>
            <w:tcW w:w="586" w:type="pct"/>
            <w:vAlign w:val="center"/>
          </w:tcPr>
          <w:p w14:paraId="1FC674A4" w14:textId="77777777" w:rsidR="00520F6C" w:rsidRPr="003A3C62" w:rsidRDefault="00520F6C" w:rsidP="00520F6C">
            <w:pPr>
              <w:jc w:val="center"/>
              <w:rPr>
                <w:rFonts w:eastAsia="Times New Roman" w:cs="Calibri"/>
                <w:color w:val="000000"/>
                <w:sz w:val="20"/>
                <w:szCs w:val="20"/>
              </w:rPr>
            </w:pPr>
            <w:r>
              <w:rPr>
                <w:rFonts w:eastAsia="Times New Roman" w:cs="Calibri"/>
                <w:color w:val="000000"/>
                <w:sz w:val="20"/>
                <w:szCs w:val="20"/>
              </w:rPr>
              <w:t>OE3</w:t>
            </w:r>
          </w:p>
        </w:tc>
        <w:tc>
          <w:tcPr>
            <w:tcW w:w="857" w:type="pct"/>
            <w:vAlign w:val="center"/>
          </w:tcPr>
          <w:p w14:paraId="1B75898D" w14:textId="77777777" w:rsidR="00520F6C" w:rsidRPr="003A3C62" w:rsidRDefault="00520F6C" w:rsidP="00520F6C">
            <w:pPr>
              <w:rPr>
                <w:sz w:val="20"/>
                <w:szCs w:val="20"/>
              </w:rPr>
            </w:pPr>
            <w:proofErr w:type="spellStart"/>
            <w:r>
              <w:rPr>
                <w:sz w:val="20"/>
                <w:szCs w:val="20"/>
              </w:rPr>
              <w:t>N°</w:t>
            </w:r>
            <w:proofErr w:type="spellEnd"/>
            <w:r>
              <w:rPr>
                <w:sz w:val="20"/>
                <w:szCs w:val="20"/>
              </w:rPr>
              <w:t xml:space="preserve"> de capacitados.</w:t>
            </w:r>
          </w:p>
        </w:tc>
        <w:tc>
          <w:tcPr>
            <w:tcW w:w="1445" w:type="pct"/>
            <w:vAlign w:val="center"/>
          </w:tcPr>
          <w:p w14:paraId="072AB520" w14:textId="77777777" w:rsidR="00520F6C" w:rsidRPr="00756D76" w:rsidRDefault="00520F6C" w:rsidP="00520F6C">
            <w:pPr>
              <w:spacing w:after="0" w:line="240" w:lineRule="auto"/>
              <w:jc w:val="both"/>
              <w:rPr>
                <w:rFonts w:eastAsia="Times New Roman" w:cs="Calibri"/>
                <w:color w:val="000000"/>
                <w:sz w:val="20"/>
                <w:szCs w:val="20"/>
              </w:rPr>
            </w:pPr>
            <w:r w:rsidRPr="00E607EF">
              <w:rPr>
                <w:rFonts w:eastAsia="Times New Roman" w:cs="Calibri"/>
                <w:color w:val="000000"/>
                <w:sz w:val="20"/>
                <w:szCs w:val="20"/>
              </w:rPr>
              <w:t xml:space="preserve">Mide la cantidad total de participantes en capacitaciones, programas de </w:t>
            </w:r>
            <w:r w:rsidRPr="00E607EF">
              <w:rPr>
                <w:rFonts w:eastAsia="Times New Roman" w:cs="Calibri"/>
                <w:color w:val="000000"/>
                <w:sz w:val="20"/>
                <w:szCs w:val="20"/>
              </w:rPr>
              <w:lastRenderedPageBreak/>
              <w:t>formación y talleres enfocados en la especialización del capital humano para el uso y manejo de tecnologías habilitantes y agricultura de precisión.</w:t>
            </w:r>
          </w:p>
        </w:tc>
        <w:tc>
          <w:tcPr>
            <w:tcW w:w="1044" w:type="pct"/>
            <w:vAlign w:val="center"/>
          </w:tcPr>
          <w:p w14:paraId="0C734A5F" w14:textId="77777777" w:rsidR="00520F6C" w:rsidRPr="00756D76" w:rsidRDefault="00520F6C" w:rsidP="00520F6C">
            <w:pPr>
              <w:spacing w:after="0" w:line="240" w:lineRule="auto"/>
              <w:jc w:val="center"/>
              <w:rPr>
                <w:rFonts w:eastAsia="Times New Roman" w:cs="Calibri"/>
                <w:color w:val="000000"/>
                <w:sz w:val="20"/>
                <w:szCs w:val="20"/>
              </w:rPr>
            </w:pPr>
            <w:proofErr w:type="spellStart"/>
            <w:r>
              <w:rPr>
                <w:rFonts w:eastAsia="Times New Roman" w:cs="Calibri"/>
                <w:color w:val="000000"/>
                <w:sz w:val="20"/>
                <w:szCs w:val="20"/>
              </w:rPr>
              <w:lastRenderedPageBreak/>
              <w:t>N°</w:t>
            </w:r>
            <w:proofErr w:type="spellEnd"/>
            <w:r>
              <w:rPr>
                <w:rFonts w:eastAsia="Times New Roman" w:cs="Calibri"/>
                <w:color w:val="000000"/>
                <w:sz w:val="20"/>
                <w:szCs w:val="20"/>
              </w:rPr>
              <w:t xml:space="preserve"> total de capacitados (Sumatoria de los </w:t>
            </w:r>
            <w:r>
              <w:rPr>
                <w:rFonts w:eastAsia="Times New Roman" w:cs="Calibri"/>
                <w:color w:val="000000"/>
                <w:sz w:val="20"/>
                <w:szCs w:val="20"/>
              </w:rPr>
              <w:lastRenderedPageBreak/>
              <w:t>participantes registrados en cada actividad)</w:t>
            </w:r>
          </w:p>
        </w:tc>
        <w:tc>
          <w:tcPr>
            <w:tcW w:w="1068" w:type="pct"/>
            <w:vAlign w:val="center"/>
          </w:tcPr>
          <w:p w14:paraId="71873341" w14:textId="77777777" w:rsidR="00520F6C" w:rsidRPr="00756D76" w:rsidRDefault="00520F6C" w:rsidP="00520F6C">
            <w:pPr>
              <w:spacing w:after="0" w:line="240" w:lineRule="auto"/>
              <w:jc w:val="both"/>
              <w:rPr>
                <w:rFonts w:eastAsia="Times New Roman" w:cs="Calibri"/>
                <w:color w:val="000000"/>
                <w:sz w:val="20"/>
                <w:szCs w:val="20"/>
              </w:rPr>
            </w:pPr>
            <w:r>
              <w:rPr>
                <w:rFonts w:eastAsia="Times New Roman" w:cs="Calibri"/>
                <w:color w:val="000000"/>
                <w:sz w:val="20"/>
                <w:szCs w:val="20"/>
              </w:rPr>
              <w:lastRenderedPageBreak/>
              <w:t xml:space="preserve">Listas de asistencias, registros fotográficos y encuestas de </w:t>
            </w:r>
            <w:r>
              <w:rPr>
                <w:rFonts w:eastAsia="Times New Roman" w:cs="Calibri"/>
                <w:color w:val="000000"/>
                <w:sz w:val="20"/>
                <w:szCs w:val="20"/>
              </w:rPr>
              <w:lastRenderedPageBreak/>
              <w:t>satisfacción de las actividades.</w:t>
            </w:r>
          </w:p>
        </w:tc>
      </w:tr>
    </w:tbl>
    <w:p w14:paraId="08F008FA" w14:textId="77777777" w:rsidR="00085CE3" w:rsidRPr="00085CE3" w:rsidRDefault="00085CE3" w:rsidP="00085CE3"/>
    <w:p w14:paraId="43F85137" w14:textId="4DCA4A35" w:rsidR="002E7811" w:rsidRDefault="002E7811" w:rsidP="00C75979">
      <w:pPr>
        <w:pStyle w:val="Ttulo1"/>
      </w:pPr>
      <w:bookmarkStart w:id="14" w:name="_Toc215418150"/>
      <w:r>
        <w:t>Co</w:t>
      </w:r>
      <w:r w:rsidR="00E61E01">
        <w:t>mentarios finales</w:t>
      </w:r>
      <w:bookmarkEnd w:id="14"/>
    </w:p>
    <w:p w14:paraId="122C3DDC" w14:textId="44B07A58" w:rsidR="007F4DF4" w:rsidRPr="00C75979" w:rsidRDefault="007F4DF4" w:rsidP="007F4DF4">
      <w:pPr>
        <w:jc w:val="both"/>
      </w:pPr>
      <w:r w:rsidRPr="00C75979">
        <w:t xml:space="preserve">El presente trabajo </w:t>
      </w:r>
      <w:r w:rsidR="00A03A1D">
        <w:t>documen</w:t>
      </w:r>
      <w:r w:rsidR="00FD14B9">
        <w:t>ta</w:t>
      </w:r>
      <w:r w:rsidRPr="00C75979">
        <w:t xml:space="preserve"> el levantamiento de la etapa de validación estratégica del Programa Territorial Integrado (PTI) </w:t>
      </w:r>
      <w:proofErr w:type="spellStart"/>
      <w:r w:rsidRPr="00C75979">
        <w:t>Tecnofruta</w:t>
      </w:r>
      <w:proofErr w:type="spellEnd"/>
      <w:r w:rsidRPr="00C75979">
        <w:t xml:space="preserve"> Biobío), desarrollado por CORFO Biobío, como una experiencia inédita de gestión territorial orientada al fortalecimiento competitivo y sostenible del sector frutícola regional. A partir del estudio de caso y de la revisión de antecedentes institucionales, diagnósticos sectoriales y validaciones participativas, fue posible comprender de manera integral el contexto productivo y los desafíos que enfrenta la fruticultura del Biobío para mantener su posicionamiento en los mercados internacionales y avanzar hacia una mayor sostenibilidad territorial.</w:t>
      </w:r>
      <w:r>
        <w:t xml:space="preserve"> </w:t>
      </w:r>
      <w:r w:rsidRPr="00C75979">
        <w:t xml:space="preserve">La propuesta de formulación del PTI </w:t>
      </w:r>
      <w:proofErr w:type="spellStart"/>
      <w:r w:rsidRPr="00C75979">
        <w:t>Tecnofruta</w:t>
      </w:r>
      <w:proofErr w:type="spellEnd"/>
      <w:r w:rsidRPr="00C75979">
        <w:t xml:space="preserve"> Biobío se construye sobre los aprendizajes obtenidos en esta validación, integrando lineamientos orientados a la digitalización de procesos, la tecnificación productiva, la gestión del recurso hídrico, la formación de capital humano y el fortalecimiento de la gobernanza territorial. Dichos ejes </w:t>
      </w:r>
      <w:r>
        <w:t>convergen a</w:t>
      </w:r>
      <w:r w:rsidRPr="00C75979">
        <w:t xml:space="preserve"> modelo de desarrollo frutícola que articula sostenibilidad económica, social y ambiental, en coherencia con la </w:t>
      </w:r>
      <w:r>
        <w:t xml:space="preserve">Estrategia de Sustentabilidad del Sector Silvoagropecuario y de la Cadena Alimentaria de Chile </w:t>
      </w:r>
      <w:r w:rsidRPr="00C75979">
        <w:t>y los Objetivos de Desarrollo Sostenible (ODS</w:t>
      </w:r>
      <w:r>
        <w:t xml:space="preserve"> 2</w:t>
      </w:r>
      <w:r w:rsidRPr="00C75979">
        <w:t xml:space="preserve"> 8, 9, 12 y 13).</w:t>
      </w:r>
    </w:p>
    <w:p w14:paraId="548B2ACD" w14:textId="2EB66C49" w:rsidR="00842CED" w:rsidRPr="00F84A27" w:rsidRDefault="00842CED" w:rsidP="00842CED">
      <w:pPr>
        <w:jc w:val="both"/>
      </w:pPr>
      <w:r>
        <w:t>L</w:t>
      </w:r>
      <w:r w:rsidRPr="00F84A27">
        <w:t xml:space="preserve">os diagnósticos de los programas Fortalece Pyme Los Ángeles </w:t>
      </w:r>
      <w:r>
        <w:t>e</w:t>
      </w:r>
      <w:r w:rsidRPr="00F84A27">
        <w:t xml:space="preserve"> IFI Recuperación Frutícola permitieron disponer por primera vez, de una caracterización empírica integral del sector frutícola de la Región del Biobío, identificando brechas estructurales en digitalización, tecnificación del riego, infraestructura postcosecha, capital humano especializado y articulación de la cadena de valor. Estos resultados evidenciaron la necesidad de contar con una estrategia territorial de largo plazo que permitiera coordinar actores, integrar esfuerzos públicos y privados y orientar la inversión hacia </w:t>
      </w:r>
      <w:r w:rsidR="00FD14B9">
        <w:t xml:space="preserve">los </w:t>
      </w:r>
      <w:r w:rsidRPr="00F84A27">
        <w:t>desafíos comunes del sector.</w:t>
      </w:r>
    </w:p>
    <w:p w14:paraId="465CBB95" w14:textId="415265B3" w:rsidR="007F4DF4" w:rsidRPr="00C75979" w:rsidRDefault="00FD14B9" w:rsidP="007F4DF4">
      <w:pPr>
        <w:jc w:val="both"/>
      </w:pPr>
      <w:r>
        <w:t>La</w:t>
      </w:r>
      <w:r w:rsidR="007F4DF4" w:rsidRPr="00C75979">
        <w:t xml:space="preserve"> fruticultura regional posee un alto potencial de desarrollo, sustentado en sus condiciones agroclimáticas y en la creciente diversificación de especies con orientación exportadora. Sin embargo, este potencial se ve limitado por brechas estructurales y tecnológicas persistentes, entre ellas la baja adopción de herramientas digitales, la escasa tecnificación del riego, la limitada infraestructura postcosecha, la carencia de capital humano especializado y la débil articulación entre los distintos eslabones de la cadena de valor. Estas limitaciones coinciden con los resultados de los programas Fortalece Pyme Los Ángeles e IFI Recuperación Frutícola, cuyos diagnósticos constituyeron la base empírica de la etapa de validación del PTI.</w:t>
      </w:r>
    </w:p>
    <w:p w14:paraId="79F5CE50" w14:textId="131BD035" w:rsidR="00842CED" w:rsidRPr="00F84A27" w:rsidRDefault="00842CED" w:rsidP="00842CED">
      <w:pPr>
        <w:jc w:val="both"/>
      </w:pPr>
      <w:r w:rsidRPr="00F84A27">
        <w:lastRenderedPageBreak/>
        <w:t>Ante este escenario, CORFO Biobío, en su rol de articulador del desarrollo productivo regional, decidió implementar un Programa Territorial Integrado (PTI) orientado específicamente al fortalecimiento de la fruticultura regional</w:t>
      </w:r>
      <w:r>
        <w:t>.</w:t>
      </w:r>
    </w:p>
    <w:p w14:paraId="65F8DD14" w14:textId="54060EF8" w:rsidR="00842CED" w:rsidRPr="00F84A27" w:rsidRDefault="00842CED" w:rsidP="00842CED">
      <w:pPr>
        <w:jc w:val="both"/>
      </w:pPr>
      <w:r w:rsidRPr="00F84A27">
        <w:t xml:space="preserve">Un aspecto distintivo de esta iniciativa fue que, por primera vez, la Dirección Regional de CORFO Biobío asumió directamente la ejecución de la etapa de validación estratégica, sin externalizar el proceso a una entidad gestora. Esta decisión se sustentó en que la región ya contaba con diagnósticos recientes, consistentes y representativos del sector, </w:t>
      </w:r>
      <w:r w:rsidR="00FD14B9">
        <w:t>que</w:t>
      </w:r>
      <w:r w:rsidRPr="00F84A27">
        <w:t xml:space="preserve"> </w:t>
      </w:r>
      <w:r w:rsidR="00FD14B9">
        <w:t>proporcion</w:t>
      </w:r>
      <w:r w:rsidRPr="00F84A27">
        <w:t>aron información suficiente para definir brechas, oportunidades y líneas de acción prioritarias.</w:t>
      </w:r>
    </w:p>
    <w:p w14:paraId="17463870" w14:textId="77777777" w:rsidR="00842CED" w:rsidRDefault="00842CED" w:rsidP="00842CED">
      <w:pPr>
        <w:jc w:val="both"/>
      </w:pPr>
      <w:r w:rsidRPr="00F84A27">
        <w:t xml:space="preserve">La ejecución interna de esta etapa permitió optimizar recursos, fortalecer las capacidades técnicas del equipo regional y asegurar la coherencia metodológica con los instrumentos previos de fomento, garantizando que la validación estratégica respondiera a la realidad productiva y territorial del Biobío. Así, surge el Programa Territorial Integrado </w:t>
      </w:r>
      <w:proofErr w:type="spellStart"/>
      <w:r w:rsidRPr="00F84A27">
        <w:t>Tecnofruta</w:t>
      </w:r>
      <w:proofErr w:type="spellEnd"/>
      <w:r w:rsidRPr="00F84A27">
        <w:t xml:space="preserve"> Biobío, concebido como un instrumento articulador que integra los aprendizajes acumulados y busca impulsar la competitividad sostenible de la fruticultura regional a través de la coordinación público-privada, la </w:t>
      </w:r>
      <w:r>
        <w:t>transformación</w:t>
      </w:r>
      <w:r w:rsidRPr="00F84A27">
        <w:t xml:space="preserve"> tecnológica y la sostenibilidad como ejes centrales de su gestión.</w:t>
      </w:r>
    </w:p>
    <w:p w14:paraId="33AA82F3" w14:textId="60001D86" w:rsidR="00C75979" w:rsidRPr="00C75979" w:rsidRDefault="00C75979" w:rsidP="00C75979">
      <w:pPr>
        <w:jc w:val="both"/>
      </w:pPr>
      <w:r w:rsidRPr="00C75979">
        <w:t xml:space="preserve">Desde el punto de vista institucional, el proceso analizado representa un avance significativo en la gestión regional de CORFO, al ser la primera experiencia en </w:t>
      </w:r>
      <w:r w:rsidR="00FD14B9">
        <w:t xml:space="preserve">la </w:t>
      </w:r>
      <w:r w:rsidRPr="00C75979">
        <w:t xml:space="preserve">que una dirección regional lidera internamente la etapa de validación estratégica de un PTI sin externalización. Esta decisión permitió fortalecer las capacidades técnicas del equipo regional, asegurar la coherencia metodológica con los instrumentos previos y optimizar los recursos disponibles, </w:t>
      </w:r>
      <w:r w:rsidR="007F4DF4">
        <w:t>l</w:t>
      </w:r>
      <w:r w:rsidR="007F4DF4" w:rsidRPr="00C75979">
        <w:t xml:space="preserve">o </w:t>
      </w:r>
      <w:r w:rsidR="007F4DF4">
        <w:t>que</w:t>
      </w:r>
      <w:r w:rsidRPr="00C75979">
        <w:t xml:space="preserve"> </w:t>
      </w:r>
      <w:r w:rsidR="007F4DF4">
        <w:t>generó</w:t>
      </w:r>
      <w:r w:rsidRPr="00C75979">
        <w:t xml:space="preserve"> </w:t>
      </w:r>
      <w:r w:rsidR="007F4DF4">
        <w:t>una</w:t>
      </w:r>
      <w:r w:rsidRPr="00C75979">
        <w:t xml:space="preserve"> p</w:t>
      </w:r>
      <w:r w:rsidR="007F4DF4">
        <w:t>ráctic</w:t>
      </w:r>
      <w:r w:rsidRPr="00C75979">
        <w:t>a replica</w:t>
      </w:r>
      <w:r w:rsidR="007F4DF4">
        <w:t>bl</w:t>
      </w:r>
      <w:r w:rsidRPr="00C75979">
        <w:t>e en futuros programas territoriales.</w:t>
      </w:r>
    </w:p>
    <w:p w14:paraId="3D2573DB" w14:textId="44003E17" w:rsidR="00C75979" w:rsidRPr="00C75979" w:rsidRDefault="00C75979" w:rsidP="00C75979">
      <w:pPr>
        <w:jc w:val="both"/>
      </w:pPr>
      <w:r w:rsidRPr="00C75979">
        <w:t xml:space="preserve">En términos de contribución, esta tesis aporta una mirada aplicada sobre la relación entre instrumentos de fomento, sostenibilidad y gestión territorial, demostrando que los PTI pueden funcionar como plataformas efectivas para coordinar actores, alinear inversiones y fortalecer cadenas de valor estratégicas en regiones con alto potencial </w:t>
      </w:r>
      <w:proofErr w:type="spellStart"/>
      <w:r w:rsidRPr="00C75979">
        <w:t>agroproductivo</w:t>
      </w:r>
      <w:proofErr w:type="spellEnd"/>
      <w:r w:rsidRPr="00C75979">
        <w:t>. Asimismo, documenta una experiencia replicable para otros territorios, especialmente en contextos donde existen brechas de competitividad, falta de articulación institucional y necesidad de avanzar hacia modelos productivos más sostenibles.</w:t>
      </w:r>
    </w:p>
    <w:p w14:paraId="60DA6821" w14:textId="3F3AB21A" w:rsidR="00C75979" w:rsidRPr="00C75979" w:rsidRDefault="00C75979" w:rsidP="00C75979">
      <w:pPr>
        <w:jc w:val="both"/>
      </w:pPr>
      <w:r w:rsidRPr="00C75979">
        <w:t xml:space="preserve">Finalmente, el caso </w:t>
      </w:r>
      <w:proofErr w:type="spellStart"/>
      <w:r w:rsidRPr="00C75979">
        <w:t>Tecnofruta</w:t>
      </w:r>
      <w:proofErr w:type="spellEnd"/>
      <w:r w:rsidRPr="00C75979">
        <w:t xml:space="preserve"> Biobío pone de relieve que el desarrollo territorial sostenible no depende únicamente de la disponibilidad de recursos o </w:t>
      </w:r>
      <w:r w:rsidR="00FD14B9">
        <w:t xml:space="preserve">de </w:t>
      </w:r>
      <w:r w:rsidRPr="00C75979">
        <w:t xml:space="preserve">infraestructura, sino de la capacidad de generar confianza, colaboración y visión compartida entre los distintos actores del ecosistema. La sostenibilidad, entendida como un proceso de mejora continua y de aprendizaje colectivo, se </w:t>
      </w:r>
      <w:proofErr w:type="gramStart"/>
      <w:r w:rsidRPr="00C75979">
        <w:t>configura</w:t>
      </w:r>
      <w:proofErr w:type="gramEnd"/>
      <w:r w:rsidRPr="00C75979">
        <w:t xml:space="preserve"> así como el principal desafío y, al mismo tiempo, la mayor oportunidad para el futuro del sector frutícola regional.</w:t>
      </w:r>
    </w:p>
    <w:p w14:paraId="584B920A" w14:textId="77777777" w:rsidR="002E7811" w:rsidRPr="00D36FE0" w:rsidRDefault="002E7811" w:rsidP="002E7811">
      <w:pPr>
        <w:jc w:val="both"/>
      </w:pPr>
    </w:p>
    <w:p w14:paraId="67984FAD" w14:textId="77777777" w:rsidR="00506543" w:rsidRDefault="00506543" w:rsidP="003F3438">
      <w:pPr>
        <w:jc w:val="both"/>
        <w:rPr>
          <w:i/>
          <w:iCs/>
        </w:rPr>
      </w:pPr>
    </w:p>
    <w:p w14:paraId="5360C50C" w14:textId="77777777" w:rsidR="00193DA2" w:rsidRDefault="00193DA2" w:rsidP="003F3438">
      <w:pPr>
        <w:jc w:val="both"/>
        <w:rPr>
          <w:i/>
          <w:iCs/>
        </w:rPr>
      </w:pPr>
    </w:p>
    <w:p w14:paraId="7E991B27" w14:textId="77777777" w:rsidR="00193DA2" w:rsidRDefault="00193DA2" w:rsidP="003F3438">
      <w:pPr>
        <w:jc w:val="both"/>
        <w:rPr>
          <w:i/>
          <w:iCs/>
        </w:rPr>
      </w:pPr>
    </w:p>
    <w:p w14:paraId="52A707FB" w14:textId="77777777" w:rsidR="00193DA2" w:rsidRDefault="00193DA2" w:rsidP="003F3438">
      <w:pPr>
        <w:jc w:val="both"/>
        <w:rPr>
          <w:i/>
          <w:iCs/>
        </w:rPr>
      </w:pPr>
    </w:p>
    <w:p w14:paraId="799C5A46" w14:textId="3BFCDBC2" w:rsidR="00352DDB" w:rsidRDefault="00352DDB" w:rsidP="003F3438">
      <w:pPr>
        <w:pStyle w:val="Ttulo1"/>
        <w:jc w:val="both"/>
      </w:pPr>
      <w:bookmarkStart w:id="15" w:name="_Toc215418151"/>
      <w:r>
        <w:lastRenderedPageBreak/>
        <w:t>Referencias</w:t>
      </w:r>
      <w:r w:rsidR="00635A5D">
        <w:t xml:space="preserve"> y Bibliografía</w:t>
      </w:r>
      <w:bookmarkEnd w:id="15"/>
    </w:p>
    <w:p w14:paraId="7D75A554" w14:textId="009D142A" w:rsidR="00337D7A" w:rsidRDefault="00337D7A" w:rsidP="003F3438">
      <w:pPr>
        <w:jc w:val="both"/>
      </w:pPr>
      <w:r w:rsidRPr="00FD24C7">
        <w:rPr>
          <w:b/>
          <w:bCs/>
        </w:rPr>
        <w:t>Corporación de Fomento de la Producción (CORFO), Gerencia de Redes y Territorios. (2022).</w:t>
      </w:r>
      <w:r w:rsidRPr="00FD24C7">
        <w:t xml:space="preserve"> </w:t>
      </w:r>
      <w:r w:rsidRPr="00FD24C7">
        <w:rPr>
          <w:i/>
          <w:iCs/>
        </w:rPr>
        <w:t>Guía metodológica: Programas Territoriales Integrados</w:t>
      </w:r>
      <w:r w:rsidRPr="00FD24C7">
        <w:t>. Unidad de Entorno Territorial y Unidad de Gestión Integral. Santiago de Chile: CORFO. Versión electrónica.</w:t>
      </w:r>
    </w:p>
    <w:p w14:paraId="14C075D6" w14:textId="2C93849C" w:rsidR="00337D7A" w:rsidRDefault="00337D7A" w:rsidP="003F3438">
      <w:pPr>
        <w:jc w:val="both"/>
      </w:pPr>
      <w:r w:rsidRPr="00337D7A">
        <w:rPr>
          <w:b/>
          <w:bCs/>
        </w:rPr>
        <w:t>Oficina de Estudios y Políticas Agrarias (ODEPA) &amp; Centro de Información de Recursos Naturales (CIREN).</w:t>
      </w:r>
      <w:r>
        <w:rPr>
          <w:b/>
          <w:bCs/>
        </w:rPr>
        <w:t xml:space="preserve"> </w:t>
      </w:r>
      <w:r w:rsidRPr="00337D7A">
        <w:rPr>
          <w:b/>
          <w:bCs/>
        </w:rPr>
        <w:t>(2022).</w:t>
      </w:r>
      <w:r w:rsidRPr="00337D7A">
        <w:t xml:space="preserve"> </w:t>
      </w:r>
      <w:r w:rsidRPr="00337D7A">
        <w:rPr>
          <w:i/>
          <w:iCs/>
        </w:rPr>
        <w:t>Catastro frutícola: Principales resultados, Región del Biobío</w:t>
      </w:r>
      <w:r w:rsidRPr="00337D7A">
        <w:t xml:space="preserve">. Ministerio de Agricultura, Gobierno de Chile. </w:t>
      </w:r>
      <w:hyperlink r:id="rId15" w:history="1">
        <w:r w:rsidR="00FB51EE" w:rsidRPr="005D4380">
          <w:rPr>
            <w:rStyle w:val="Hipervnculo"/>
          </w:rPr>
          <w:t>https://www.odepa.gob.cl/publicaciones/catastro-fruticola</w:t>
        </w:r>
      </w:hyperlink>
      <w:r>
        <w:t>.</w:t>
      </w:r>
    </w:p>
    <w:p w14:paraId="62687AD4" w14:textId="21C7588D" w:rsidR="00FB51EE" w:rsidRDefault="00FB51EE" w:rsidP="00603BF8">
      <w:pPr>
        <w:jc w:val="both"/>
      </w:pPr>
      <w:r w:rsidRPr="00FB51EE">
        <w:rPr>
          <w:b/>
          <w:bCs/>
        </w:rPr>
        <w:t>Instituto de Investigaciones Agropecuarias (INIA). (2022).</w:t>
      </w:r>
      <w:r w:rsidRPr="00FB51EE">
        <w:t xml:space="preserve"> </w:t>
      </w:r>
      <w:r w:rsidRPr="00FB51EE">
        <w:rPr>
          <w:i/>
          <w:iCs/>
        </w:rPr>
        <w:t>La fruticultura en la Región del Biobío: Caracterización, producción y mercados</w:t>
      </w:r>
      <w:r w:rsidRPr="00FB51EE">
        <w:t xml:space="preserve"> (Libro INIA N.º 43). Ministerio de Agricultura, Gobierno de Chile. </w:t>
      </w:r>
      <w:hyperlink r:id="rId16" w:tgtFrame="_new" w:history="1">
        <w:r w:rsidRPr="00FB51EE">
          <w:rPr>
            <w:rStyle w:val="Hipervnculo"/>
          </w:rPr>
          <w:t>https://www.inia.cl</w:t>
        </w:r>
      </w:hyperlink>
    </w:p>
    <w:p w14:paraId="779CE86B" w14:textId="413FC870" w:rsidR="00F733D3" w:rsidRDefault="00F733D3" w:rsidP="00603BF8">
      <w:pPr>
        <w:jc w:val="both"/>
        <w:rPr>
          <w:rStyle w:val="Hipervnculo"/>
        </w:rPr>
      </w:pPr>
      <w:r w:rsidRPr="00F733D3">
        <w:rPr>
          <w:b/>
          <w:bCs/>
        </w:rPr>
        <w:t>Oficina de Estudios y Políticas Agrarias (ODEPA). (2023).</w:t>
      </w:r>
      <w:r w:rsidRPr="00F733D3">
        <w:t xml:space="preserve"> </w:t>
      </w:r>
      <w:r w:rsidRPr="00F733D3">
        <w:rPr>
          <w:i/>
          <w:iCs/>
        </w:rPr>
        <w:t>Desafíos del sector silvoagropecuario y de la cadena alimentaria 2023</w:t>
      </w:r>
      <w:r w:rsidRPr="00F733D3">
        <w:t xml:space="preserve">. Ministerio de Agricultura, Gobierno de Chile. </w:t>
      </w:r>
      <w:hyperlink r:id="rId17" w:tgtFrame="_new" w:history="1">
        <w:r w:rsidRPr="00F733D3">
          <w:rPr>
            <w:rStyle w:val="Hipervnculo"/>
          </w:rPr>
          <w:t>https://www.odepa.gob.cl</w:t>
        </w:r>
      </w:hyperlink>
    </w:p>
    <w:p w14:paraId="46F9480E" w14:textId="740B1F86" w:rsidR="005446A4" w:rsidRDefault="005446A4" w:rsidP="00603BF8">
      <w:pPr>
        <w:jc w:val="both"/>
      </w:pPr>
      <w:r w:rsidRPr="005446A4">
        <w:rPr>
          <w:b/>
          <w:bCs/>
        </w:rPr>
        <w:t>Oficina de Estudios y Políticas Agrarias (ODEPA). (2021).</w:t>
      </w:r>
      <w:r w:rsidRPr="005446A4">
        <w:t xml:space="preserve"> </w:t>
      </w:r>
      <w:r w:rsidRPr="005446A4">
        <w:rPr>
          <w:i/>
          <w:iCs/>
        </w:rPr>
        <w:t>Estrategia de sustentabilidad del sector silvoagropecuario y de la cadena alimentaria de Chile</w:t>
      </w:r>
      <w:r w:rsidRPr="005446A4">
        <w:t xml:space="preserve">. Ministerio de Agricultura, Gobierno de Chile. </w:t>
      </w:r>
      <w:hyperlink r:id="rId18" w:tgtFrame="_new" w:history="1">
        <w:r w:rsidRPr="005446A4">
          <w:rPr>
            <w:rStyle w:val="Hipervnculo"/>
          </w:rPr>
          <w:t>https://www.odepa.gob.cl</w:t>
        </w:r>
      </w:hyperlink>
    </w:p>
    <w:p w14:paraId="36385281" w14:textId="7CCEA640" w:rsidR="00F733D3" w:rsidRDefault="00813CF3" w:rsidP="00603BF8">
      <w:pPr>
        <w:jc w:val="both"/>
      </w:pPr>
      <w:r w:rsidRPr="00813CF3">
        <w:rPr>
          <w:b/>
          <w:bCs/>
        </w:rPr>
        <w:t>Fortalece Pyme Los Ángeles. (2024).</w:t>
      </w:r>
      <w:r w:rsidRPr="00813CF3">
        <w:t xml:space="preserve"> </w:t>
      </w:r>
      <w:r w:rsidRPr="00813CF3">
        <w:rPr>
          <w:i/>
          <w:iCs/>
        </w:rPr>
        <w:t>Informe descriptivo de diagnósticos Fortalece Pyme Los Ángeles 2024</w:t>
      </w:r>
      <w:r w:rsidRPr="00813CF3">
        <w:t>. Comité de Desarrollo Productivo Regional Biobío, CORFO.</w:t>
      </w:r>
    </w:p>
    <w:p w14:paraId="1ECCE3CE" w14:textId="636077EE" w:rsidR="002D565A" w:rsidRDefault="002D565A" w:rsidP="00603BF8">
      <w:pPr>
        <w:jc w:val="both"/>
      </w:pPr>
      <w:r w:rsidRPr="002D565A">
        <w:rPr>
          <w:b/>
          <w:bCs/>
        </w:rPr>
        <w:t>Ingenia Sustentable Ltda. (2025).</w:t>
      </w:r>
      <w:r w:rsidRPr="002D565A">
        <w:t xml:space="preserve"> </w:t>
      </w:r>
      <w:r w:rsidRPr="002D565A">
        <w:rPr>
          <w:i/>
          <w:iCs/>
        </w:rPr>
        <w:t>Informe diagnóstico inicial del sector frutícola: Brechas, problemáticas y oportunidades. Programa IFI Emergencia “Recuperación sostenible y resiliente de la actividad frutícola de la macrozona centro-sur”, etapa de formulación</w:t>
      </w:r>
      <w:r w:rsidRPr="002D565A">
        <w:t>. Corporación de Fomento de la Producción (CORFO) – Coordinación CODESSER Biobío.</w:t>
      </w:r>
    </w:p>
    <w:p w14:paraId="63482FE6" w14:textId="11362DB3" w:rsidR="00B13161" w:rsidRDefault="00B13161" w:rsidP="00603BF8">
      <w:pPr>
        <w:jc w:val="both"/>
      </w:pPr>
      <w:r w:rsidRPr="00B13161">
        <w:rPr>
          <w:b/>
          <w:bCs/>
        </w:rPr>
        <w:t xml:space="preserve">Oficina de Estudios y Políticas Agrarias. (s.f.). </w:t>
      </w:r>
      <w:r w:rsidRPr="00B13161">
        <w:rPr>
          <w:i/>
          <w:iCs/>
        </w:rPr>
        <w:t>Chile Potencia Alimentaria 2020</w:t>
      </w:r>
      <w:r w:rsidRPr="00B13161">
        <w:t>. Ministerio de Agricultura, Gobierno de Chile.</w:t>
      </w:r>
    </w:p>
    <w:p w14:paraId="6683D6F6" w14:textId="0210BDD6" w:rsidR="00B13161" w:rsidRDefault="00B13161" w:rsidP="00603BF8">
      <w:pPr>
        <w:jc w:val="both"/>
      </w:pPr>
      <w:r w:rsidRPr="00B13161">
        <w:rPr>
          <w:b/>
          <w:bCs/>
        </w:rPr>
        <w:t>Corporación de Fomento de la Producción</w:t>
      </w:r>
      <w:r>
        <w:rPr>
          <w:b/>
          <w:bCs/>
        </w:rPr>
        <w:t xml:space="preserve"> (CORFO) </w:t>
      </w:r>
      <w:r w:rsidRPr="00B13161">
        <w:rPr>
          <w:b/>
          <w:bCs/>
        </w:rPr>
        <w:t>(2020</w:t>
      </w:r>
      <w:r w:rsidRPr="00B13161">
        <w:t xml:space="preserve">). </w:t>
      </w:r>
      <w:r w:rsidRPr="00B13161">
        <w:rPr>
          <w:i/>
          <w:iCs/>
        </w:rPr>
        <w:t>Hablemos de indicadores: Programas Territoriales Integrados</w:t>
      </w:r>
      <w:r w:rsidRPr="00B13161">
        <w:t>. Unidad de Gestión Integral, Subdirección de Aceleración Territorial.</w:t>
      </w:r>
    </w:p>
    <w:p w14:paraId="574F67C6" w14:textId="435D55B1" w:rsidR="004B578D" w:rsidRDefault="004B578D" w:rsidP="00603BF8">
      <w:pPr>
        <w:jc w:val="both"/>
      </w:pPr>
      <w:r w:rsidRPr="004B578D">
        <w:rPr>
          <w:b/>
          <w:bCs/>
        </w:rPr>
        <w:t>Corporación de Fomento de la Producción</w:t>
      </w:r>
      <w:r>
        <w:rPr>
          <w:b/>
          <w:bCs/>
        </w:rPr>
        <w:t xml:space="preserve"> (CORFO)</w:t>
      </w:r>
      <w:r w:rsidRPr="004B578D">
        <w:rPr>
          <w:b/>
          <w:bCs/>
        </w:rPr>
        <w:t xml:space="preserve"> (s.f.).</w:t>
      </w:r>
      <w:r w:rsidRPr="004B578D">
        <w:t xml:space="preserve"> </w:t>
      </w:r>
      <w:r w:rsidRPr="004B578D">
        <w:rPr>
          <w:i/>
          <w:iCs/>
        </w:rPr>
        <w:t>Guías para la formulación de PTI: Serie 4 – Guía para el diseño de actividades del plan de trabajo de PTI (Periodos 1, 2 y 3)</w:t>
      </w:r>
      <w:r w:rsidRPr="004B578D">
        <w:t>. Unidad de Aceleración Territorial.</w:t>
      </w:r>
    </w:p>
    <w:p w14:paraId="42A29003" w14:textId="77777777" w:rsidR="00337D7A" w:rsidRDefault="00337D7A" w:rsidP="00337D7A">
      <w:pPr>
        <w:jc w:val="both"/>
      </w:pPr>
      <w:hyperlink r:id="rId19" w:history="1">
        <w:r w:rsidRPr="006E658F">
          <w:rPr>
            <w:rStyle w:val="Hipervnculo"/>
          </w:rPr>
          <w:t>https://corfo.cl/sites/cpp/sobrecorfo/</w:t>
        </w:r>
      </w:hyperlink>
      <w:r>
        <w:t xml:space="preserve"> </w:t>
      </w:r>
    </w:p>
    <w:p w14:paraId="717B8C71" w14:textId="77777777" w:rsidR="00337D7A" w:rsidRDefault="00337D7A" w:rsidP="00337D7A">
      <w:pPr>
        <w:jc w:val="both"/>
      </w:pPr>
      <w:hyperlink r:id="rId20" w:history="1">
        <w:r w:rsidRPr="006E658F">
          <w:rPr>
            <w:rStyle w:val="Hipervnculo"/>
          </w:rPr>
          <w:t>https://corfo.cl/sites/cpp/area/desarrollo-territorial/</w:t>
        </w:r>
      </w:hyperlink>
      <w:r>
        <w:t xml:space="preserve"> </w:t>
      </w:r>
    </w:p>
    <w:p w14:paraId="480A5A4C" w14:textId="77777777" w:rsidR="00AC2430" w:rsidRPr="00795218" w:rsidRDefault="00AC2430" w:rsidP="00603BF8">
      <w:pPr>
        <w:jc w:val="both"/>
      </w:pPr>
    </w:p>
    <w:p w14:paraId="743F0BA2" w14:textId="31AE3C64" w:rsidR="00412DE0" w:rsidRDefault="00412DE0" w:rsidP="00603BF8">
      <w:pPr>
        <w:jc w:val="both"/>
        <w:rPr>
          <w:sz w:val="24"/>
          <w:szCs w:val="24"/>
        </w:rPr>
      </w:pPr>
    </w:p>
    <w:p w14:paraId="2804F2ED" w14:textId="77777777" w:rsidR="000207B8" w:rsidRPr="000207B8" w:rsidRDefault="000207B8" w:rsidP="000207B8">
      <w:pPr>
        <w:rPr>
          <w:sz w:val="24"/>
          <w:szCs w:val="24"/>
        </w:rPr>
      </w:pPr>
    </w:p>
    <w:p w14:paraId="13FC4F77" w14:textId="77777777" w:rsidR="000207B8" w:rsidRPr="00A91BCD" w:rsidRDefault="000207B8" w:rsidP="00A91BCD">
      <w:pPr>
        <w:rPr>
          <w:sz w:val="24"/>
          <w:szCs w:val="24"/>
        </w:rPr>
      </w:pPr>
    </w:p>
    <w:p w14:paraId="081874E4" w14:textId="30230E67" w:rsidR="00583914" w:rsidRDefault="00583914" w:rsidP="00583914">
      <w:pPr>
        <w:pStyle w:val="Ttulo1"/>
      </w:pPr>
      <w:bookmarkStart w:id="16" w:name="_Toc215418152"/>
      <w:r>
        <w:lastRenderedPageBreak/>
        <w:t>Anexos:</w:t>
      </w:r>
      <w:bookmarkEnd w:id="16"/>
    </w:p>
    <w:p w14:paraId="32AAEA67" w14:textId="34B7BE9E" w:rsidR="006F5A51" w:rsidRPr="00583914" w:rsidRDefault="001A430C" w:rsidP="00583914">
      <w:pPr>
        <w:rPr>
          <w:b/>
          <w:bCs/>
        </w:rPr>
      </w:pPr>
      <w:r w:rsidRPr="00583914">
        <w:rPr>
          <w:b/>
          <w:bCs/>
        </w:rPr>
        <w:t>Anexo 1</w:t>
      </w:r>
      <w:r w:rsidR="00583914" w:rsidRPr="00583914">
        <w:rPr>
          <w:b/>
          <w:bCs/>
        </w:rPr>
        <w:t>: Modelo de Gobernanza</w:t>
      </w:r>
    </w:p>
    <w:p w14:paraId="5B769196" w14:textId="1508EA86" w:rsidR="001A430C" w:rsidRPr="00583914" w:rsidRDefault="00FD14B9" w:rsidP="001A430C">
      <w:pPr>
        <w:rPr>
          <w:b/>
          <w:bCs/>
          <w:iCs/>
        </w:rPr>
      </w:pPr>
      <w:r>
        <w:rPr>
          <w:b/>
          <w:bCs/>
          <w:iCs/>
        </w:rPr>
        <w:t>Figura A1</w:t>
      </w:r>
      <w:r w:rsidR="001A430C" w:rsidRPr="00583914">
        <w:rPr>
          <w:b/>
          <w:bCs/>
          <w:iCs/>
        </w:rPr>
        <w:t>: Modelo de gobernanza y gestión territorial.</w:t>
      </w:r>
    </w:p>
    <w:p w14:paraId="6EBC146F" w14:textId="77777777" w:rsidR="001A430C" w:rsidRDefault="001A430C" w:rsidP="001A430C">
      <w:r w:rsidRPr="00911839">
        <w:rPr>
          <w:b/>
          <w:bCs/>
          <w:noProof/>
          <w:sz w:val="20"/>
          <w:szCs w:val="20"/>
          <w:lang w:val="es-MX"/>
        </w:rPr>
        <w:drawing>
          <wp:inline distT="0" distB="0" distL="0" distR="0" wp14:anchorId="2C9C753A" wp14:editId="094A0EC3">
            <wp:extent cx="5463553" cy="1889185"/>
            <wp:effectExtent l="0" t="0" r="3810" b="0"/>
            <wp:docPr id="1387793129" name="Imagen 1387793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466032" cy="1890042"/>
                    </a:xfrm>
                    <a:prstGeom prst="rect">
                      <a:avLst/>
                    </a:prstGeom>
                  </pic:spPr>
                </pic:pic>
              </a:graphicData>
            </a:graphic>
          </wp:inline>
        </w:drawing>
      </w:r>
    </w:p>
    <w:p w14:paraId="4068EA93" w14:textId="77777777" w:rsidR="001A430C" w:rsidRDefault="001A430C" w:rsidP="001A430C">
      <w:pPr>
        <w:rPr>
          <w:i/>
          <w:iCs/>
        </w:rPr>
      </w:pPr>
      <w:r w:rsidRPr="0058039B">
        <w:rPr>
          <w:i/>
          <w:iCs/>
        </w:rPr>
        <w:t>Fuente: Elaboración propia.</w:t>
      </w:r>
    </w:p>
    <w:p w14:paraId="13FBD3CF" w14:textId="455B0527" w:rsidR="001A430C" w:rsidRPr="00882032" w:rsidRDefault="00FD14B9" w:rsidP="001A430C">
      <w:pPr>
        <w:rPr>
          <w:b/>
          <w:bCs/>
          <w:lang w:val="es-MX"/>
        </w:rPr>
      </w:pPr>
      <w:r>
        <w:rPr>
          <w:b/>
          <w:bCs/>
          <w:lang w:val="es-MX"/>
        </w:rPr>
        <w:t xml:space="preserve">Tabla A1. </w:t>
      </w:r>
      <w:r w:rsidR="001A430C" w:rsidRPr="00882032">
        <w:rPr>
          <w:b/>
          <w:bCs/>
          <w:lang w:val="es-MX"/>
        </w:rPr>
        <w:t>Definición de roles y responsabilidades de la gobernanza propuesta:</w:t>
      </w:r>
    </w:p>
    <w:tbl>
      <w:tblPr>
        <w:tblW w:w="5000" w:type="pct"/>
        <w:jc w:val="center"/>
        <w:tblBorders>
          <w:top w:val="nil"/>
          <w:left w:val="nil"/>
          <w:bottom w:val="nil"/>
          <w:right w:val="nil"/>
          <w:insideH w:val="nil"/>
          <w:insideV w:val="nil"/>
        </w:tblBorders>
        <w:tblLook w:val="0600" w:firstRow="0" w:lastRow="0" w:firstColumn="0" w:lastColumn="0" w:noHBand="1" w:noVBand="1"/>
      </w:tblPr>
      <w:tblGrid>
        <w:gridCol w:w="2844"/>
        <w:gridCol w:w="5978"/>
      </w:tblGrid>
      <w:tr w:rsidR="001A430C" w14:paraId="1052920B" w14:textId="77777777" w:rsidTr="007D01AA">
        <w:trPr>
          <w:trHeight w:val="435"/>
          <w:jc w:val="center"/>
        </w:trPr>
        <w:tc>
          <w:tcPr>
            <w:tcW w:w="1612"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3EF96DD6" w14:textId="77777777" w:rsidR="001A430C" w:rsidRPr="00244935" w:rsidRDefault="001A430C" w:rsidP="007D01AA">
            <w:pPr>
              <w:spacing w:line="246" w:lineRule="auto"/>
              <w:ind w:right="60"/>
              <w:jc w:val="center"/>
              <w:rPr>
                <w:b/>
              </w:rPr>
            </w:pPr>
            <w:r w:rsidRPr="00244935">
              <w:rPr>
                <w:b/>
              </w:rPr>
              <w:t>Participante</w:t>
            </w:r>
          </w:p>
        </w:tc>
        <w:tc>
          <w:tcPr>
            <w:tcW w:w="3388" w:type="pct"/>
            <w:tcBorders>
              <w:top w:val="single" w:sz="6" w:space="0" w:color="000000"/>
              <w:left w:val="nil"/>
              <w:bottom w:val="single" w:sz="6" w:space="0" w:color="000000"/>
              <w:right w:val="single" w:sz="6" w:space="0" w:color="000000"/>
            </w:tcBorders>
            <w:tcMar>
              <w:top w:w="0" w:type="dxa"/>
              <w:left w:w="100" w:type="dxa"/>
              <w:bottom w:w="0" w:type="dxa"/>
              <w:right w:w="100" w:type="dxa"/>
            </w:tcMar>
          </w:tcPr>
          <w:p w14:paraId="01F78915" w14:textId="77777777" w:rsidR="001A430C" w:rsidRPr="00244935" w:rsidRDefault="001A430C" w:rsidP="007D01AA">
            <w:pPr>
              <w:spacing w:line="246" w:lineRule="auto"/>
              <w:ind w:right="60"/>
              <w:jc w:val="center"/>
              <w:rPr>
                <w:b/>
              </w:rPr>
            </w:pPr>
            <w:r w:rsidRPr="00244935">
              <w:rPr>
                <w:b/>
              </w:rPr>
              <w:t>Rol</w:t>
            </w:r>
          </w:p>
        </w:tc>
      </w:tr>
      <w:tr w:rsidR="001A430C" w14:paraId="1D8DC9C5" w14:textId="77777777" w:rsidTr="007D01AA">
        <w:trPr>
          <w:trHeight w:val="660"/>
          <w:jc w:val="center"/>
        </w:trPr>
        <w:tc>
          <w:tcPr>
            <w:tcW w:w="1612" w:type="pct"/>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AB9784E" w14:textId="77777777" w:rsidR="001A430C" w:rsidRPr="00244935" w:rsidRDefault="001A430C" w:rsidP="007D01AA">
            <w:pPr>
              <w:spacing w:line="246" w:lineRule="auto"/>
              <w:ind w:right="60"/>
            </w:pPr>
            <w:r w:rsidRPr="00244935">
              <w:t>Consejo Directivo</w:t>
            </w:r>
          </w:p>
        </w:tc>
        <w:tc>
          <w:tcPr>
            <w:tcW w:w="3388" w:type="pct"/>
            <w:tcBorders>
              <w:top w:val="nil"/>
              <w:left w:val="nil"/>
              <w:bottom w:val="single" w:sz="6" w:space="0" w:color="000000"/>
              <w:right w:val="single" w:sz="6" w:space="0" w:color="000000"/>
            </w:tcBorders>
            <w:tcMar>
              <w:top w:w="0" w:type="dxa"/>
              <w:left w:w="100" w:type="dxa"/>
              <w:bottom w:w="0" w:type="dxa"/>
              <w:right w:w="100" w:type="dxa"/>
            </w:tcMar>
          </w:tcPr>
          <w:p w14:paraId="48491DAE" w14:textId="77777777" w:rsidR="001A430C" w:rsidRDefault="001A430C" w:rsidP="007D01AA">
            <w:pPr>
              <w:spacing w:line="246" w:lineRule="auto"/>
              <w:ind w:right="60"/>
              <w:jc w:val="both"/>
            </w:pPr>
            <w:r w:rsidRPr="00244935">
              <w:t>Toma de decisiones estratégicas y en la supervisión de la implementación de las políticas y acciones definidas.</w:t>
            </w:r>
          </w:p>
          <w:p w14:paraId="380471C8" w14:textId="77777777" w:rsidR="001A430C" w:rsidRPr="00244935" w:rsidRDefault="001A430C" w:rsidP="007D01AA">
            <w:pPr>
              <w:spacing w:line="246" w:lineRule="auto"/>
              <w:ind w:right="60"/>
              <w:jc w:val="both"/>
            </w:pPr>
            <w:r>
              <w:t>Entidades participantes: CORFO Biobío, 3 entidades representantes del comité público y 3 entidades representantes del comité privado.</w:t>
            </w:r>
          </w:p>
        </w:tc>
      </w:tr>
      <w:tr w:rsidR="001A430C" w14:paraId="6B3FE55F" w14:textId="77777777" w:rsidTr="007D01AA">
        <w:trPr>
          <w:trHeight w:val="660"/>
          <w:jc w:val="center"/>
        </w:trPr>
        <w:tc>
          <w:tcPr>
            <w:tcW w:w="1612" w:type="pct"/>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3824250" w14:textId="77777777" w:rsidR="001A430C" w:rsidRPr="00244935" w:rsidRDefault="001A430C" w:rsidP="007D01AA">
            <w:pPr>
              <w:spacing w:line="246" w:lineRule="auto"/>
              <w:ind w:right="60"/>
            </w:pPr>
            <w:r w:rsidRPr="00244935">
              <w:t>Comité Público</w:t>
            </w:r>
          </w:p>
        </w:tc>
        <w:tc>
          <w:tcPr>
            <w:tcW w:w="3388" w:type="pct"/>
            <w:tcBorders>
              <w:top w:val="nil"/>
              <w:left w:val="nil"/>
              <w:bottom w:val="single" w:sz="6" w:space="0" w:color="000000"/>
              <w:right w:val="single" w:sz="6" w:space="0" w:color="000000"/>
            </w:tcBorders>
            <w:tcMar>
              <w:top w:w="0" w:type="dxa"/>
              <w:left w:w="100" w:type="dxa"/>
              <w:bottom w:w="0" w:type="dxa"/>
              <w:right w:w="100" w:type="dxa"/>
            </w:tcMar>
          </w:tcPr>
          <w:p w14:paraId="1736D64D" w14:textId="77777777" w:rsidR="001A430C" w:rsidRDefault="001A430C" w:rsidP="007D01AA">
            <w:pPr>
              <w:spacing w:line="246" w:lineRule="auto"/>
              <w:ind w:right="60"/>
              <w:jc w:val="both"/>
            </w:pPr>
            <w:r w:rsidRPr="00244935">
              <w:t>Coordinar esfuerzos y recursos públicos en apoyo de la ejecución del programa.</w:t>
            </w:r>
          </w:p>
          <w:p w14:paraId="2DC7F648" w14:textId="77777777" w:rsidR="001A430C" w:rsidRPr="00244935" w:rsidRDefault="001A430C" w:rsidP="007D01AA">
            <w:pPr>
              <w:spacing w:line="246" w:lineRule="auto"/>
              <w:ind w:right="60"/>
              <w:jc w:val="both"/>
            </w:pPr>
            <w:r>
              <w:t xml:space="preserve">Entidades participantes: </w:t>
            </w:r>
            <w:r w:rsidRPr="00AB71C1">
              <w:rPr>
                <w:lang w:val="es-MX"/>
              </w:rPr>
              <w:t>Fundación para la Innovación Agraria (FIA)</w:t>
            </w:r>
            <w:r>
              <w:rPr>
                <w:lang w:val="es-MX"/>
              </w:rPr>
              <w:t xml:space="preserve">, Ministerio de Agricultura, Gobierno Regional del Biobío, Instituto de Desarrollo Agropecuario (INDAP), Servicio Agrícola y Ganadero (SAG), Comisión Nacional de Riego, </w:t>
            </w:r>
          </w:p>
        </w:tc>
      </w:tr>
      <w:tr w:rsidR="001A430C" w14:paraId="33C229ED" w14:textId="77777777" w:rsidTr="007D01AA">
        <w:trPr>
          <w:trHeight w:val="660"/>
          <w:jc w:val="center"/>
        </w:trPr>
        <w:tc>
          <w:tcPr>
            <w:tcW w:w="1612" w:type="pct"/>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D4F56B7" w14:textId="77777777" w:rsidR="001A430C" w:rsidRPr="00244935" w:rsidRDefault="001A430C" w:rsidP="007D01AA">
            <w:pPr>
              <w:spacing w:line="246" w:lineRule="auto"/>
              <w:ind w:right="60"/>
            </w:pPr>
            <w:r w:rsidRPr="00244935">
              <w:t>Comité Privado</w:t>
            </w:r>
          </w:p>
        </w:tc>
        <w:tc>
          <w:tcPr>
            <w:tcW w:w="3388" w:type="pct"/>
            <w:tcBorders>
              <w:top w:val="nil"/>
              <w:left w:val="nil"/>
              <w:bottom w:val="single" w:sz="6" w:space="0" w:color="000000"/>
              <w:right w:val="single" w:sz="6" w:space="0" w:color="000000"/>
            </w:tcBorders>
            <w:tcMar>
              <w:top w:w="0" w:type="dxa"/>
              <w:left w:w="100" w:type="dxa"/>
              <w:bottom w:w="0" w:type="dxa"/>
              <w:right w:w="100" w:type="dxa"/>
            </w:tcMar>
          </w:tcPr>
          <w:p w14:paraId="37BE5EDB" w14:textId="77777777" w:rsidR="001A430C" w:rsidRDefault="001A430C" w:rsidP="007D01AA">
            <w:pPr>
              <w:spacing w:line="246" w:lineRule="auto"/>
              <w:ind w:right="60"/>
              <w:jc w:val="both"/>
            </w:pPr>
            <w:r w:rsidRPr="00244935">
              <w:t>Coordinar esfuerzos y recursos privados en apoyo de la ejecución del programa.</w:t>
            </w:r>
          </w:p>
          <w:p w14:paraId="1D49D020" w14:textId="77777777" w:rsidR="001A430C" w:rsidRPr="00244935" w:rsidRDefault="001A430C" w:rsidP="007D01AA">
            <w:pPr>
              <w:spacing w:line="246" w:lineRule="auto"/>
              <w:ind w:right="60"/>
              <w:jc w:val="both"/>
            </w:pPr>
            <w:r>
              <w:t xml:space="preserve">Entidades participantes: Instituto de Investigaciones Agropecuarias (INIA </w:t>
            </w:r>
            <w:proofErr w:type="spellStart"/>
            <w:r>
              <w:t>Quilamapu</w:t>
            </w:r>
            <w:proofErr w:type="spellEnd"/>
            <w:r>
              <w:t xml:space="preserve">), </w:t>
            </w:r>
            <w:r w:rsidRPr="00AB71C1">
              <w:t>Asociación de exportadores de frutas de Chile AG</w:t>
            </w:r>
            <w:r>
              <w:t xml:space="preserve">, </w:t>
            </w:r>
            <w:r w:rsidRPr="00AB71C1">
              <w:t xml:space="preserve">Sociedad Agrícola de Bio </w:t>
            </w:r>
            <w:proofErr w:type="spellStart"/>
            <w:r w:rsidRPr="00AB71C1">
              <w:t>Bio</w:t>
            </w:r>
            <w:proofErr w:type="spellEnd"/>
            <w:r w:rsidRPr="00AB71C1">
              <w:t xml:space="preserve"> A.G</w:t>
            </w:r>
            <w:r>
              <w:t xml:space="preserve">, Fundación GTT, </w:t>
            </w:r>
            <w:proofErr w:type="spellStart"/>
            <w:r>
              <w:t>Aproberries</w:t>
            </w:r>
            <w:proofErr w:type="spellEnd"/>
            <w:r>
              <w:t xml:space="preserve"> A.G, </w:t>
            </w:r>
            <w:r w:rsidRPr="00AB71C1">
              <w:t>Instituto Nacional de Capacitación Profesional (INACAP)</w:t>
            </w:r>
            <w:r>
              <w:t xml:space="preserve">, </w:t>
            </w:r>
            <w:r w:rsidRPr="00AB71C1">
              <w:t>Centro de Desarrollo Tecnológico Agroindustrial (CDTA) de la Universidad de Concepción</w:t>
            </w:r>
            <w:r>
              <w:t xml:space="preserve">, </w:t>
            </w:r>
            <w:r w:rsidRPr="00AB71C1">
              <w:t xml:space="preserve">Liceo Agrícola El </w:t>
            </w:r>
            <w:proofErr w:type="spellStart"/>
            <w:r w:rsidRPr="00AB71C1">
              <w:t>Huerton</w:t>
            </w:r>
            <w:proofErr w:type="spellEnd"/>
            <w:r>
              <w:t xml:space="preserve"> y </w:t>
            </w:r>
            <w:proofErr w:type="spellStart"/>
            <w:r>
              <w:t>AgroTech</w:t>
            </w:r>
            <w:proofErr w:type="spellEnd"/>
            <w:r>
              <w:t xml:space="preserve"> Chile.</w:t>
            </w:r>
          </w:p>
        </w:tc>
      </w:tr>
      <w:tr w:rsidR="001A430C" w14:paraId="3BE9FFB3" w14:textId="77777777" w:rsidTr="007D01AA">
        <w:trPr>
          <w:trHeight w:val="660"/>
          <w:jc w:val="center"/>
        </w:trPr>
        <w:tc>
          <w:tcPr>
            <w:tcW w:w="1612" w:type="pct"/>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ACF3BD2" w14:textId="77777777" w:rsidR="001A430C" w:rsidRPr="00244935" w:rsidRDefault="001A430C" w:rsidP="007D01AA">
            <w:pPr>
              <w:spacing w:line="246" w:lineRule="auto"/>
              <w:ind w:right="60"/>
            </w:pPr>
            <w:r w:rsidRPr="00244935">
              <w:lastRenderedPageBreak/>
              <w:t>Gestor/a del Proyecto</w:t>
            </w:r>
          </w:p>
        </w:tc>
        <w:tc>
          <w:tcPr>
            <w:tcW w:w="3388" w:type="pct"/>
            <w:tcBorders>
              <w:top w:val="nil"/>
              <w:left w:val="nil"/>
              <w:bottom w:val="single" w:sz="6" w:space="0" w:color="000000"/>
              <w:right w:val="single" w:sz="6" w:space="0" w:color="000000"/>
            </w:tcBorders>
            <w:tcMar>
              <w:top w:w="0" w:type="dxa"/>
              <w:left w:w="100" w:type="dxa"/>
              <w:bottom w:w="0" w:type="dxa"/>
              <w:right w:w="100" w:type="dxa"/>
            </w:tcMar>
          </w:tcPr>
          <w:p w14:paraId="3B36AF25" w14:textId="77777777" w:rsidR="001A430C" w:rsidRPr="00244935" w:rsidRDefault="001A430C" w:rsidP="007D01AA">
            <w:pPr>
              <w:spacing w:line="246" w:lineRule="auto"/>
              <w:ind w:right="60"/>
              <w:jc w:val="both"/>
            </w:pPr>
            <w:r w:rsidRPr="00244935">
              <w:t>Coordinar, implementar y realizar seguimiento de las acciones definidas en el marco del programa.</w:t>
            </w:r>
          </w:p>
        </w:tc>
      </w:tr>
      <w:tr w:rsidR="001A430C" w14:paraId="15925915" w14:textId="77777777" w:rsidTr="007D01AA">
        <w:trPr>
          <w:trHeight w:val="885"/>
          <w:jc w:val="center"/>
        </w:trPr>
        <w:tc>
          <w:tcPr>
            <w:tcW w:w="1612" w:type="pct"/>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B034707" w14:textId="77777777" w:rsidR="001A430C" w:rsidRPr="00244935" w:rsidRDefault="001A430C" w:rsidP="007D01AA">
            <w:pPr>
              <w:spacing w:line="246" w:lineRule="auto"/>
              <w:ind w:right="60"/>
            </w:pPr>
            <w:r w:rsidRPr="00244935">
              <w:t>Ejecutivo/a Técnico/a</w:t>
            </w:r>
          </w:p>
        </w:tc>
        <w:tc>
          <w:tcPr>
            <w:tcW w:w="3388" w:type="pct"/>
            <w:tcBorders>
              <w:top w:val="nil"/>
              <w:left w:val="nil"/>
              <w:bottom w:val="single" w:sz="6" w:space="0" w:color="000000"/>
              <w:right w:val="single" w:sz="6" w:space="0" w:color="000000"/>
            </w:tcBorders>
            <w:tcMar>
              <w:top w:w="0" w:type="dxa"/>
              <w:left w:w="100" w:type="dxa"/>
              <w:bottom w:w="0" w:type="dxa"/>
              <w:right w:w="100" w:type="dxa"/>
            </w:tcMar>
          </w:tcPr>
          <w:p w14:paraId="67C89894" w14:textId="77777777" w:rsidR="001A430C" w:rsidRPr="00244935" w:rsidRDefault="001A430C" w:rsidP="007D01AA">
            <w:pPr>
              <w:spacing w:line="246" w:lineRule="auto"/>
              <w:ind w:right="60"/>
              <w:jc w:val="both"/>
            </w:pPr>
            <w:r w:rsidRPr="00244935">
              <w:t>Apoyar al gestor en la gestión y coordinación de las actividades del proyecto, asegurando el cumplimiento de los objetivos estratégicos definidos en el programa.</w:t>
            </w:r>
          </w:p>
        </w:tc>
      </w:tr>
      <w:tr w:rsidR="001A430C" w14:paraId="15D51692" w14:textId="77777777" w:rsidTr="007D01AA">
        <w:trPr>
          <w:trHeight w:val="660"/>
          <w:jc w:val="center"/>
        </w:trPr>
        <w:tc>
          <w:tcPr>
            <w:tcW w:w="1612" w:type="pct"/>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A704303" w14:textId="77777777" w:rsidR="001A430C" w:rsidRPr="00244935" w:rsidRDefault="001A430C" w:rsidP="007D01AA">
            <w:pPr>
              <w:spacing w:line="246" w:lineRule="auto"/>
              <w:ind w:right="60"/>
            </w:pPr>
            <w:r w:rsidRPr="00244935">
              <w:rPr>
                <w:color w:val="000000"/>
              </w:rPr>
              <w:t>Mesa de Capital Humano y Gestión Administrativa</w:t>
            </w:r>
          </w:p>
        </w:tc>
        <w:tc>
          <w:tcPr>
            <w:tcW w:w="3388" w:type="pct"/>
            <w:tcBorders>
              <w:top w:val="nil"/>
              <w:left w:val="nil"/>
              <w:bottom w:val="single" w:sz="6" w:space="0" w:color="000000"/>
              <w:right w:val="single" w:sz="6" w:space="0" w:color="000000"/>
            </w:tcBorders>
            <w:tcMar>
              <w:top w:w="0" w:type="dxa"/>
              <w:left w:w="100" w:type="dxa"/>
              <w:bottom w:w="0" w:type="dxa"/>
              <w:right w:w="100" w:type="dxa"/>
            </w:tcMar>
          </w:tcPr>
          <w:p w14:paraId="2FC78F66" w14:textId="77777777" w:rsidR="001A430C" w:rsidRPr="00244935" w:rsidRDefault="001A430C" w:rsidP="007D01AA">
            <w:pPr>
              <w:spacing w:line="246" w:lineRule="auto"/>
              <w:ind w:right="60"/>
              <w:jc w:val="both"/>
            </w:pPr>
            <w:r w:rsidRPr="00244935">
              <w:t>Impulsará la formación y el acompañamiento en gestión administrativa y digitalización de registros prediales. Coordinará capacitaciones, asesorías y buenas prácticas para fortalecer las capacidades de los equipos agrícolas.</w:t>
            </w:r>
          </w:p>
        </w:tc>
      </w:tr>
      <w:tr w:rsidR="001A430C" w14:paraId="21DF62E6" w14:textId="77777777" w:rsidTr="007D01AA">
        <w:trPr>
          <w:trHeight w:val="660"/>
          <w:jc w:val="center"/>
        </w:trPr>
        <w:tc>
          <w:tcPr>
            <w:tcW w:w="1612" w:type="pct"/>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ACFA2B3" w14:textId="77777777" w:rsidR="001A430C" w:rsidRPr="00244935" w:rsidRDefault="001A430C" w:rsidP="007D01AA">
            <w:pPr>
              <w:spacing w:line="246" w:lineRule="auto"/>
              <w:ind w:right="60"/>
            </w:pPr>
            <w:r w:rsidRPr="00244935">
              <w:t>Mesa de Transferencia Tecnológica</w:t>
            </w:r>
          </w:p>
        </w:tc>
        <w:tc>
          <w:tcPr>
            <w:tcW w:w="3388" w:type="pct"/>
            <w:tcBorders>
              <w:top w:val="nil"/>
              <w:left w:val="nil"/>
              <w:bottom w:val="single" w:sz="6" w:space="0" w:color="000000"/>
              <w:right w:val="single" w:sz="6" w:space="0" w:color="000000"/>
            </w:tcBorders>
            <w:tcMar>
              <w:top w:w="0" w:type="dxa"/>
              <w:left w:w="100" w:type="dxa"/>
              <w:bottom w:w="0" w:type="dxa"/>
              <w:right w:w="100" w:type="dxa"/>
            </w:tcMar>
          </w:tcPr>
          <w:p w14:paraId="7AA187B0" w14:textId="77777777" w:rsidR="001A430C" w:rsidRPr="00244935" w:rsidRDefault="001A430C" w:rsidP="007D01AA">
            <w:pPr>
              <w:spacing w:line="246" w:lineRule="auto"/>
              <w:ind w:right="60"/>
              <w:jc w:val="both"/>
            </w:pPr>
            <w:r w:rsidRPr="00244935">
              <w:t xml:space="preserve">Focalizada en la promoción, adaptación e implementación de tecnologías habilitantes. Diseñará pilotos demostrativos y gestionará vínculos con centros de I+D y empresas </w:t>
            </w:r>
            <w:proofErr w:type="spellStart"/>
            <w:r w:rsidRPr="00244935">
              <w:t>AgTech</w:t>
            </w:r>
            <w:proofErr w:type="spellEnd"/>
            <w:r w:rsidRPr="00244935">
              <w:t>.</w:t>
            </w:r>
          </w:p>
        </w:tc>
      </w:tr>
      <w:tr w:rsidR="001A430C" w14:paraId="0D6666E5" w14:textId="77777777" w:rsidTr="007D01AA">
        <w:trPr>
          <w:trHeight w:val="660"/>
          <w:jc w:val="center"/>
        </w:trPr>
        <w:tc>
          <w:tcPr>
            <w:tcW w:w="1612" w:type="pct"/>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1E1E40E" w14:textId="77777777" w:rsidR="001A430C" w:rsidRPr="00244935" w:rsidRDefault="001A430C" w:rsidP="007D01AA">
            <w:pPr>
              <w:spacing w:line="246" w:lineRule="auto"/>
              <w:ind w:right="60"/>
            </w:pPr>
            <w:r w:rsidRPr="00244935">
              <w:t>Mesa de Asociatividad</w:t>
            </w:r>
          </w:p>
        </w:tc>
        <w:tc>
          <w:tcPr>
            <w:tcW w:w="3388" w:type="pct"/>
            <w:tcBorders>
              <w:top w:val="nil"/>
              <w:left w:val="nil"/>
              <w:bottom w:val="single" w:sz="6" w:space="0" w:color="000000"/>
              <w:right w:val="single" w:sz="6" w:space="0" w:color="000000"/>
            </w:tcBorders>
            <w:tcMar>
              <w:top w:w="0" w:type="dxa"/>
              <w:left w:w="100" w:type="dxa"/>
              <w:bottom w:w="0" w:type="dxa"/>
              <w:right w:w="100" w:type="dxa"/>
            </w:tcMar>
          </w:tcPr>
          <w:p w14:paraId="21F6A00A" w14:textId="77777777" w:rsidR="001A430C" w:rsidRPr="00244935" w:rsidRDefault="001A430C" w:rsidP="007D01AA">
            <w:pPr>
              <w:spacing w:line="246" w:lineRule="auto"/>
              <w:ind w:right="60"/>
              <w:jc w:val="both"/>
            </w:pPr>
            <w:r w:rsidRPr="00244935">
              <w:t>Orientada a promover y generar redes de colaboración entre los diferentes actores y apoyo para la ejecución de las actividades que permitan crear proyectos, instancias e iniciativas colaborativas.</w:t>
            </w:r>
          </w:p>
        </w:tc>
      </w:tr>
      <w:tr w:rsidR="001A430C" w14:paraId="40E170AD" w14:textId="77777777" w:rsidTr="007D01AA">
        <w:trPr>
          <w:trHeight w:val="885"/>
          <w:jc w:val="center"/>
        </w:trPr>
        <w:tc>
          <w:tcPr>
            <w:tcW w:w="1612" w:type="pct"/>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C8608B4" w14:textId="77777777" w:rsidR="001A430C" w:rsidRPr="00244935" w:rsidRDefault="001A430C" w:rsidP="007D01AA">
            <w:pPr>
              <w:spacing w:line="246" w:lineRule="auto"/>
              <w:ind w:right="60"/>
            </w:pPr>
            <w:r w:rsidRPr="00244935">
              <w:t>Mesa de Sostenibilidad</w:t>
            </w:r>
          </w:p>
        </w:tc>
        <w:tc>
          <w:tcPr>
            <w:tcW w:w="3388" w:type="pct"/>
            <w:tcBorders>
              <w:top w:val="nil"/>
              <w:left w:val="nil"/>
              <w:bottom w:val="single" w:sz="6" w:space="0" w:color="000000"/>
              <w:right w:val="single" w:sz="6" w:space="0" w:color="000000"/>
            </w:tcBorders>
            <w:tcMar>
              <w:top w:w="0" w:type="dxa"/>
              <w:left w:w="100" w:type="dxa"/>
              <w:bottom w:w="0" w:type="dxa"/>
              <w:right w:w="100" w:type="dxa"/>
            </w:tcMar>
          </w:tcPr>
          <w:p w14:paraId="2D08ACFF" w14:textId="77777777" w:rsidR="001A430C" w:rsidRPr="00244935" w:rsidRDefault="001A430C" w:rsidP="007D01AA">
            <w:pPr>
              <w:spacing w:line="246" w:lineRule="auto"/>
              <w:ind w:right="60"/>
              <w:jc w:val="both"/>
            </w:pPr>
            <w:r w:rsidRPr="00244935">
              <w:t>Encargada de integrar criterios de sostenibilidad en las acciones del PTI, incluyendo eficiencia en el uso de recursos hídricos y energéticos, adaptación al cambio climático y prácticas agrícolas respetuosas con el entorno y las comunidades rurales.</w:t>
            </w:r>
          </w:p>
        </w:tc>
      </w:tr>
    </w:tbl>
    <w:p w14:paraId="23AC85F9" w14:textId="77777777" w:rsidR="001A430C" w:rsidRPr="00244935" w:rsidRDefault="001A430C" w:rsidP="001A430C"/>
    <w:p w14:paraId="167AFC6E" w14:textId="79BB330A" w:rsidR="00565F7E" w:rsidRDefault="00565F7E" w:rsidP="00583914">
      <w:pPr>
        <w:rPr>
          <w:b/>
          <w:bCs/>
        </w:rPr>
      </w:pPr>
      <w:r>
        <w:rPr>
          <w:b/>
          <w:bCs/>
        </w:rPr>
        <w:t>Anexo 2: Reunión validación de brechas</w:t>
      </w:r>
    </w:p>
    <w:p w14:paraId="50D18FAB" w14:textId="701FEA66" w:rsidR="004A5E1B" w:rsidRDefault="00E26824" w:rsidP="00583914">
      <w:pPr>
        <w:rPr>
          <w:b/>
          <w:bCs/>
        </w:rPr>
      </w:pPr>
      <w:r w:rsidRPr="00E26824">
        <w:rPr>
          <w:b/>
          <w:bCs/>
          <w:noProof/>
        </w:rPr>
        <w:drawing>
          <wp:inline distT="0" distB="0" distL="0" distR="0" wp14:anchorId="13704AE3" wp14:editId="299EC6BC">
            <wp:extent cx="5612130" cy="2767330"/>
            <wp:effectExtent l="0" t="0" r="7620" b="0"/>
            <wp:docPr id="1141910792" name="Imagen 1" descr="Captura de pantalla de un celular con la foto de un hombre&#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910792" name="Imagen 1" descr="Captura de pantalla de un celular con la foto de un hombre&#10;&#10;El contenido generado por IA puede ser incorrecto."/>
                    <pic:cNvPicPr/>
                  </pic:nvPicPr>
                  <pic:blipFill>
                    <a:blip r:embed="rId22"/>
                    <a:stretch>
                      <a:fillRect/>
                    </a:stretch>
                  </pic:blipFill>
                  <pic:spPr>
                    <a:xfrm>
                      <a:off x="0" y="0"/>
                      <a:ext cx="5612130" cy="2767330"/>
                    </a:xfrm>
                    <a:prstGeom prst="rect">
                      <a:avLst/>
                    </a:prstGeom>
                  </pic:spPr>
                </pic:pic>
              </a:graphicData>
            </a:graphic>
          </wp:inline>
        </w:drawing>
      </w:r>
    </w:p>
    <w:p w14:paraId="2013C91D" w14:textId="77777777" w:rsidR="00FD14B9" w:rsidRDefault="00FD14B9" w:rsidP="00583914">
      <w:pPr>
        <w:rPr>
          <w:b/>
          <w:bCs/>
        </w:rPr>
      </w:pPr>
    </w:p>
    <w:p w14:paraId="7FEF0A45" w14:textId="77777777" w:rsidR="00FD14B9" w:rsidRDefault="00FD14B9" w:rsidP="00583914">
      <w:pPr>
        <w:rPr>
          <w:b/>
          <w:bCs/>
        </w:rPr>
      </w:pPr>
    </w:p>
    <w:p w14:paraId="451C7F2F" w14:textId="4B0AFF40" w:rsidR="00583914" w:rsidRPr="00583914" w:rsidRDefault="00583914" w:rsidP="00583914">
      <w:pPr>
        <w:rPr>
          <w:b/>
          <w:bCs/>
        </w:rPr>
      </w:pPr>
      <w:r w:rsidRPr="00583914">
        <w:rPr>
          <w:b/>
          <w:bCs/>
        </w:rPr>
        <w:lastRenderedPageBreak/>
        <w:t xml:space="preserve">Anexo </w:t>
      </w:r>
      <w:r w:rsidR="00565F7E">
        <w:rPr>
          <w:b/>
          <w:bCs/>
        </w:rPr>
        <w:t>3</w:t>
      </w:r>
      <w:r w:rsidRPr="00583914">
        <w:rPr>
          <w:b/>
          <w:bCs/>
        </w:rPr>
        <w:t>: Plan de coordinación e implementación del primer año</w:t>
      </w:r>
    </w:p>
    <w:tbl>
      <w:tblPr>
        <w:tblW w:w="497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52"/>
        <w:gridCol w:w="1627"/>
        <w:gridCol w:w="6105"/>
      </w:tblGrid>
      <w:tr w:rsidR="00583914" w:rsidRPr="00D37827" w14:paraId="6EF6FCB8" w14:textId="77777777" w:rsidTr="00E05A7F">
        <w:trPr>
          <w:trHeight w:val="284"/>
          <w:tblHeader/>
        </w:trPr>
        <w:tc>
          <w:tcPr>
            <w:tcW w:w="599" w:type="pct"/>
            <w:vAlign w:val="center"/>
          </w:tcPr>
          <w:p w14:paraId="71480B82" w14:textId="77777777" w:rsidR="00583914" w:rsidRPr="00D37827" w:rsidRDefault="00583914" w:rsidP="00E05A7F">
            <w:pPr>
              <w:spacing w:after="0" w:line="240" w:lineRule="auto"/>
              <w:ind w:left="81"/>
              <w:jc w:val="center"/>
              <w:rPr>
                <w:rFonts w:cstheme="minorHAnsi"/>
                <w:i/>
              </w:rPr>
            </w:pPr>
            <w:r>
              <w:rPr>
                <w:rFonts w:eastAsia="Times New Roman" w:cstheme="minorHAnsi"/>
                <w:b/>
                <w:bCs/>
                <w:color w:val="000000"/>
              </w:rPr>
              <w:t>Objetivo asociado</w:t>
            </w:r>
          </w:p>
        </w:tc>
        <w:tc>
          <w:tcPr>
            <w:tcW w:w="926" w:type="pct"/>
            <w:vAlign w:val="center"/>
          </w:tcPr>
          <w:p w14:paraId="73EE6778" w14:textId="77777777" w:rsidR="00583914" w:rsidRPr="00D37827" w:rsidRDefault="00583914" w:rsidP="00E05A7F">
            <w:pPr>
              <w:spacing w:after="0" w:line="240" w:lineRule="auto"/>
              <w:ind w:left="81"/>
              <w:jc w:val="center"/>
              <w:rPr>
                <w:rFonts w:cstheme="minorHAnsi"/>
                <w:i/>
              </w:rPr>
            </w:pPr>
            <w:r w:rsidRPr="00D37827">
              <w:rPr>
                <w:rFonts w:eastAsia="Times New Roman" w:cstheme="minorHAnsi"/>
                <w:b/>
                <w:bCs/>
                <w:color w:val="000000"/>
              </w:rPr>
              <w:t>A</w:t>
            </w:r>
            <w:r>
              <w:rPr>
                <w:rFonts w:eastAsia="Times New Roman" w:cstheme="minorHAnsi"/>
                <w:b/>
                <w:bCs/>
                <w:color w:val="000000"/>
              </w:rPr>
              <w:t>ctividad</w:t>
            </w:r>
          </w:p>
        </w:tc>
        <w:tc>
          <w:tcPr>
            <w:tcW w:w="3475" w:type="pct"/>
            <w:vAlign w:val="center"/>
          </w:tcPr>
          <w:p w14:paraId="1C046081" w14:textId="77777777" w:rsidR="00583914" w:rsidRPr="00D37827" w:rsidRDefault="00583914" w:rsidP="00E05A7F">
            <w:pPr>
              <w:spacing w:after="0" w:line="240" w:lineRule="auto"/>
              <w:ind w:left="81"/>
              <w:jc w:val="center"/>
              <w:rPr>
                <w:rFonts w:cstheme="minorHAnsi"/>
                <w:i/>
              </w:rPr>
            </w:pPr>
            <w:r>
              <w:rPr>
                <w:rFonts w:eastAsia="Times New Roman" w:cstheme="minorHAnsi"/>
                <w:b/>
                <w:bCs/>
                <w:color w:val="000000"/>
              </w:rPr>
              <w:t>Descripción de la actividad</w:t>
            </w:r>
          </w:p>
        </w:tc>
      </w:tr>
      <w:tr w:rsidR="00583914" w:rsidRPr="00D37827" w14:paraId="06B760BD" w14:textId="77777777" w:rsidTr="00E05A7F">
        <w:trPr>
          <w:trHeight w:val="218"/>
        </w:trPr>
        <w:tc>
          <w:tcPr>
            <w:tcW w:w="599" w:type="pct"/>
            <w:vAlign w:val="center"/>
          </w:tcPr>
          <w:p w14:paraId="144A001B" w14:textId="77777777" w:rsidR="00583914" w:rsidRPr="00D37827" w:rsidRDefault="00583914" w:rsidP="00E05A7F">
            <w:pPr>
              <w:spacing w:after="0" w:line="240" w:lineRule="auto"/>
              <w:ind w:left="81"/>
              <w:jc w:val="center"/>
              <w:rPr>
                <w:rFonts w:cstheme="minorHAnsi"/>
                <w:i/>
              </w:rPr>
            </w:pPr>
            <w:r w:rsidRPr="00D37827">
              <w:rPr>
                <w:rFonts w:cstheme="minorHAnsi"/>
                <w:i/>
              </w:rPr>
              <w:t>OE1</w:t>
            </w:r>
          </w:p>
        </w:tc>
        <w:tc>
          <w:tcPr>
            <w:tcW w:w="926" w:type="pct"/>
            <w:vAlign w:val="center"/>
          </w:tcPr>
          <w:p w14:paraId="75F2B697" w14:textId="77777777" w:rsidR="00583914" w:rsidRPr="00D37827" w:rsidRDefault="00583914" w:rsidP="00E05A7F">
            <w:pPr>
              <w:spacing w:after="0" w:line="240" w:lineRule="auto"/>
              <w:ind w:left="81"/>
              <w:jc w:val="both"/>
              <w:rPr>
                <w:rFonts w:cstheme="minorHAnsi"/>
                <w:iCs/>
              </w:rPr>
            </w:pPr>
            <w:r w:rsidRPr="00D37827">
              <w:rPr>
                <w:rFonts w:cstheme="minorHAnsi"/>
                <w:iCs/>
              </w:rPr>
              <w:t>Pilotos demostrativos de tecnologías habilitantes.</w:t>
            </w:r>
          </w:p>
        </w:tc>
        <w:tc>
          <w:tcPr>
            <w:tcW w:w="3475" w:type="pct"/>
            <w:vAlign w:val="center"/>
          </w:tcPr>
          <w:p w14:paraId="7B53B431" w14:textId="77777777" w:rsidR="00583914" w:rsidRPr="00D37827" w:rsidRDefault="00583914" w:rsidP="00E05A7F">
            <w:pPr>
              <w:spacing w:after="0" w:line="240" w:lineRule="auto"/>
              <w:jc w:val="both"/>
              <w:rPr>
                <w:rFonts w:cstheme="minorHAnsi"/>
                <w:iCs/>
              </w:rPr>
            </w:pPr>
            <w:r w:rsidRPr="00D37827">
              <w:rPr>
                <w:rFonts w:cstheme="minorHAnsi"/>
                <w:b/>
                <w:bCs/>
                <w:iCs/>
              </w:rPr>
              <w:t xml:space="preserve">Descripción y objetivo: </w:t>
            </w:r>
            <w:r w:rsidRPr="00D37827">
              <w:rPr>
                <w:rFonts w:cstheme="minorHAnsi"/>
                <w:iCs/>
              </w:rPr>
              <w:t>Implementación de al menos 3 pilotos demostrativos en predios frutícolas para validar tecnologías habilitantes orientadas a la eficiencia productiva, monitoreo digital y sostenibilidad. Busca transferir conocimiento técnico y generar evidencia territorial sobre los beneficios de la digitalización en la gestión agrícola.</w:t>
            </w:r>
          </w:p>
          <w:p w14:paraId="5534A706" w14:textId="77777777" w:rsidR="00583914" w:rsidRPr="00D37827" w:rsidRDefault="00583914" w:rsidP="00E05A7F">
            <w:pPr>
              <w:spacing w:after="0" w:line="240" w:lineRule="auto"/>
              <w:jc w:val="both"/>
              <w:rPr>
                <w:rFonts w:cstheme="minorHAnsi"/>
                <w:iCs/>
              </w:rPr>
            </w:pPr>
            <w:r w:rsidRPr="00D37827">
              <w:rPr>
                <w:rFonts w:cstheme="minorHAnsi"/>
                <w:b/>
                <w:bCs/>
                <w:iCs/>
              </w:rPr>
              <w:t>Resultado esperado:</w:t>
            </w:r>
            <w:r w:rsidRPr="00D37827">
              <w:rPr>
                <w:rFonts w:cstheme="minorHAnsi"/>
                <w:iCs/>
              </w:rPr>
              <w:t xml:space="preserve"> </w:t>
            </w:r>
          </w:p>
          <w:p w14:paraId="5FF86852" w14:textId="77777777" w:rsidR="00583914" w:rsidRPr="00D37827" w:rsidRDefault="00583914" w:rsidP="00E05A7F">
            <w:pPr>
              <w:spacing w:after="0" w:line="240" w:lineRule="auto"/>
              <w:jc w:val="both"/>
              <w:rPr>
                <w:rFonts w:cstheme="minorHAnsi"/>
                <w:iCs/>
              </w:rPr>
            </w:pPr>
            <w:r w:rsidRPr="00D37827">
              <w:rPr>
                <w:rFonts w:cstheme="minorHAnsi"/>
                <w:iCs/>
              </w:rPr>
              <w:t>Informe final con resumen ejecutivo, objetivos alcanzados, tecnologías aplicadas visualizadas y conocimientos adquiridos por parte de los beneficiarios.</w:t>
            </w:r>
          </w:p>
          <w:p w14:paraId="57C6F525" w14:textId="77777777" w:rsidR="00583914" w:rsidRPr="00D37827" w:rsidRDefault="00583914" w:rsidP="00E05A7F">
            <w:pPr>
              <w:spacing w:after="0" w:line="240" w:lineRule="auto"/>
              <w:jc w:val="both"/>
              <w:rPr>
                <w:rFonts w:cstheme="minorHAnsi"/>
                <w:iCs/>
              </w:rPr>
            </w:pPr>
            <w:r w:rsidRPr="00D37827">
              <w:rPr>
                <w:rFonts w:cstheme="minorHAnsi"/>
                <w:iCs/>
              </w:rPr>
              <w:t>Productores validan tecnologías que mejoran eficiencia, reducen costos y aumentan productividad por hectárea.</w:t>
            </w:r>
          </w:p>
        </w:tc>
      </w:tr>
      <w:tr w:rsidR="00583914" w:rsidRPr="00D37827" w14:paraId="4641D9B8" w14:textId="77777777" w:rsidTr="00E05A7F">
        <w:trPr>
          <w:trHeight w:val="218"/>
        </w:trPr>
        <w:tc>
          <w:tcPr>
            <w:tcW w:w="599" w:type="pct"/>
            <w:vAlign w:val="center"/>
          </w:tcPr>
          <w:p w14:paraId="4406F366" w14:textId="77777777" w:rsidR="00583914" w:rsidRPr="00D37827" w:rsidRDefault="00583914" w:rsidP="00E05A7F">
            <w:pPr>
              <w:spacing w:after="0" w:line="240" w:lineRule="auto"/>
              <w:ind w:left="81"/>
              <w:jc w:val="center"/>
              <w:rPr>
                <w:rFonts w:cstheme="minorHAnsi"/>
                <w:i/>
              </w:rPr>
            </w:pPr>
            <w:r w:rsidRPr="00D37827">
              <w:rPr>
                <w:rFonts w:cstheme="minorHAnsi"/>
                <w:i/>
              </w:rPr>
              <w:t>OE3</w:t>
            </w:r>
          </w:p>
        </w:tc>
        <w:tc>
          <w:tcPr>
            <w:tcW w:w="926" w:type="pct"/>
            <w:vAlign w:val="center"/>
          </w:tcPr>
          <w:p w14:paraId="59B4677F" w14:textId="77777777" w:rsidR="00583914" w:rsidRPr="00D37827" w:rsidRDefault="00583914" w:rsidP="00E05A7F">
            <w:pPr>
              <w:spacing w:after="0" w:line="240" w:lineRule="auto"/>
              <w:ind w:left="81"/>
              <w:jc w:val="both"/>
              <w:rPr>
                <w:rFonts w:cstheme="minorHAnsi"/>
                <w:iCs/>
              </w:rPr>
            </w:pPr>
            <w:r w:rsidRPr="00D37827">
              <w:rPr>
                <w:rFonts w:cstheme="minorHAnsi"/>
                <w:iCs/>
              </w:rPr>
              <w:t>Consultorías vinculadas a los desafíos que genera el cambio climático.</w:t>
            </w:r>
          </w:p>
        </w:tc>
        <w:tc>
          <w:tcPr>
            <w:tcW w:w="3475" w:type="pct"/>
            <w:vAlign w:val="center"/>
          </w:tcPr>
          <w:p w14:paraId="78F34C00" w14:textId="77777777" w:rsidR="00583914" w:rsidRDefault="00583914" w:rsidP="00E05A7F">
            <w:pPr>
              <w:spacing w:after="0" w:line="240" w:lineRule="auto"/>
              <w:jc w:val="both"/>
              <w:rPr>
                <w:rFonts w:cstheme="minorHAnsi"/>
                <w:iCs/>
              </w:rPr>
            </w:pPr>
            <w:r w:rsidRPr="00D37827">
              <w:rPr>
                <w:rFonts w:cstheme="minorHAnsi"/>
                <w:b/>
                <w:bCs/>
                <w:iCs/>
              </w:rPr>
              <w:t>Descripción y objetivo:</w:t>
            </w:r>
            <w:r w:rsidRPr="00D37827">
              <w:rPr>
                <w:rFonts w:cstheme="minorHAnsi"/>
                <w:iCs/>
              </w:rPr>
              <w:t xml:space="preserve"> Realización de al menos 3 consultorías especializadas para identificar impactos del cambio climático en la fruticultura local, evaluando riesgos agroclimáticos y proponiendo estrategias de adaptación tecnológica y productiva.</w:t>
            </w:r>
          </w:p>
          <w:p w14:paraId="28B7862D" w14:textId="77777777" w:rsidR="00583914" w:rsidRPr="00D37827" w:rsidRDefault="00583914" w:rsidP="00E05A7F">
            <w:pPr>
              <w:spacing w:after="0" w:line="240" w:lineRule="auto"/>
              <w:jc w:val="both"/>
              <w:rPr>
                <w:rFonts w:cstheme="minorHAnsi"/>
                <w:iCs/>
              </w:rPr>
            </w:pPr>
            <w:r w:rsidRPr="00D37827">
              <w:rPr>
                <w:rFonts w:cstheme="minorHAnsi"/>
                <w:b/>
                <w:bCs/>
                <w:iCs/>
              </w:rPr>
              <w:t>Resultado esperado:</w:t>
            </w:r>
            <w:r w:rsidRPr="00D37827">
              <w:rPr>
                <w:rFonts w:cstheme="minorHAnsi"/>
                <w:iCs/>
              </w:rPr>
              <w:t xml:space="preserve"> Informe de consultoría con diagnóstico de vulnerabilidad climática, estrategias de adaptación tecnológica y plan de acción predial.</w:t>
            </w:r>
          </w:p>
          <w:p w14:paraId="23A32EA9" w14:textId="77777777" w:rsidR="00583914" w:rsidRPr="00D37827" w:rsidRDefault="00583914" w:rsidP="00E05A7F">
            <w:pPr>
              <w:spacing w:after="0" w:line="240" w:lineRule="auto"/>
              <w:jc w:val="both"/>
              <w:rPr>
                <w:rFonts w:cstheme="minorHAnsi"/>
                <w:iCs/>
              </w:rPr>
            </w:pPr>
            <w:r w:rsidRPr="00D37827">
              <w:rPr>
                <w:rFonts w:cstheme="minorHAnsi"/>
                <w:iCs/>
              </w:rPr>
              <w:t>Productores cuentan con estrategias prediales de adaptación tecnológica frente al cambio climático.</w:t>
            </w:r>
          </w:p>
        </w:tc>
      </w:tr>
      <w:tr w:rsidR="00583914" w:rsidRPr="00D37827" w14:paraId="6FB08C17" w14:textId="77777777" w:rsidTr="00E05A7F">
        <w:trPr>
          <w:trHeight w:val="218"/>
        </w:trPr>
        <w:tc>
          <w:tcPr>
            <w:tcW w:w="599" w:type="pct"/>
            <w:vAlign w:val="center"/>
          </w:tcPr>
          <w:p w14:paraId="674A36E4" w14:textId="77777777" w:rsidR="00583914" w:rsidRPr="00D37827" w:rsidRDefault="00583914" w:rsidP="00E05A7F">
            <w:pPr>
              <w:spacing w:after="0" w:line="240" w:lineRule="auto"/>
              <w:ind w:left="81"/>
              <w:jc w:val="center"/>
              <w:rPr>
                <w:rFonts w:cstheme="minorHAnsi"/>
                <w:i/>
              </w:rPr>
            </w:pPr>
            <w:r w:rsidRPr="00D37827">
              <w:rPr>
                <w:rFonts w:cstheme="minorHAnsi"/>
                <w:i/>
              </w:rPr>
              <w:t>OE3</w:t>
            </w:r>
          </w:p>
        </w:tc>
        <w:tc>
          <w:tcPr>
            <w:tcW w:w="926" w:type="pct"/>
            <w:vAlign w:val="center"/>
          </w:tcPr>
          <w:p w14:paraId="2528BADF" w14:textId="77777777" w:rsidR="00583914" w:rsidRPr="00D37827" w:rsidRDefault="00583914" w:rsidP="00E05A7F">
            <w:pPr>
              <w:spacing w:after="0" w:line="240" w:lineRule="auto"/>
              <w:ind w:left="81"/>
              <w:jc w:val="both"/>
              <w:rPr>
                <w:rFonts w:cstheme="minorHAnsi"/>
                <w:iCs/>
              </w:rPr>
            </w:pPr>
            <w:r w:rsidRPr="00D37827">
              <w:rPr>
                <w:rFonts w:cstheme="minorHAnsi"/>
                <w:iCs/>
              </w:rPr>
              <w:t>Programa de formación de competencias en adopción de tecnologías para agricultura de precisión.</w:t>
            </w:r>
          </w:p>
        </w:tc>
        <w:tc>
          <w:tcPr>
            <w:tcW w:w="3475" w:type="pct"/>
            <w:vAlign w:val="center"/>
          </w:tcPr>
          <w:p w14:paraId="2695C206" w14:textId="77777777" w:rsidR="00583914" w:rsidRDefault="00583914" w:rsidP="00E05A7F">
            <w:pPr>
              <w:spacing w:after="0" w:line="240" w:lineRule="auto"/>
              <w:jc w:val="both"/>
              <w:rPr>
                <w:rFonts w:cstheme="minorHAnsi"/>
                <w:iCs/>
              </w:rPr>
            </w:pPr>
            <w:r w:rsidRPr="00D37827">
              <w:rPr>
                <w:rFonts w:cstheme="minorHAnsi"/>
                <w:b/>
                <w:bCs/>
                <w:iCs/>
              </w:rPr>
              <w:t>Descripción y objetivo:</w:t>
            </w:r>
            <w:r w:rsidRPr="00D37827">
              <w:rPr>
                <w:rFonts w:cstheme="minorHAnsi"/>
                <w:iCs/>
              </w:rPr>
              <w:t xml:space="preserve"> Programa de formación de 4 jornadas orientadas a fortalecer las capacidades técnicas de productores en agricultura de precisión, digitalización, automatización y monitoreo de cultivos.</w:t>
            </w:r>
          </w:p>
          <w:p w14:paraId="5A411ED2" w14:textId="77777777" w:rsidR="00583914" w:rsidRPr="00D37827" w:rsidRDefault="00583914" w:rsidP="00E05A7F">
            <w:pPr>
              <w:spacing w:after="0" w:line="240" w:lineRule="auto"/>
              <w:jc w:val="both"/>
              <w:rPr>
                <w:rFonts w:cstheme="minorHAnsi"/>
                <w:iCs/>
              </w:rPr>
            </w:pPr>
            <w:r w:rsidRPr="00D37827">
              <w:rPr>
                <w:rFonts w:cstheme="minorHAnsi"/>
                <w:b/>
                <w:bCs/>
                <w:iCs/>
              </w:rPr>
              <w:t>Resultado esperado:</w:t>
            </w:r>
            <w:r w:rsidRPr="00D37827">
              <w:rPr>
                <w:rFonts w:cstheme="minorHAnsi"/>
                <w:iCs/>
              </w:rPr>
              <w:t xml:space="preserve"> </w:t>
            </w:r>
          </w:p>
          <w:p w14:paraId="0F483270" w14:textId="77777777" w:rsidR="00583914" w:rsidRPr="00D37827" w:rsidRDefault="00583914" w:rsidP="00E05A7F">
            <w:pPr>
              <w:spacing w:after="0" w:line="240" w:lineRule="auto"/>
              <w:jc w:val="both"/>
              <w:rPr>
                <w:rFonts w:cstheme="minorHAnsi"/>
                <w:iCs/>
              </w:rPr>
            </w:pPr>
            <w:r w:rsidRPr="00D37827">
              <w:rPr>
                <w:rFonts w:cstheme="minorHAnsi"/>
                <w:iCs/>
              </w:rPr>
              <w:t>Informe final del programa, que incluya resumen ejecutivo, contenidos abordados, objetivos alcanzados y evaluación de aprendizaje.</w:t>
            </w:r>
          </w:p>
          <w:p w14:paraId="5FC3A57D" w14:textId="77777777" w:rsidR="00583914" w:rsidRPr="00D37827" w:rsidRDefault="00583914" w:rsidP="00E05A7F">
            <w:pPr>
              <w:spacing w:after="0" w:line="240" w:lineRule="auto"/>
              <w:jc w:val="both"/>
              <w:rPr>
                <w:rFonts w:cstheme="minorHAnsi"/>
                <w:iCs/>
              </w:rPr>
            </w:pPr>
            <w:r w:rsidRPr="00D37827">
              <w:rPr>
                <w:rFonts w:cstheme="minorHAnsi"/>
                <w:iCs/>
              </w:rPr>
              <w:t>Productores y equipos técnicos de las empresas beneficiarias capacitados en uso e interpretación de tecnologías para la agricultura de precisión.</w:t>
            </w:r>
          </w:p>
        </w:tc>
      </w:tr>
      <w:tr w:rsidR="00583914" w:rsidRPr="00D37827" w14:paraId="40B6B08B" w14:textId="77777777" w:rsidTr="00E05A7F">
        <w:trPr>
          <w:trHeight w:val="218"/>
        </w:trPr>
        <w:tc>
          <w:tcPr>
            <w:tcW w:w="599" w:type="pct"/>
            <w:vAlign w:val="center"/>
          </w:tcPr>
          <w:p w14:paraId="62FB4CD5" w14:textId="77777777" w:rsidR="00583914" w:rsidRPr="00D37827" w:rsidRDefault="00583914" w:rsidP="00E05A7F">
            <w:pPr>
              <w:spacing w:after="0" w:line="240" w:lineRule="auto"/>
              <w:ind w:left="81"/>
              <w:jc w:val="center"/>
              <w:rPr>
                <w:rFonts w:cstheme="minorHAnsi"/>
                <w:i/>
              </w:rPr>
            </w:pPr>
            <w:r w:rsidRPr="00D37827">
              <w:rPr>
                <w:rFonts w:cstheme="minorHAnsi"/>
                <w:i/>
              </w:rPr>
              <w:t>OE2</w:t>
            </w:r>
          </w:p>
        </w:tc>
        <w:tc>
          <w:tcPr>
            <w:tcW w:w="926" w:type="pct"/>
            <w:vAlign w:val="center"/>
          </w:tcPr>
          <w:p w14:paraId="5DBF7898" w14:textId="77777777" w:rsidR="00583914" w:rsidRPr="00D37827" w:rsidRDefault="00583914" w:rsidP="00E05A7F">
            <w:pPr>
              <w:spacing w:after="0" w:line="240" w:lineRule="auto"/>
              <w:ind w:left="81"/>
              <w:jc w:val="both"/>
              <w:rPr>
                <w:rFonts w:cstheme="minorHAnsi"/>
                <w:iCs/>
              </w:rPr>
            </w:pPr>
            <w:r w:rsidRPr="00D37827">
              <w:rPr>
                <w:rFonts w:cstheme="minorHAnsi"/>
                <w:iCs/>
              </w:rPr>
              <w:t>Capacitaciones en digitalización de registros prediales.</w:t>
            </w:r>
          </w:p>
        </w:tc>
        <w:tc>
          <w:tcPr>
            <w:tcW w:w="3475" w:type="pct"/>
            <w:vAlign w:val="center"/>
          </w:tcPr>
          <w:p w14:paraId="15824AAB" w14:textId="77777777" w:rsidR="00583914" w:rsidRDefault="00583914" w:rsidP="00E05A7F">
            <w:pPr>
              <w:spacing w:after="0" w:line="240" w:lineRule="auto"/>
              <w:jc w:val="both"/>
              <w:rPr>
                <w:rFonts w:cstheme="minorHAnsi"/>
                <w:iCs/>
              </w:rPr>
            </w:pPr>
            <w:r w:rsidRPr="00D37827">
              <w:rPr>
                <w:rFonts w:cstheme="minorHAnsi"/>
                <w:b/>
                <w:bCs/>
                <w:iCs/>
              </w:rPr>
              <w:t xml:space="preserve">Descripción y objetivo: </w:t>
            </w:r>
            <w:r w:rsidRPr="00D37827">
              <w:rPr>
                <w:rFonts w:cstheme="minorHAnsi"/>
                <w:iCs/>
              </w:rPr>
              <w:t>Realización de al menos 4 jornadas de capacitación en la digitalización de registros productivos y administrativos, fortaleciendo el uso de plataformas y sistemas de gestión digital agrícola.</w:t>
            </w:r>
          </w:p>
          <w:p w14:paraId="427747BB" w14:textId="77777777" w:rsidR="00583914" w:rsidRPr="00D37827" w:rsidRDefault="00583914" w:rsidP="00E05A7F">
            <w:pPr>
              <w:spacing w:after="0" w:line="240" w:lineRule="auto"/>
              <w:jc w:val="both"/>
              <w:rPr>
                <w:rFonts w:cstheme="minorHAnsi"/>
                <w:iCs/>
              </w:rPr>
            </w:pPr>
            <w:r w:rsidRPr="00D37827">
              <w:rPr>
                <w:rFonts w:cstheme="minorHAnsi"/>
                <w:b/>
                <w:bCs/>
                <w:iCs/>
              </w:rPr>
              <w:t>Resultado esperado:</w:t>
            </w:r>
            <w:r w:rsidRPr="00D37827">
              <w:rPr>
                <w:rFonts w:cstheme="minorHAnsi"/>
                <w:iCs/>
              </w:rPr>
              <w:t xml:space="preserve"> Informe consolidado de capacitaciones, con resumen ejecutivo, material formativo y avances en la adopción digital.</w:t>
            </w:r>
          </w:p>
          <w:p w14:paraId="7507A0F4" w14:textId="77777777" w:rsidR="00583914" w:rsidRPr="00D37827" w:rsidRDefault="00583914" w:rsidP="00E05A7F">
            <w:pPr>
              <w:spacing w:after="0" w:line="240" w:lineRule="auto"/>
              <w:jc w:val="both"/>
              <w:rPr>
                <w:rFonts w:cstheme="minorHAnsi"/>
                <w:iCs/>
              </w:rPr>
            </w:pPr>
            <w:r w:rsidRPr="00D37827">
              <w:rPr>
                <w:rFonts w:cstheme="minorHAnsi"/>
                <w:iCs/>
              </w:rPr>
              <w:t>Empresas frutícolas implementan registros digitales sistematizados que mejoran trazabilidad y control productivo.</w:t>
            </w:r>
          </w:p>
        </w:tc>
      </w:tr>
      <w:tr w:rsidR="00583914" w:rsidRPr="00D37827" w14:paraId="37EB7985" w14:textId="77777777" w:rsidTr="00E05A7F">
        <w:trPr>
          <w:trHeight w:val="218"/>
        </w:trPr>
        <w:tc>
          <w:tcPr>
            <w:tcW w:w="599" w:type="pct"/>
            <w:vAlign w:val="center"/>
          </w:tcPr>
          <w:p w14:paraId="3B9FA0BC" w14:textId="77777777" w:rsidR="00583914" w:rsidRPr="00D37827" w:rsidRDefault="00583914" w:rsidP="00E05A7F">
            <w:pPr>
              <w:spacing w:after="0" w:line="240" w:lineRule="auto"/>
              <w:ind w:left="81"/>
              <w:jc w:val="center"/>
              <w:rPr>
                <w:rFonts w:cstheme="minorHAnsi"/>
                <w:i/>
              </w:rPr>
            </w:pPr>
            <w:r w:rsidRPr="00D37827">
              <w:rPr>
                <w:rFonts w:cstheme="minorHAnsi"/>
                <w:i/>
              </w:rPr>
              <w:t>OE2</w:t>
            </w:r>
          </w:p>
        </w:tc>
        <w:tc>
          <w:tcPr>
            <w:tcW w:w="926" w:type="pct"/>
            <w:vAlign w:val="center"/>
          </w:tcPr>
          <w:p w14:paraId="75E616C6" w14:textId="77777777" w:rsidR="00583914" w:rsidRPr="00D37827" w:rsidRDefault="00583914" w:rsidP="00E05A7F">
            <w:pPr>
              <w:spacing w:after="0" w:line="240" w:lineRule="auto"/>
              <w:ind w:left="81"/>
              <w:jc w:val="both"/>
              <w:rPr>
                <w:rFonts w:cstheme="minorHAnsi"/>
                <w:iCs/>
              </w:rPr>
            </w:pPr>
            <w:r w:rsidRPr="00D37827">
              <w:rPr>
                <w:rFonts w:cstheme="minorHAnsi"/>
                <w:iCs/>
              </w:rPr>
              <w:t>Consultorías en gestión de datos agrícolas.</w:t>
            </w:r>
          </w:p>
        </w:tc>
        <w:tc>
          <w:tcPr>
            <w:tcW w:w="3475" w:type="pct"/>
            <w:vAlign w:val="center"/>
          </w:tcPr>
          <w:p w14:paraId="170498E7" w14:textId="77777777" w:rsidR="00583914" w:rsidRDefault="00583914" w:rsidP="00E05A7F">
            <w:pPr>
              <w:spacing w:after="0" w:line="240" w:lineRule="auto"/>
              <w:jc w:val="both"/>
              <w:rPr>
                <w:rFonts w:cstheme="minorHAnsi"/>
                <w:iCs/>
              </w:rPr>
            </w:pPr>
            <w:r w:rsidRPr="00D37827">
              <w:rPr>
                <w:rFonts w:cstheme="minorHAnsi"/>
                <w:b/>
                <w:bCs/>
                <w:iCs/>
              </w:rPr>
              <w:t xml:space="preserve">Descripción y objetivo: </w:t>
            </w:r>
            <w:r w:rsidRPr="00D37827">
              <w:rPr>
                <w:rFonts w:cstheme="minorHAnsi"/>
                <w:iCs/>
              </w:rPr>
              <w:t xml:space="preserve">Realización de al menos 2 consultorías para el diseño e implementación de sistemas de gestión y análisis de </w:t>
            </w:r>
            <w:r w:rsidRPr="00D37827">
              <w:rPr>
                <w:rFonts w:cstheme="minorHAnsi"/>
                <w:iCs/>
              </w:rPr>
              <w:lastRenderedPageBreak/>
              <w:t>datos prediales, orientados a la toma de decisiones informadas y sostenibles.</w:t>
            </w:r>
          </w:p>
          <w:p w14:paraId="266A89D8" w14:textId="77777777" w:rsidR="00583914" w:rsidRPr="00D37827" w:rsidRDefault="00583914" w:rsidP="00E05A7F">
            <w:pPr>
              <w:spacing w:after="0" w:line="240" w:lineRule="auto"/>
              <w:jc w:val="both"/>
              <w:rPr>
                <w:rFonts w:cstheme="minorHAnsi"/>
                <w:iCs/>
              </w:rPr>
            </w:pPr>
            <w:r w:rsidRPr="00D37827">
              <w:rPr>
                <w:rFonts w:cstheme="minorHAnsi"/>
                <w:b/>
                <w:bCs/>
                <w:iCs/>
              </w:rPr>
              <w:t>Resultado esperado:</w:t>
            </w:r>
            <w:r w:rsidRPr="00D37827">
              <w:rPr>
                <w:rFonts w:cstheme="minorHAnsi"/>
                <w:iCs/>
              </w:rPr>
              <w:t xml:space="preserve"> Informe técnico final con diagnóstico inicial, plan de digitalización predial y análisis de impacto en la toma de decisiones productivas.</w:t>
            </w:r>
          </w:p>
          <w:p w14:paraId="6036F896" w14:textId="77777777" w:rsidR="00583914" w:rsidRPr="00D37827" w:rsidRDefault="00583914" w:rsidP="00E05A7F">
            <w:pPr>
              <w:spacing w:after="0" w:line="240" w:lineRule="auto"/>
              <w:jc w:val="both"/>
              <w:rPr>
                <w:rFonts w:cstheme="minorHAnsi"/>
                <w:iCs/>
              </w:rPr>
            </w:pPr>
            <w:r w:rsidRPr="00D37827">
              <w:rPr>
                <w:rFonts w:cstheme="minorHAnsi"/>
                <w:iCs/>
              </w:rPr>
              <w:t>Productores y equipos técnicos adoptan decisiones productivas basadas en datos técnicos y planificación digital.</w:t>
            </w:r>
          </w:p>
        </w:tc>
      </w:tr>
      <w:tr w:rsidR="00583914" w:rsidRPr="00D37827" w14:paraId="78F52DD8" w14:textId="77777777" w:rsidTr="00E05A7F">
        <w:trPr>
          <w:trHeight w:val="218"/>
        </w:trPr>
        <w:tc>
          <w:tcPr>
            <w:tcW w:w="599" w:type="pct"/>
            <w:vAlign w:val="center"/>
          </w:tcPr>
          <w:p w14:paraId="5FA1B3CA" w14:textId="77777777" w:rsidR="00583914" w:rsidRPr="00D37827" w:rsidRDefault="00583914" w:rsidP="00E05A7F">
            <w:pPr>
              <w:spacing w:after="0" w:line="240" w:lineRule="auto"/>
              <w:ind w:left="81"/>
              <w:jc w:val="center"/>
              <w:rPr>
                <w:rFonts w:cstheme="minorHAnsi"/>
                <w:i/>
              </w:rPr>
            </w:pPr>
            <w:r w:rsidRPr="00D37827">
              <w:rPr>
                <w:rFonts w:cstheme="minorHAnsi"/>
                <w:i/>
              </w:rPr>
              <w:lastRenderedPageBreak/>
              <w:t>OE2</w:t>
            </w:r>
          </w:p>
        </w:tc>
        <w:tc>
          <w:tcPr>
            <w:tcW w:w="926" w:type="pct"/>
            <w:vAlign w:val="center"/>
          </w:tcPr>
          <w:p w14:paraId="597B295E" w14:textId="77777777" w:rsidR="00583914" w:rsidRPr="00D37827" w:rsidRDefault="00583914" w:rsidP="00E05A7F">
            <w:pPr>
              <w:spacing w:after="0" w:line="240" w:lineRule="auto"/>
              <w:ind w:left="81"/>
              <w:jc w:val="both"/>
              <w:rPr>
                <w:rFonts w:cstheme="minorHAnsi"/>
                <w:iCs/>
              </w:rPr>
            </w:pPr>
            <w:r w:rsidRPr="00D37827">
              <w:rPr>
                <w:rFonts w:cstheme="minorHAnsi"/>
                <w:iCs/>
              </w:rPr>
              <w:t>Talleres de alfabetización digital en terreno.</w:t>
            </w:r>
          </w:p>
        </w:tc>
        <w:tc>
          <w:tcPr>
            <w:tcW w:w="3475" w:type="pct"/>
            <w:vAlign w:val="center"/>
          </w:tcPr>
          <w:p w14:paraId="64EEE4F2" w14:textId="77777777" w:rsidR="00583914" w:rsidRDefault="00583914" w:rsidP="00E05A7F">
            <w:pPr>
              <w:spacing w:after="0" w:line="240" w:lineRule="auto"/>
              <w:jc w:val="both"/>
              <w:rPr>
                <w:rFonts w:cstheme="minorHAnsi"/>
                <w:iCs/>
              </w:rPr>
            </w:pPr>
            <w:r w:rsidRPr="00D37827">
              <w:rPr>
                <w:rFonts w:cstheme="minorHAnsi"/>
                <w:b/>
                <w:bCs/>
                <w:iCs/>
              </w:rPr>
              <w:t xml:space="preserve">Descripción y objetivo: </w:t>
            </w:r>
            <w:r w:rsidRPr="00D37827">
              <w:rPr>
                <w:rFonts w:cstheme="minorHAnsi"/>
                <w:iCs/>
              </w:rPr>
              <w:t xml:space="preserve">Al menos 2 sesiones prácticas en terreno para desarrollar competencias digitales básicas en el uso de </w:t>
            </w:r>
            <w:proofErr w:type="spellStart"/>
            <w:r w:rsidRPr="00D37827">
              <w:rPr>
                <w:rFonts w:cstheme="minorHAnsi"/>
                <w:iCs/>
              </w:rPr>
              <w:t>tablets</w:t>
            </w:r>
            <w:proofErr w:type="spellEnd"/>
            <w:r w:rsidRPr="00D37827">
              <w:rPr>
                <w:rFonts w:cstheme="minorHAnsi"/>
                <w:iCs/>
              </w:rPr>
              <w:t>, aplicaciones y plataformas de registro agrícola.</w:t>
            </w:r>
          </w:p>
          <w:p w14:paraId="3BD20409" w14:textId="77777777" w:rsidR="00583914" w:rsidRDefault="00583914" w:rsidP="00E05A7F">
            <w:pPr>
              <w:spacing w:after="0" w:line="240" w:lineRule="auto"/>
              <w:jc w:val="both"/>
              <w:rPr>
                <w:rFonts w:cstheme="minorHAnsi"/>
                <w:iCs/>
              </w:rPr>
            </w:pPr>
            <w:r w:rsidRPr="00D37827">
              <w:rPr>
                <w:rFonts w:cstheme="minorHAnsi"/>
                <w:iCs/>
              </w:rPr>
              <w:t>fotográficos, encuestas de satisfacción y listas de asistencia.</w:t>
            </w:r>
          </w:p>
          <w:p w14:paraId="02F1AB3C" w14:textId="77777777" w:rsidR="00583914" w:rsidRPr="00D37827" w:rsidRDefault="00583914" w:rsidP="00E05A7F">
            <w:pPr>
              <w:spacing w:after="0" w:line="240" w:lineRule="auto"/>
              <w:jc w:val="both"/>
              <w:rPr>
                <w:rFonts w:cstheme="minorHAnsi"/>
                <w:iCs/>
              </w:rPr>
            </w:pPr>
            <w:r w:rsidRPr="00D37827">
              <w:rPr>
                <w:rFonts w:cstheme="minorHAnsi"/>
                <w:b/>
                <w:bCs/>
                <w:iCs/>
              </w:rPr>
              <w:t>Resultado esperado:</w:t>
            </w:r>
            <w:r w:rsidRPr="00D37827">
              <w:rPr>
                <w:rFonts w:cstheme="minorHAnsi"/>
                <w:iCs/>
              </w:rPr>
              <w:t xml:space="preserve"> Informe final con resumen ejecutivo, objetivos alcanzados, tecnologías visualizadas y conocimientos adquiridos por parte de los beneficiarios.</w:t>
            </w:r>
          </w:p>
          <w:p w14:paraId="0C42C7BC" w14:textId="77777777" w:rsidR="00583914" w:rsidRPr="00D37827" w:rsidRDefault="00583914" w:rsidP="00E05A7F">
            <w:pPr>
              <w:spacing w:after="0" w:line="240" w:lineRule="auto"/>
              <w:jc w:val="both"/>
              <w:rPr>
                <w:rFonts w:cstheme="minorHAnsi"/>
                <w:iCs/>
              </w:rPr>
            </w:pPr>
            <w:r w:rsidRPr="00D37827">
              <w:rPr>
                <w:rFonts w:cstheme="minorHAnsi"/>
                <w:iCs/>
              </w:rPr>
              <w:t>Productores fortalecen sus competencias digitales y autonomía en la gestión de información agrícola.</w:t>
            </w:r>
          </w:p>
        </w:tc>
      </w:tr>
      <w:tr w:rsidR="00583914" w:rsidRPr="00D37827" w14:paraId="7D62BDBE" w14:textId="77777777" w:rsidTr="00E05A7F">
        <w:trPr>
          <w:trHeight w:val="218"/>
        </w:trPr>
        <w:tc>
          <w:tcPr>
            <w:tcW w:w="599" w:type="pct"/>
            <w:vAlign w:val="center"/>
          </w:tcPr>
          <w:p w14:paraId="70ECB14A" w14:textId="77777777" w:rsidR="00583914" w:rsidRPr="00D37827" w:rsidRDefault="00583914" w:rsidP="00E05A7F">
            <w:pPr>
              <w:spacing w:after="0" w:line="240" w:lineRule="auto"/>
              <w:ind w:left="81"/>
              <w:jc w:val="center"/>
              <w:rPr>
                <w:rFonts w:cstheme="minorHAnsi"/>
                <w:i/>
              </w:rPr>
            </w:pPr>
            <w:r w:rsidRPr="00D37827">
              <w:rPr>
                <w:rFonts w:cstheme="minorHAnsi"/>
                <w:i/>
              </w:rPr>
              <w:t>OE1</w:t>
            </w:r>
          </w:p>
        </w:tc>
        <w:tc>
          <w:tcPr>
            <w:tcW w:w="926" w:type="pct"/>
            <w:vAlign w:val="center"/>
          </w:tcPr>
          <w:p w14:paraId="435A6249" w14:textId="77777777" w:rsidR="00583914" w:rsidRPr="00D37827" w:rsidRDefault="00583914" w:rsidP="00E05A7F">
            <w:pPr>
              <w:spacing w:after="0" w:line="240" w:lineRule="auto"/>
              <w:ind w:left="81"/>
              <w:jc w:val="both"/>
              <w:rPr>
                <w:rFonts w:cstheme="minorHAnsi"/>
                <w:iCs/>
              </w:rPr>
            </w:pPr>
            <w:r w:rsidRPr="00D37827">
              <w:rPr>
                <w:rFonts w:cstheme="minorHAnsi"/>
                <w:iCs/>
              </w:rPr>
              <w:t>Talleres de mecanización para el cultivo.</w:t>
            </w:r>
          </w:p>
        </w:tc>
        <w:tc>
          <w:tcPr>
            <w:tcW w:w="3475" w:type="pct"/>
            <w:vAlign w:val="center"/>
          </w:tcPr>
          <w:p w14:paraId="7D7974D7" w14:textId="77777777" w:rsidR="00583914" w:rsidRPr="00D37827" w:rsidRDefault="00583914" w:rsidP="00E05A7F">
            <w:pPr>
              <w:spacing w:after="0" w:line="240" w:lineRule="auto"/>
              <w:jc w:val="both"/>
              <w:rPr>
                <w:rFonts w:cstheme="minorHAnsi"/>
                <w:iCs/>
              </w:rPr>
            </w:pPr>
            <w:r w:rsidRPr="00D37827">
              <w:rPr>
                <w:rFonts w:cstheme="minorHAnsi"/>
                <w:b/>
                <w:bCs/>
                <w:iCs/>
              </w:rPr>
              <w:t xml:space="preserve">Descripción y objetivo: </w:t>
            </w:r>
            <w:r w:rsidRPr="00D37827">
              <w:rPr>
                <w:rFonts w:cstheme="minorHAnsi"/>
                <w:iCs/>
              </w:rPr>
              <w:t>Se llevarán a cabo al menos 2 talleres teórico–prácticos sobre mecanización y tecnificación de cultivos frutales, para optimizar labores productivas.</w:t>
            </w:r>
          </w:p>
          <w:p w14:paraId="378452A5" w14:textId="77777777" w:rsidR="00583914" w:rsidRPr="00D37827" w:rsidRDefault="00583914" w:rsidP="00E05A7F">
            <w:pPr>
              <w:spacing w:after="0" w:line="240" w:lineRule="auto"/>
              <w:jc w:val="both"/>
              <w:rPr>
                <w:rFonts w:cstheme="minorHAnsi"/>
                <w:iCs/>
              </w:rPr>
            </w:pPr>
            <w:r w:rsidRPr="00D37827">
              <w:rPr>
                <w:rFonts w:cstheme="minorHAnsi"/>
                <w:b/>
                <w:bCs/>
                <w:iCs/>
              </w:rPr>
              <w:t>Resultado esperado:</w:t>
            </w:r>
            <w:r w:rsidRPr="00D37827">
              <w:rPr>
                <w:rFonts w:cstheme="minorHAnsi"/>
                <w:iCs/>
              </w:rPr>
              <w:t xml:space="preserve"> Informe técnico con resumen ejecutivo, tecnologías de mecanización aplicadas, costos referenciales y efectos observados en eficiencia operativa.</w:t>
            </w:r>
          </w:p>
          <w:p w14:paraId="6A634534" w14:textId="77777777" w:rsidR="00583914" w:rsidRPr="00D37827" w:rsidRDefault="00583914" w:rsidP="00E05A7F">
            <w:pPr>
              <w:spacing w:after="0" w:line="240" w:lineRule="auto"/>
              <w:jc w:val="both"/>
              <w:rPr>
                <w:rFonts w:cstheme="minorHAnsi"/>
                <w:iCs/>
              </w:rPr>
            </w:pPr>
            <w:r w:rsidRPr="00D37827">
              <w:rPr>
                <w:rFonts w:cstheme="minorHAnsi"/>
                <w:iCs/>
              </w:rPr>
              <w:t>Productores mejoran eficiencia operativa y reducen costos mediante mecanización de sus cultivos.</w:t>
            </w:r>
          </w:p>
        </w:tc>
      </w:tr>
      <w:tr w:rsidR="00583914" w:rsidRPr="00D37827" w14:paraId="0492DF68" w14:textId="77777777" w:rsidTr="00E05A7F">
        <w:trPr>
          <w:trHeight w:val="218"/>
        </w:trPr>
        <w:tc>
          <w:tcPr>
            <w:tcW w:w="599" w:type="pct"/>
            <w:vAlign w:val="center"/>
          </w:tcPr>
          <w:p w14:paraId="50162AC4" w14:textId="77777777" w:rsidR="00583914" w:rsidRPr="00D37827" w:rsidRDefault="00583914" w:rsidP="00E05A7F">
            <w:pPr>
              <w:spacing w:after="0" w:line="240" w:lineRule="auto"/>
              <w:ind w:left="81"/>
              <w:jc w:val="center"/>
              <w:rPr>
                <w:rFonts w:cstheme="minorHAnsi"/>
                <w:i/>
              </w:rPr>
            </w:pPr>
            <w:r w:rsidRPr="00D37827">
              <w:rPr>
                <w:rFonts w:cstheme="minorHAnsi"/>
                <w:i/>
              </w:rPr>
              <w:t>OE3</w:t>
            </w:r>
          </w:p>
        </w:tc>
        <w:tc>
          <w:tcPr>
            <w:tcW w:w="926" w:type="pct"/>
            <w:vAlign w:val="center"/>
          </w:tcPr>
          <w:p w14:paraId="7D738E12" w14:textId="77777777" w:rsidR="00583914" w:rsidRPr="00D37827" w:rsidRDefault="00583914" w:rsidP="00E05A7F">
            <w:pPr>
              <w:spacing w:after="0" w:line="240" w:lineRule="auto"/>
              <w:ind w:left="81"/>
              <w:jc w:val="both"/>
              <w:rPr>
                <w:rFonts w:cstheme="minorHAnsi"/>
                <w:iCs/>
              </w:rPr>
            </w:pPr>
            <w:r w:rsidRPr="00D37827">
              <w:rPr>
                <w:rFonts w:cstheme="minorHAnsi"/>
                <w:iCs/>
              </w:rPr>
              <w:t>Capacitación de autogeneración eléctrica sustentable para empresas frutícolas.</w:t>
            </w:r>
          </w:p>
        </w:tc>
        <w:tc>
          <w:tcPr>
            <w:tcW w:w="3475" w:type="pct"/>
            <w:vAlign w:val="center"/>
          </w:tcPr>
          <w:p w14:paraId="551E45D1" w14:textId="77777777" w:rsidR="00583914" w:rsidRDefault="00583914" w:rsidP="00E05A7F">
            <w:pPr>
              <w:spacing w:after="0" w:line="240" w:lineRule="auto"/>
              <w:jc w:val="both"/>
              <w:rPr>
                <w:rFonts w:cstheme="minorHAnsi"/>
                <w:iCs/>
              </w:rPr>
            </w:pPr>
            <w:r w:rsidRPr="00D37827">
              <w:rPr>
                <w:rFonts w:cstheme="minorHAnsi"/>
                <w:b/>
                <w:bCs/>
                <w:iCs/>
              </w:rPr>
              <w:t xml:space="preserve">Descripción y objetivo: </w:t>
            </w:r>
            <w:r w:rsidRPr="00D37827">
              <w:rPr>
                <w:rFonts w:cstheme="minorHAnsi"/>
                <w:iCs/>
              </w:rPr>
              <w:t>Realización de una jornada de capacitación sobre soluciones energéticas sostenibles como paneles solares y eficiencia energética, aplicadas a procesos productivos frutícolas.</w:t>
            </w:r>
          </w:p>
          <w:p w14:paraId="056957BE" w14:textId="77777777" w:rsidR="00583914" w:rsidRPr="00D37827" w:rsidRDefault="00583914" w:rsidP="00E05A7F">
            <w:pPr>
              <w:spacing w:after="0" w:line="240" w:lineRule="auto"/>
              <w:jc w:val="both"/>
              <w:rPr>
                <w:rFonts w:cstheme="minorHAnsi"/>
                <w:iCs/>
              </w:rPr>
            </w:pPr>
            <w:r w:rsidRPr="00D37827">
              <w:rPr>
                <w:rFonts w:cstheme="minorHAnsi"/>
                <w:b/>
                <w:bCs/>
                <w:iCs/>
              </w:rPr>
              <w:t>Resultado esperado:</w:t>
            </w:r>
            <w:r w:rsidRPr="00D37827">
              <w:rPr>
                <w:rFonts w:cstheme="minorHAnsi"/>
                <w:iCs/>
              </w:rPr>
              <w:t xml:space="preserve"> Informe de capacitación con resumen ejecutivo, contenidos técnicos y conclusiones sobre oportunidades de implementación energética.</w:t>
            </w:r>
          </w:p>
          <w:p w14:paraId="3557CE52" w14:textId="77777777" w:rsidR="00583914" w:rsidRPr="00D37827" w:rsidRDefault="00583914" w:rsidP="00E05A7F">
            <w:pPr>
              <w:spacing w:after="0" w:line="240" w:lineRule="auto"/>
              <w:jc w:val="both"/>
              <w:rPr>
                <w:rFonts w:cstheme="minorHAnsi"/>
                <w:iCs/>
              </w:rPr>
            </w:pPr>
            <w:r w:rsidRPr="00D37827">
              <w:rPr>
                <w:rFonts w:cstheme="minorHAnsi"/>
                <w:iCs/>
              </w:rPr>
              <w:t>Empresas frutícolas validan soluciones energéticas sostenibles que reducen costos y huella ambiental.</w:t>
            </w:r>
          </w:p>
        </w:tc>
      </w:tr>
      <w:tr w:rsidR="00583914" w:rsidRPr="00D37827" w14:paraId="3F4682E9" w14:textId="77777777" w:rsidTr="00E05A7F">
        <w:trPr>
          <w:trHeight w:val="251"/>
        </w:trPr>
        <w:tc>
          <w:tcPr>
            <w:tcW w:w="599" w:type="pct"/>
            <w:vAlign w:val="center"/>
          </w:tcPr>
          <w:p w14:paraId="1191546D" w14:textId="77777777" w:rsidR="00583914" w:rsidRPr="00D37827" w:rsidRDefault="00583914" w:rsidP="00E05A7F">
            <w:pPr>
              <w:spacing w:after="0" w:line="240" w:lineRule="auto"/>
              <w:ind w:left="81"/>
              <w:jc w:val="center"/>
              <w:rPr>
                <w:rFonts w:cstheme="minorHAnsi"/>
                <w:i/>
              </w:rPr>
            </w:pPr>
            <w:r w:rsidRPr="00D37827">
              <w:rPr>
                <w:rFonts w:cstheme="minorHAnsi"/>
                <w:i/>
              </w:rPr>
              <w:t>OG</w:t>
            </w:r>
          </w:p>
        </w:tc>
        <w:tc>
          <w:tcPr>
            <w:tcW w:w="926" w:type="pct"/>
            <w:vAlign w:val="center"/>
          </w:tcPr>
          <w:p w14:paraId="0F60A38E" w14:textId="77777777" w:rsidR="00583914" w:rsidRPr="00D37827" w:rsidRDefault="00583914" w:rsidP="00E05A7F">
            <w:pPr>
              <w:spacing w:after="0" w:line="240" w:lineRule="auto"/>
              <w:ind w:left="81"/>
              <w:jc w:val="both"/>
              <w:rPr>
                <w:rFonts w:cstheme="minorHAnsi"/>
                <w:iCs/>
              </w:rPr>
            </w:pPr>
            <w:r w:rsidRPr="00D37827">
              <w:rPr>
                <w:rFonts w:cstheme="minorHAnsi"/>
                <w:iCs/>
              </w:rPr>
              <w:t>Seminario inicial de fruticultura digital para una industria sustentable.</w:t>
            </w:r>
          </w:p>
        </w:tc>
        <w:tc>
          <w:tcPr>
            <w:tcW w:w="3475" w:type="pct"/>
            <w:vAlign w:val="center"/>
          </w:tcPr>
          <w:p w14:paraId="096F3CC8" w14:textId="77777777" w:rsidR="00583914" w:rsidRDefault="00583914" w:rsidP="00E05A7F">
            <w:pPr>
              <w:spacing w:after="0" w:line="240" w:lineRule="auto"/>
              <w:jc w:val="both"/>
              <w:rPr>
                <w:rFonts w:cstheme="minorHAnsi"/>
                <w:iCs/>
              </w:rPr>
            </w:pPr>
            <w:r w:rsidRPr="00D37827">
              <w:rPr>
                <w:rFonts w:cstheme="minorHAnsi"/>
                <w:b/>
                <w:bCs/>
                <w:iCs/>
              </w:rPr>
              <w:t xml:space="preserve">Descripción y objetivo: </w:t>
            </w:r>
            <w:r w:rsidRPr="00D37827">
              <w:rPr>
                <w:rFonts w:cstheme="minorHAnsi"/>
                <w:iCs/>
              </w:rPr>
              <w:t>Seminario inaugural del PTI para presentar los ejes estratégicos, brechas a abordar y oportunidades tecnológicas para la fruticultura provincial.</w:t>
            </w:r>
          </w:p>
          <w:p w14:paraId="0B7B6EFF" w14:textId="77777777" w:rsidR="00583914" w:rsidRPr="00D37827" w:rsidRDefault="00583914" w:rsidP="00E05A7F">
            <w:pPr>
              <w:spacing w:after="0" w:line="240" w:lineRule="auto"/>
              <w:jc w:val="both"/>
              <w:rPr>
                <w:rFonts w:cstheme="minorHAnsi"/>
                <w:iCs/>
              </w:rPr>
            </w:pPr>
            <w:r w:rsidRPr="00D37827">
              <w:rPr>
                <w:rFonts w:cstheme="minorHAnsi"/>
                <w:b/>
                <w:bCs/>
                <w:iCs/>
              </w:rPr>
              <w:t>Resultado esperado:</w:t>
            </w:r>
            <w:r w:rsidRPr="00D37827">
              <w:rPr>
                <w:rFonts w:cstheme="minorHAnsi"/>
                <w:iCs/>
              </w:rPr>
              <w:t xml:space="preserve"> Informe de actividad con resumen ejecutivo, temas tratados, impacto comunicacional y evaluación de los asistentes.</w:t>
            </w:r>
          </w:p>
          <w:p w14:paraId="195DD1CE" w14:textId="77777777" w:rsidR="00583914" w:rsidRPr="00D37827" w:rsidRDefault="00583914" w:rsidP="00E05A7F">
            <w:pPr>
              <w:spacing w:after="0" w:line="240" w:lineRule="auto"/>
              <w:jc w:val="both"/>
              <w:rPr>
                <w:rFonts w:cstheme="minorHAnsi"/>
                <w:iCs/>
              </w:rPr>
            </w:pPr>
            <w:r w:rsidRPr="00D37827">
              <w:rPr>
                <w:rFonts w:cstheme="minorHAnsi"/>
                <w:iCs/>
              </w:rPr>
              <w:t>Actores del ecosistema frutícola informados y articulados en torno a los objetivos del PTI.</w:t>
            </w:r>
          </w:p>
        </w:tc>
      </w:tr>
      <w:tr w:rsidR="00583914" w:rsidRPr="00D37827" w14:paraId="199D5E6C" w14:textId="77777777" w:rsidTr="00E05A7F">
        <w:trPr>
          <w:trHeight w:val="251"/>
        </w:trPr>
        <w:tc>
          <w:tcPr>
            <w:tcW w:w="599" w:type="pct"/>
            <w:vAlign w:val="center"/>
          </w:tcPr>
          <w:p w14:paraId="0F18EB88" w14:textId="77777777" w:rsidR="00583914" w:rsidRPr="00D37827" w:rsidRDefault="00583914" w:rsidP="00E05A7F">
            <w:pPr>
              <w:spacing w:after="0" w:line="240" w:lineRule="auto"/>
              <w:ind w:left="81"/>
              <w:jc w:val="center"/>
              <w:rPr>
                <w:rFonts w:cstheme="minorHAnsi"/>
                <w:i/>
              </w:rPr>
            </w:pPr>
            <w:r w:rsidRPr="00D37827">
              <w:rPr>
                <w:rFonts w:cstheme="minorHAnsi"/>
                <w:i/>
              </w:rPr>
              <w:t>OG</w:t>
            </w:r>
          </w:p>
        </w:tc>
        <w:tc>
          <w:tcPr>
            <w:tcW w:w="926" w:type="pct"/>
            <w:vAlign w:val="center"/>
          </w:tcPr>
          <w:p w14:paraId="4A106D70" w14:textId="77777777" w:rsidR="00583914" w:rsidRPr="00D37827" w:rsidRDefault="00583914" w:rsidP="00E05A7F">
            <w:pPr>
              <w:spacing w:after="0" w:line="240" w:lineRule="auto"/>
              <w:jc w:val="both"/>
              <w:rPr>
                <w:rFonts w:cstheme="minorHAnsi"/>
                <w:iCs/>
              </w:rPr>
            </w:pPr>
            <w:r w:rsidRPr="00D37827">
              <w:rPr>
                <w:rFonts w:cstheme="minorHAnsi"/>
                <w:iCs/>
              </w:rPr>
              <w:t>Mesas Técnicas de coordinación por eje temático.</w:t>
            </w:r>
          </w:p>
        </w:tc>
        <w:tc>
          <w:tcPr>
            <w:tcW w:w="3475" w:type="pct"/>
            <w:vAlign w:val="center"/>
          </w:tcPr>
          <w:p w14:paraId="734341E5" w14:textId="77777777" w:rsidR="00583914" w:rsidRDefault="00583914" w:rsidP="00E05A7F">
            <w:pPr>
              <w:spacing w:after="0" w:line="240" w:lineRule="auto"/>
              <w:jc w:val="both"/>
              <w:rPr>
                <w:rFonts w:cstheme="minorHAnsi"/>
                <w:iCs/>
              </w:rPr>
            </w:pPr>
            <w:r w:rsidRPr="00D37827">
              <w:rPr>
                <w:rFonts w:cstheme="minorHAnsi"/>
                <w:b/>
                <w:bCs/>
                <w:iCs/>
              </w:rPr>
              <w:t xml:space="preserve">Descripción y objetivo: </w:t>
            </w:r>
            <w:r w:rsidRPr="00D37827">
              <w:rPr>
                <w:rFonts w:cstheme="minorHAnsi"/>
                <w:iCs/>
              </w:rPr>
              <w:t>Al menos 2 reuniones por cada mesa técnica en los ejes de Digitalización, Tecnologías, Capital Humano y Sostenibilidad, como espacios permanentes de coordinación del PTI.</w:t>
            </w:r>
          </w:p>
          <w:p w14:paraId="7643D0B8" w14:textId="77777777" w:rsidR="00583914" w:rsidRPr="00D37827" w:rsidRDefault="00583914" w:rsidP="00E05A7F">
            <w:pPr>
              <w:spacing w:after="0" w:line="240" w:lineRule="auto"/>
              <w:jc w:val="both"/>
              <w:rPr>
                <w:rFonts w:cstheme="minorHAnsi"/>
                <w:iCs/>
              </w:rPr>
            </w:pPr>
            <w:r w:rsidRPr="00D37827">
              <w:rPr>
                <w:rFonts w:cstheme="minorHAnsi"/>
                <w:b/>
                <w:bCs/>
                <w:iCs/>
              </w:rPr>
              <w:t>Resultado esperado:</w:t>
            </w:r>
            <w:r w:rsidRPr="00D37827">
              <w:rPr>
                <w:rFonts w:cstheme="minorHAnsi"/>
                <w:iCs/>
              </w:rPr>
              <w:t xml:space="preserve"> Actas de reuniones con acuerdos formales de los actores y próximos pasos definidos por mesas técnicas por eje.</w:t>
            </w:r>
          </w:p>
          <w:p w14:paraId="22AB1DA7" w14:textId="77777777" w:rsidR="00583914" w:rsidRPr="00D37827" w:rsidRDefault="00583914" w:rsidP="00E05A7F">
            <w:pPr>
              <w:spacing w:after="0" w:line="240" w:lineRule="auto"/>
              <w:jc w:val="both"/>
              <w:rPr>
                <w:rFonts w:cstheme="minorHAnsi"/>
                <w:iCs/>
              </w:rPr>
            </w:pPr>
            <w:r w:rsidRPr="00D37827">
              <w:rPr>
                <w:rFonts w:cstheme="minorHAnsi"/>
                <w:iCs/>
              </w:rPr>
              <w:lastRenderedPageBreak/>
              <w:t>Gobernanza territorial operativa y articulada en torno a objetivos comunes del PTI.</w:t>
            </w:r>
          </w:p>
        </w:tc>
      </w:tr>
      <w:tr w:rsidR="00583914" w:rsidRPr="00D37827" w14:paraId="5279BEF3" w14:textId="77777777" w:rsidTr="00E05A7F">
        <w:trPr>
          <w:trHeight w:val="251"/>
        </w:trPr>
        <w:tc>
          <w:tcPr>
            <w:tcW w:w="599" w:type="pct"/>
            <w:vAlign w:val="center"/>
          </w:tcPr>
          <w:p w14:paraId="453C050A" w14:textId="77777777" w:rsidR="00583914" w:rsidRPr="00D37827" w:rsidRDefault="00583914" w:rsidP="00E05A7F">
            <w:pPr>
              <w:spacing w:after="0" w:line="240" w:lineRule="auto"/>
              <w:ind w:left="81"/>
              <w:jc w:val="center"/>
              <w:rPr>
                <w:rFonts w:cstheme="minorHAnsi"/>
                <w:i/>
              </w:rPr>
            </w:pPr>
            <w:r w:rsidRPr="00D37827">
              <w:rPr>
                <w:rFonts w:cstheme="minorHAnsi"/>
                <w:i/>
              </w:rPr>
              <w:lastRenderedPageBreak/>
              <w:t>OG</w:t>
            </w:r>
          </w:p>
        </w:tc>
        <w:tc>
          <w:tcPr>
            <w:tcW w:w="926" w:type="pct"/>
            <w:vAlign w:val="center"/>
          </w:tcPr>
          <w:p w14:paraId="2A9A2621" w14:textId="77777777" w:rsidR="00583914" w:rsidRPr="00D37827" w:rsidRDefault="00583914" w:rsidP="00E05A7F">
            <w:pPr>
              <w:spacing w:after="0" w:line="240" w:lineRule="auto"/>
              <w:ind w:left="81"/>
              <w:jc w:val="both"/>
              <w:rPr>
                <w:rFonts w:cstheme="minorHAnsi"/>
                <w:iCs/>
              </w:rPr>
            </w:pPr>
            <w:r w:rsidRPr="00D37827">
              <w:rPr>
                <w:rFonts w:cstheme="minorHAnsi"/>
                <w:iCs/>
              </w:rPr>
              <w:t>Consultoría para fortalecer modelo de articulación.</w:t>
            </w:r>
          </w:p>
        </w:tc>
        <w:tc>
          <w:tcPr>
            <w:tcW w:w="3475" w:type="pct"/>
            <w:vAlign w:val="center"/>
          </w:tcPr>
          <w:p w14:paraId="76B57D20" w14:textId="77777777" w:rsidR="00583914" w:rsidRDefault="00583914" w:rsidP="00E05A7F">
            <w:pPr>
              <w:spacing w:after="0" w:line="240" w:lineRule="auto"/>
              <w:jc w:val="both"/>
              <w:rPr>
                <w:rFonts w:cstheme="minorHAnsi"/>
                <w:iCs/>
              </w:rPr>
            </w:pPr>
            <w:r w:rsidRPr="00D37827">
              <w:rPr>
                <w:rFonts w:cstheme="minorHAnsi"/>
                <w:b/>
                <w:bCs/>
                <w:iCs/>
              </w:rPr>
              <w:t>Descripción y objetivo:</w:t>
            </w:r>
            <w:r w:rsidRPr="00D37827">
              <w:rPr>
                <w:rFonts w:cstheme="minorHAnsi"/>
                <w:iCs/>
              </w:rPr>
              <w:t xml:space="preserve"> Realización de una sesión de consultoría con el objetivo de diseñar modelos asociativos que fortalezcan la articulación entre productores, gremios y centros generadores de conocimiento, para la cooperación territorial.</w:t>
            </w:r>
          </w:p>
          <w:p w14:paraId="2B8E3D39" w14:textId="77777777" w:rsidR="00583914" w:rsidRPr="00D37827" w:rsidRDefault="00583914" w:rsidP="00E05A7F">
            <w:pPr>
              <w:spacing w:after="0" w:line="240" w:lineRule="auto"/>
              <w:jc w:val="both"/>
              <w:rPr>
                <w:rFonts w:cstheme="minorHAnsi"/>
                <w:iCs/>
              </w:rPr>
            </w:pPr>
            <w:r w:rsidRPr="00D37827">
              <w:rPr>
                <w:rFonts w:cstheme="minorHAnsi"/>
                <w:b/>
                <w:bCs/>
                <w:iCs/>
              </w:rPr>
              <w:t>Resultado esperado:</w:t>
            </w:r>
            <w:r w:rsidRPr="00D37827">
              <w:rPr>
                <w:rFonts w:cstheme="minorHAnsi"/>
                <w:iCs/>
              </w:rPr>
              <w:t xml:space="preserve"> Informe técnico con diagnóstico organizacional, propuesta de modelo asociativo y plan de implementación territorial.</w:t>
            </w:r>
          </w:p>
          <w:p w14:paraId="0ACF6C48" w14:textId="77777777" w:rsidR="00583914" w:rsidRPr="00D37827" w:rsidRDefault="00583914" w:rsidP="00E05A7F">
            <w:pPr>
              <w:spacing w:after="0" w:line="240" w:lineRule="auto"/>
              <w:jc w:val="both"/>
              <w:rPr>
                <w:rFonts w:cstheme="minorHAnsi"/>
                <w:iCs/>
              </w:rPr>
            </w:pPr>
            <w:r w:rsidRPr="00D37827">
              <w:rPr>
                <w:rFonts w:cstheme="minorHAnsi"/>
                <w:iCs/>
              </w:rPr>
              <w:t>Empresas beneficiarias cuenten con modelos asociativos que fortalecen la gestión colectiva.</w:t>
            </w:r>
          </w:p>
        </w:tc>
      </w:tr>
      <w:tr w:rsidR="00583914" w:rsidRPr="00D37827" w14:paraId="4C75141B" w14:textId="77777777" w:rsidTr="00E05A7F">
        <w:trPr>
          <w:trHeight w:val="251"/>
        </w:trPr>
        <w:tc>
          <w:tcPr>
            <w:tcW w:w="599" w:type="pct"/>
            <w:vAlign w:val="center"/>
          </w:tcPr>
          <w:p w14:paraId="239F6458" w14:textId="77777777" w:rsidR="00583914" w:rsidRPr="00D37827" w:rsidRDefault="00583914" w:rsidP="00E05A7F">
            <w:pPr>
              <w:spacing w:after="0" w:line="240" w:lineRule="auto"/>
              <w:ind w:left="81"/>
              <w:jc w:val="center"/>
              <w:rPr>
                <w:rFonts w:cstheme="minorHAnsi"/>
                <w:i/>
              </w:rPr>
            </w:pPr>
            <w:r w:rsidRPr="00D37827">
              <w:rPr>
                <w:rFonts w:cstheme="minorHAnsi"/>
                <w:i/>
              </w:rPr>
              <w:t>OG</w:t>
            </w:r>
          </w:p>
        </w:tc>
        <w:tc>
          <w:tcPr>
            <w:tcW w:w="926" w:type="pct"/>
            <w:vAlign w:val="center"/>
          </w:tcPr>
          <w:p w14:paraId="34D9454F" w14:textId="77777777" w:rsidR="00583914" w:rsidRPr="00D37827" w:rsidRDefault="00583914" w:rsidP="00E05A7F">
            <w:pPr>
              <w:spacing w:after="0" w:line="240" w:lineRule="auto"/>
              <w:ind w:left="81"/>
              <w:jc w:val="both"/>
              <w:rPr>
                <w:rFonts w:cstheme="minorHAnsi"/>
                <w:iCs/>
              </w:rPr>
            </w:pPr>
            <w:r w:rsidRPr="00D37827">
              <w:rPr>
                <w:rFonts w:cstheme="minorHAnsi"/>
                <w:iCs/>
              </w:rPr>
              <w:t>Encuentros territoriales de innovación agrícola.</w:t>
            </w:r>
          </w:p>
        </w:tc>
        <w:tc>
          <w:tcPr>
            <w:tcW w:w="3475" w:type="pct"/>
            <w:vAlign w:val="center"/>
          </w:tcPr>
          <w:p w14:paraId="0E44AA2A" w14:textId="77777777" w:rsidR="00583914" w:rsidRDefault="00583914" w:rsidP="00E05A7F">
            <w:pPr>
              <w:spacing w:after="0" w:line="240" w:lineRule="auto"/>
              <w:jc w:val="both"/>
              <w:rPr>
                <w:rFonts w:cstheme="minorHAnsi"/>
                <w:iCs/>
              </w:rPr>
            </w:pPr>
            <w:r w:rsidRPr="00D37827">
              <w:rPr>
                <w:rFonts w:cstheme="minorHAnsi"/>
                <w:b/>
                <w:bCs/>
                <w:iCs/>
              </w:rPr>
              <w:t xml:space="preserve">Descripción y objetivo: </w:t>
            </w:r>
            <w:r w:rsidRPr="00D37827">
              <w:rPr>
                <w:rFonts w:cstheme="minorHAnsi"/>
                <w:iCs/>
              </w:rPr>
              <w:t>Al menos 2 Jornadas de intercambio y vinculación entre productores, instituciones públicas, privadas y centros tecnológicos para difundir casos de éxito y nuevas tecnologías frutícolas.</w:t>
            </w:r>
          </w:p>
          <w:p w14:paraId="7B40C527" w14:textId="77777777" w:rsidR="00583914" w:rsidRPr="00D37827" w:rsidRDefault="00583914" w:rsidP="00E05A7F">
            <w:pPr>
              <w:spacing w:after="0" w:line="240" w:lineRule="auto"/>
              <w:jc w:val="both"/>
              <w:rPr>
                <w:rFonts w:cstheme="minorHAnsi"/>
                <w:iCs/>
              </w:rPr>
            </w:pPr>
            <w:r w:rsidRPr="00D37827">
              <w:rPr>
                <w:rFonts w:cstheme="minorHAnsi"/>
                <w:b/>
                <w:bCs/>
                <w:iCs/>
              </w:rPr>
              <w:t>Resultado esperado:</w:t>
            </w:r>
            <w:r w:rsidRPr="00D37827">
              <w:rPr>
                <w:rFonts w:cstheme="minorHAnsi"/>
                <w:iCs/>
              </w:rPr>
              <w:t xml:space="preserve"> Informe final con resumen ejecutivo, objetivos alcanzados, temas tratados, evaluación de participantes y oportunidades de articulación generadas.</w:t>
            </w:r>
          </w:p>
          <w:p w14:paraId="7ED85656" w14:textId="77777777" w:rsidR="00583914" w:rsidRPr="00D37827" w:rsidRDefault="00583914" w:rsidP="00E05A7F">
            <w:pPr>
              <w:spacing w:after="0" w:line="240" w:lineRule="auto"/>
              <w:jc w:val="both"/>
              <w:rPr>
                <w:rFonts w:cstheme="minorHAnsi"/>
                <w:iCs/>
              </w:rPr>
            </w:pPr>
            <w:r w:rsidRPr="00D37827">
              <w:rPr>
                <w:rFonts w:cstheme="minorHAnsi"/>
                <w:iCs/>
              </w:rPr>
              <w:t>Productores acceden a proyectos colaborativos y/o vinculaciones con actores del ecosistema frutícola.</w:t>
            </w:r>
          </w:p>
        </w:tc>
      </w:tr>
      <w:tr w:rsidR="00583914" w:rsidRPr="00D37827" w14:paraId="3AA293CB" w14:textId="77777777" w:rsidTr="00E05A7F">
        <w:trPr>
          <w:trHeight w:val="251"/>
        </w:trPr>
        <w:tc>
          <w:tcPr>
            <w:tcW w:w="599" w:type="pct"/>
            <w:vAlign w:val="center"/>
          </w:tcPr>
          <w:p w14:paraId="42913B2E" w14:textId="77777777" w:rsidR="00583914" w:rsidRPr="00D37827" w:rsidRDefault="00583914" w:rsidP="00E05A7F">
            <w:pPr>
              <w:spacing w:after="0" w:line="240" w:lineRule="auto"/>
              <w:ind w:left="81"/>
              <w:jc w:val="center"/>
              <w:rPr>
                <w:rFonts w:cstheme="minorHAnsi"/>
                <w:i/>
              </w:rPr>
            </w:pPr>
            <w:r w:rsidRPr="00D37827">
              <w:rPr>
                <w:rFonts w:cstheme="minorHAnsi"/>
                <w:i/>
              </w:rPr>
              <w:t>OG</w:t>
            </w:r>
          </w:p>
        </w:tc>
        <w:tc>
          <w:tcPr>
            <w:tcW w:w="926" w:type="pct"/>
            <w:vAlign w:val="center"/>
          </w:tcPr>
          <w:p w14:paraId="589838B7" w14:textId="77777777" w:rsidR="00583914" w:rsidRPr="00D37827" w:rsidRDefault="00583914" w:rsidP="00E05A7F">
            <w:pPr>
              <w:spacing w:after="0" w:line="240" w:lineRule="auto"/>
              <w:ind w:left="81"/>
              <w:jc w:val="both"/>
              <w:rPr>
                <w:rFonts w:cstheme="minorHAnsi"/>
                <w:iCs/>
              </w:rPr>
            </w:pPr>
            <w:r w:rsidRPr="00D37827">
              <w:rPr>
                <w:rFonts w:cstheme="minorHAnsi"/>
                <w:iCs/>
              </w:rPr>
              <w:t>Seminario de finalización fruticultura digital para una industria sustentable.</w:t>
            </w:r>
          </w:p>
        </w:tc>
        <w:tc>
          <w:tcPr>
            <w:tcW w:w="3475" w:type="pct"/>
            <w:vAlign w:val="center"/>
          </w:tcPr>
          <w:p w14:paraId="62C498A0" w14:textId="77777777" w:rsidR="00583914" w:rsidRDefault="00583914" w:rsidP="00E05A7F">
            <w:pPr>
              <w:spacing w:after="0" w:line="240" w:lineRule="auto"/>
              <w:jc w:val="both"/>
              <w:rPr>
                <w:rFonts w:cstheme="minorHAnsi"/>
                <w:iCs/>
              </w:rPr>
            </w:pPr>
            <w:r w:rsidRPr="00D37827">
              <w:rPr>
                <w:rFonts w:cstheme="minorHAnsi"/>
                <w:b/>
                <w:bCs/>
                <w:iCs/>
              </w:rPr>
              <w:t xml:space="preserve">Descripción y objetivo: </w:t>
            </w:r>
            <w:r w:rsidRPr="00D37827">
              <w:rPr>
                <w:rFonts w:cstheme="minorHAnsi"/>
                <w:iCs/>
              </w:rPr>
              <w:t>Espacio de encuentro para visibilizar los resultados del programa y articular al sector.</w:t>
            </w:r>
          </w:p>
          <w:p w14:paraId="2B200B4B" w14:textId="77777777" w:rsidR="00583914" w:rsidRPr="00D37827" w:rsidRDefault="00583914" w:rsidP="00E05A7F">
            <w:pPr>
              <w:spacing w:after="0" w:line="240" w:lineRule="auto"/>
              <w:jc w:val="both"/>
              <w:rPr>
                <w:rFonts w:cstheme="minorHAnsi"/>
                <w:iCs/>
              </w:rPr>
            </w:pPr>
            <w:r w:rsidRPr="00D37827">
              <w:rPr>
                <w:rFonts w:cstheme="minorHAnsi"/>
                <w:b/>
                <w:bCs/>
                <w:iCs/>
              </w:rPr>
              <w:t>Resultado esperado:</w:t>
            </w:r>
            <w:r w:rsidRPr="00D37827">
              <w:rPr>
                <w:rFonts w:cstheme="minorHAnsi"/>
                <w:iCs/>
              </w:rPr>
              <w:t xml:space="preserve"> Informe de la actividad con resumen ejecutivo, objetivos alcanzados, temas tratados, evaluación de participantes y oportunidades de articulación generadas para las mujeres.</w:t>
            </w:r>
          </w:p>
          <w:p w14:paraId="075DF592" w14:textId="77777777" w:rsidR="00583914" w:rsidRPr="00D37827" w:rsidRDefault="00583914" w:rsidP="00E05A7F">
            <w:pPr>
              <w:spacing w:after="0" w:line="240" w:lineRule="auto"/>
              <w:jc w:val="both"/>
              <w:rPr>
                <w:rFonts w:cstheme="minorHAnsi"/>
                <w:iCs/>
              </w:rPr>
            </w:pPr>
            <w:r w:rsidRPr="00D37827">
              <w:rPr>
                <w:rFonts w:cstheme="minorHAnsi"/>
                <w:iCs/>
              </w:rPr>
              <w:t>Mujeres del sector fortalecen su liderazgo y posición en la fruticultura provincial.</w:t>
            </w:r>
          </w:p>
        </w:tc>
      </w:tr>
    </w:tbl>
    <w:p w14:paraId="0A0C9D9A" w14:textId="77777777" w:rsidR="00583914" w:rsidRPr="00D37827" w:rsidRDefault="00583914" w:rsidP="00583914">
      <w:pPr>
        <w:rPr>
          <w:rFonts w:cstheme="minorHAnsi"/>
        </w:rPr>
      </w:pPr>
    </w:p>
    <w:p w14:paraId="16C9AFBB" w14:textId="77777777" w:rsidR="001A430C" w:rsidRPr="006F5A51" w:rsidRDefault="001A430C" w:rsidP="006F5A51">
      <w:pPr>
        <w:jc w:val="both"/>
        <w:rPr>
          <w:sz w:val="28"/>
          <w:szCs w:val="28"/>
        </w:rPr>
      </w:pPr>
    </w:p>
    <w:sectPr w:rsidR="001A430C" w:rsidRPr="006F5A51" w:rsidSect="005E0FB3">
      <w:footerReference w:type="default" r:id="rId23"/>
      <w:headerReference w:type="first" r:id="rId24"/>
      <w:pgSz w:w="12240" w:h="15840"/>
      <w:pgMar w:top="1417" w:right="1701" w:bottom="1417" w:left="1701"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D324A3" w14:textId="77777777" w:rsidR="00B77C56" w:rsidRDefault="00B77C56" w:rsidP="005E0FB3">
      <w:pPr>
        <w:spacing w:after="0" w:line="240" w:lineRule="auto"/>
      </w:pPr>
      <w:r>
        <w:separator/>
      </w:r>
    </w:p>
  </w:endnote>
  <w:endnote w:type="continuationSeparator" w:id="0">
    <w:p w14:paraId="31DD5309" w14:textId="77777777" w:rsidR="00B77C56" w:rsidRDefault="00B77C56" w:rsidP="005E0F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49698108"/>
      <w:docPartObj>
        <w:docPartGallery w:val="Page Numbers (Bottom of Page)"/>
        <w:docPartUnique/>
      </w:docPartObj>
    </w:sdtPr>
    <w:sdtContent>
      <w:p w14:paraId="74A90F3F" w14:textId="5651AC9C" w:rsidR="00224775" w:rsidRDefault="00224775">
        <w:pPr>
          <w:pStyle w:val="Piedepgina"/>
          <w:jc w:val="right"/>
        </w:pPr>
        <w:r>
          <w:fldChar w:fldCharType="begin"/>
        </w:r>
        <w:r>
          <w:instrText>PAGE   \* MERGEFORMAT</w:instrText>
        </w:r>
        <w:r>
          <w:fldChar w:fldCharType="separate"/>
        </w:r>
        <w:r>
          <w:rPr>
            <w:lang w:val="es-ES"/>
          </w:rPr>
          <w:t>2</w:t>
        </w:r>
        <w:r>
          <w:fldChar w:fldCharType="end"/>
        </w:r>
      </w:p>
    </w:sdtContent>
  </w:sdt>
  <w:p w14:paraId="5B877D02" w14:textId="77777777" w:rsidR="00224775" w:rsidRDefault="0022477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3C8408" w14:textId="77777777" w:rsidR="00B77C56" w:rsidRDefault="00B77C56" w:rsidP="005E0FB3">
      <w:pPr>
        <w:spacing w:after="0" w:line="240" w:lineRule="auto"/>
      </w:pPr>
      <w:r>
        <w:separator/>
      </w:r>
    </w:p>
  </w:footnote>
  <w:footnote w:type="continuationSeparator" w:id="0">
    <w:p w14:paraId="0834D165" w14:textId="77777777" w:rsidR="00B77C56" w:rsidRDefault="00B77C56" w:rsidP="005E0FB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233F59" w14:textId="10FDA576" w:rsidR="005E0FB3" w:rsidRDefault="005E0FB3">
    <w:pPr>
      <w:pStyle w:val="Encabezado"/>
    </w:pPr>
  </w:p>
  <w:p w14:paraId="61B0BE6A" w14:textId="66EB1220" w:rsidR="005E0FB3" w:rsidRDefault="005E0FB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25AA5"/>
    <w:multiLevelType w:val="multilevel"/>
    <w:tmpl w:val="636475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99001BF"/>
    <w:multiLevelType w:val="multilevel"/>
    <w:tmpl w:val="52DE6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1E2217"/>
    <w:multiLevelType w:val="hybridMultilevel"/>
    <w:tmpl w:val="EA684A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DB74DCA"/>
    <w:multiLevelType w:val="hybridMultilevel"/>
    <w:tmpl w:val="B19C1F3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4385541"/>
    <w:multiLevelType w:val="hybridMultilevel"/>
    <w:tmpl w:val="43BE3CF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A363B1C"/>
    <w:multiLevelType w:val="hybridMultilevel"/>
    <w:tmpl w:val="DF08E5C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CE374DA"/>
    <w:multiLevelType w:val="hybridMultilevel"/>
    <w:tmpl w:val="25082A1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DDE0ABC"/>
    <w:multiLevelType w:val="multilevel"/>
    <w:tmpl w:val="636475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21FF6DF6"/>
    <w:multiLevelType w:val="hybridMultilevel"/>
    <w:tmpl w:val="F9C6BB8A"/>
    <w:lvl w:ilvl="0" w:tplc="34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3BA4ACC"/>
    <w:multiLevelType w:val="multilevel"/>
    <w:tmpl w:val="70ACF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3CB4D54"/>
    <w:multiLevelType w:val="hybridMultilevel"/>
    <w:tmpl w:val="EA684A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47E2F54"/>
    <w:multiLevelType w:val="hybridMultilevel"/>
    <w:tmpl w:val="970C2F2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50B5D55"/>
    <w:multiLevelType w:val="multilevel"/>
    <w:tmpl w:val="8C8C67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D875447"/>
    <w:multiLevelType w:val="multilevel"/>
    <w:tmpl w:val="CFC407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1996F7C"/>
    <w:multiLevelType w:val="hybridMultilevel"/>
    <w:tmpl w:val="C5863C0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32B21AD3"/>
    <w:multiLevelType w:val="multilevel"/>
    <w:tmpl w:val="636475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365942E6"/>
    <w:multiLevelType w:val="hybridMultilevel"/>
    <w:tmpl w:val="537C488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3B770075"/>
    <w:multiLevelType w:val="hybridMultilevel"/>
    <w:tmpl w:val="B4A8296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3C7100FD"/>
    <w:multiLevelType w:val="multilevel"/>
    <w:tmpl w:val="39CE00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2C07170"/>
    <w:multiLevelType w:val="hybridMultilevel"/>
    <w:tmpl w:val="6F9E620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AC10242"/>
    <w:multiLevelType w:val="multilevel"/>
    <w:tmpl w:val="636475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15:restartNumberingAfterBreak="0">
    <w:nsid w:val="4BD14E2B"/>
    <w:multiLevelType w:val="multilevel"/>
    <w:tmpl w:val="636475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4D3A74C0"/>
    <w:multiLevelType w:val="multilevel"/>
    <w:tmpl w:val="636475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500C110A"/>
    <w:multiLevelType w:val="hybridMultilevel"/>
    <w:tmpl w:val="500690D6"/>
    <w:lvl w:ilvl="0" w:tplc="397CC9E0">
      <w:numFmt w:val="bullet"/>
      <w:lvlText w:val=""/>
      <w:lvlJc w:val="left"/>
      <w:pPr>
        <w:ind w:left="720" w:hanging="360"/>
      </w:pPr>
      <w:rPr>
        <w:rFonts w:ascii="Calibri" w:eastAsiaTheme="minorHAns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51EB6374"/>
    <w:multiLevelType w:val="hybridMultilevel"/>
    <w:tmpl w:val="EA684A9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54562D66"/>
    <w:multiLevelType w:val="hybridMultilevel"/>
    <w:tmpl w:val="4E9AE12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C02079A"/>
    <w:multiLevelType w:val="hybridMultilevel"/>
    <w:tmpl w:val="62B8AD30"/>
    <w:lvl w:ilvl="0" w:tplc="36D02980">
      <w:numFmt w:val="bullet"/>
      <w:lvlText w:val=""/>
      <w:lvlJc w:val="left"/>
      <w:pPr>
        <w:ind w:left="720" w:hanging="360"/>
      </w:pPr>
      <w:rPr>
        <w:rFonts w:ascii="Calibri" w:eastAsiaTheme="minorHAns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5D6417DF"/>
    <w:multiLevelType w:val="multilevel"/>
    <w:tmpl w:val="636475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5E6A4F54"/>
    <w:multiLevelType w:val="multilevel"/>
    <w:tmpl w:val="0B8E83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F713C28"/>
    <w:multiLevelType w:val="hybridMultilevel"/>
    <w:tmpl w:val="BD249514"/>
    <w:lvl w:ilvl="0" w:tplc="4DA6441E">
      <w:numFmt w:val="bullet"/>
      <w:lvlText w:val="-"/>
      <w:lvlJc w:val="left"/>
      <w:pPr>
        <w:ind w:left="720" w:hanging="360"/>
      </w:pPr>
      <w:rPr>
        <w:rFonts w:ascii="Calibri" w:eastAsiaTheme="minorHAns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626A4C2B"/>
    <w:multiLevelType w:val="hybridMultilevel"/>
    <w:tmpl w:val="EA684A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64E5037F"/>
    <w:multiLevelType w:val="multilevel"/>
    <w:tmpl w:val="BFD4E0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A79008B"/>
    <w:multiLevelType w:val="hybridMultilevel"/>
    <w:tmpl w:val="4E9AE120"/>
    <w:lvl w:ilvl="0" w:tplc="080A000F">
      <w:start w:val="1"/>
      <w:numFmt w:val="decimal"/>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6EB57633"/>
    <w:multiLevelType w:val="multilevel"/>
    <w:tmpl w:val="C9323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6E87260"/>
    <w:multiLevelType w:val="multilevel"/>
    <w:tmpl w:val="4754D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A567E4C"/>
    <w:multiLevelType w:val="hybridMultilevel"/>
    <w:tmpl w:val="B04AADC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15:restartNumberingAfterBreak="0">
    <w:nsid w:val="7B5303C1"/>
    <w:multiLevelType w:val="multilevel"/>
    <w:tmpl w:val="7C1EF3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C99408F"/>
    <w:multiLevelType w:val="multilevel"/>
    <w:tmpl w:val="DDE4F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52598436">
    <w:abstractNumId w:val="29"/>
  </w:num>
  <w:num w:numId="2" w16cid:durableId="450783252">
    <w:abstractNumId w:val="37"/>
  </w:num>
  <w:num w:numId="3" w16cid:durableId="423959491">
    <w:abstractNumId w:val="9"/>
  </w:num>
  <w:num w:numId="4" w16cid:durableId="1313754488">
    <w:abstractNumId w:val="34"/>
  </w:num>
  <w:num w:numId="5" w16cid:durableId="1174690182">
    <w:abstractNumId w:val="33"/>
  </w:num>
  <w:num w:numId="6" w16cid:durableId="889340555">
    <w:abstractNumId w:val="12"/>
  </w:num>
  <w:num w:numId="7" w16cid:durableId="1237593092">
    <w:abstractNumId w:val="28"/>
  </w:num>
  <w:num w:numId="8" w16cid:durableId="493184833">
    <w:abstractNumId w:val="14"/>
  </w:num>
  <w:num w:numId="9" w16cid:durableId="516385324">
    <w:abstractNumId w:val="17"/>
  </w:num>
  <w:num w:numId="10" w16cid:durableId="732776504">
    <w:abstractNumId w:val="3"/>
  </w:num>
  <w:num w:numId="11" w16cid:durableId="62602272">
    <w:abstractNumId w:val="11"/>
  </w:num>
  <w:num w:numId="12" w16cid:durableId="188953165">
    <w:abstractNumId w:val="24"/>
  </w:num>
  <w:num w:numId="13" w16cid:durableId="1741828144">
    <w:abstractNumId w:val="10"/>
  </w:num>
  <w:num w:numId="14" w16cid:durableId="711423816">
    <w:abstractNumId w:val="18"/>
  </w:num>
  <w:num w:numId="15" w16cid:durableId="1295139513">
    <w:abstractNumId w:val="30"/>
  </w:num>
  <w:num w:numId="16" w16cid:durableId="2110932283">
    <w:abstractNumId w:val="2"/>
  </w:num>
  <w:num w:numId="17" w16cid:durableId="1635212263">
    <w:abstractNumId w:val="35"/>
  </w:num>
  <w:num w:numId="18" w16cid:durableId="1787306746">
    <w:abstractNumId w:val="6"/>
  </w:num>
  <w:num w:numId="19" w16cid:durableId="883324356">
    <w:abstractNumId w:val="4"/>
  </w:num>
  <w:num w:numId="20" w16cid:durableId="2019966494">
    <w:abstractNumId w:val="0"/>
  </w:num>
  <w:num w:numId="21" w16cid:durableId="1478909845">
    <w:abstractNumId w:val="7"/>
  </w:num>
  <w:num w:numId="22" w16cid:durableId="1161655372">
    <w:abstractNumId w:val="21"/>
  </w:num>
  <w:num w:numId="23" w16cid:durableId="1958485255">
    <w:abstractNumId w:val="22"/>
  </w:num>
  <w:num w:numId="24" w16cid:durableId="1753501381">
    <w:abstractNumId w:val="15"/>
  </w:num>
  <w:num w:numId="25" w16cid:durableId="642542700">
    <w:abstractNumId w:val="13"/>
  </w:num>
  <w:num w:numId="26" w16cid:durableId="2071687186">
    <w:abstractNumId w:val="1"/>
  </w:num>
  <w:num w:numId="27" w16cid:durableId="145904109">
    <w:abstractNumId w:val="20"/>
  </w:num>
  <w:num w:numId="28" w16cid:durableId="194000469">
    <w:abstractNumId w:val="23"/>
  </w:num>
  <w:num w:numId="29" w16cid:durableId="1518033991">
    <w:abstractNumId w:val="27"/>
  </w:num>
  <w:num w:numId="30" w16cid:durableId="1111785394">
    <w:abstractNumId w:val="31"/>
  </w:num>
  <w:num w:numId="31" w16cid:durableId="676227545">
    <w:abstractNumId w:val="36"/>
  </w:num>
  <w:num w:numId="32" w16cid:durableId="924653400">
    <w:abstractNumId w:val="16"/>
  </w:num>
  <w:num w:numId="33" w16cid:durableId="1366372582">
    <w:abstractNumId w:val="26"/>
  </w:num>
  <w:num w:numId="34" w16cid:durableId="1191727812">
    <w:abstractNumId w:val="8"/>
  </w:num>
  <w:num w:numId="35" w16cid:durableId="1631593314">
    <w:abstractNumId w:val="32"/>
  </w:num>
  <w:num w:numId="36" w16cid:durableId="1533374194">
    <w:abstractNumId w:val="25"/>
  </w:num>
  <w:num w:numId="37" w16cid:durableId="1599025652">
    <w:abstractNumId w:val="5"/>
  </w:num>
  <w:num w:numId="38" w16cid:durableId="143038900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5EE4"/>
    <w:rsid w:val="00011F46"/>
    <w:rsid w:val="00013768"/>
    <w:rsid w:val="000138F6"/>
    <w:rsid w:val="00015F4E"/>
    <w:rsid w:val="00016C32"/>
    <w:rsid w:val="000207B8"/>
    <w:rsid w:val="00031F21"/>
    <w:rsid w:val="0004079D"/>
    <w:rsid w:val="00042FE7"/>
    <w:rsid w:val="00044ABE"/>
    <w:rsid w:val="00052866"/>
    <w:rsid w:val="00055046"/>
    <w:rsid w:val="00061DD9"/>
    <w:rsid w:val="000631C4"/>
    <w:rsid w:val="000649D3"/>
    <w:rsid w:val="00066E97"/>
    <w:rsid w:val="00071641"/>
    <w:rsid w:val="00081CE4"/>
    <w:rsid w:val="0008417C"/>
    <w:rsid w:val="00085CE3"/>
    <w:rsid w:val="00093B4F"/>
    <w:rsid w:val="00095D5A"/>
    <w:rsid w:val="000A048F"/>
    <w:rsid w:val="000A4EA5"/>
    <w:rsid w:val="000B0F90"/>
    <w:rsid w:val="000C0867"/>
    <w:rsid w:val="000C0B85"/>
    <w:rsid w:val="000C18DD"/>
    <w:rsid w:val="000C4A25"/>
    <w:rsid w:val="000C5BBA"/>
    <w:rsid w:val="000D1B86"/>
    <w:rsid w:val="000E5305"/>
    <w:rsid w:val="000F2C6E"/>
    <w:rsid w:val="000F6D75"/>
    <w:rsid w:val="001017DF"/>
    <w:rsid w:val="00106081"/>
    <w:rsid w:val="00106415"/>
    <w:rsid w:val="0010659B"/>
    <w:rsid w:val="0011541D"/>
    <w:rsid w:val="00123F2F"/>
    <w:rsid w:val="0012600A"/>
    <w:rsid w:val="001314F4"/>
    <w:rsid w:val="00132EBA"/>
    <w:rsid w:val="001342B1"/>
    <w:rsid w:val="00134578"/>
    <w:rsid w:val="00144AAF"/>
    <w:rsid w:val="0014720E"/>
    <w:rsid w:val="0015028B"/>
    <w:rsid w:val="00151836"/>
    <w:rsid w:val="001530AA"/>
    <w:rsid w:val="001556A0"/>
    <w:rsid w:val="00165BEB"/>
    <w:rsid w:val="001707A2"/>
    <w:rsid w:val="00171C2D"/>
    <w:rsid w:val="001725A3"/>
    <w:rsid w:val="00177228"/>
    <w:rsid w:val="00186E4C"/>
    <w:rsid w:val="00193758"/>
    <w:rsid w:val="00193DA2"/>
    <w:rsid w:val="00194090"/>
    <w:rsid w:val="001941A1"/>
    <w:rsid w:val="00195643"/>
    <w:rsid w:val="00196665"/>
    <w:rsid w:val="001A2C36"/>
    <w:rsid w:val="001A3818"/>
    <w:rsid w:val="001A3CEE"/>
    <w:rsid w:val="001A430C"/>
    <w:rsid w:val="001C3115"/>
    <w:rsid w:val="001D00F0"/>
    <w:rsid w:val="001D10B6"/>
    <w:rsid w:val="001D1CB4"/>
    <w:rsid w:val="001D2AFE"/>
    <w:rsid w:val="001D54D4"/>
    <w:rsid w:val="001E16FC"/>
    <w:rsid w:val="001E41EC"/>
    <w:rsid w:val="00203197"/>
    <w:rsid w:val="00203675"/>
    <w:rsid w:val="00211CD3"/>
    <w:rsid w:val="00217E66"/>
    <w:rsid w:val="00224775"/>
    <w:rsid w:val="00231736"/>
    <w:rsid w:val="00233634"/>
    <w:rsid w:val="002347F4"/>
    <w:rsid w:val="00244154"/>
    <w:rsid w:val="00244935"/>
    <w:rsid w:val="00251982"/>
    <w:rsid w:val="00272C50"/>
    <w:rsid w:val="00273F91"/>
    <w:rsid w:val="00274746"/>
    <w:rsid w:val="00282E55"/>
    <w:rsid w:val="0029255E"/>
    <w:rsid w:val="002A1758"/>
    <w:rsid w:val="002B0DB3"/>
    <w:rsid w:val="002B28EC"/>
    <w:rsid w:val="002B37A0"/>
    <w:rsid w:val="002B4430"/>
    <w:rsid w:val="002C4728"/>
    <w:rsid w:val="002C4EFF"/>
    <w:rsid w:val="002D44FD"/>
    <w:rsid w:val="002D565A"/>
    <w:rsid w:val="002E6565"/>
    <w:rsid w:val="002E7811"/>
    <w:rsid w:val="002F726C"/>
    <w:rsid w:val="00304DC0"/>
    <w:rsid w:val="00305472"/>
    <w:rsid w:val="003059B2"/>
    <w:rsid w:val="003111DA"/>
    <w:rsid w:val="003115E6"/>
    <w:rsid w:val="00314FA6"/>
    <w:rsid w:val="0032678C"/>
    <w:rsid w:val="00330044"/>
    <w:rsid w:val="003300DA"/>
    <w:rsid w:val="00330A77"/>
    <w:rsid w:val="00333D1D"/>
    <w:rsid w:val="003342C3"/>
    <w:rsid w:val="003373D8"/>
    <w:rsid w:val="00337D7A"/>
    <w:rsid w:val="003419A9"/>
    <w:rsid w:val="00342665"/>
    <w:rsid w:val="00344590"/>
    <w:rsid w:val="0034623D"/>
    <w:rsid w:val="00352DDB"/>
    <w:rsid w:val="00357326"/>
    <w:rsid w:val="00357406"/>
    <w:rsid w:val="00370145"/>
    <w:rsid w:val="00373624"/>
    <w:rsid w:val="00373B3E"/>
    <w:rsid w:val="003749D1"/>
    <w:rsid w:val="00374D71"/>
    <w:rsid w:val="0038493C"/>
    <w:rsid w:val="003874EA"/>
    <w:rsid w:val="00387712"/>
    <w:rsid w:val="00396AC7"/>
    <w:rsid w:val="003A4918"/>
    <w:rsid w:val="003A5EE7"/>
    <w:rsid w:val="003B2D4B"/>
    <w:rsid w:val="003C007B"/>
    <w:rsid w:val="003C0138"/>
    <w:rsid w:val="003C358B"/>
    <w:rsid w:val="003C4FA3"/>
    <w:rsid w:val="003D3F0A"/>
    <w:rsid w:val="003D54C9"/>
    <w:rsid w:val="003E5FAA"/>
    <w:rsid w:val="003F0F50"/>
    <w:rsid w:val="003F3438"/>
    <w:rsid w:val="003F7C2E"/>
    <w:rsid w:val="00412DE0"/>
    <w:rsid w:val="0041559B"/>
    <w:rsid w:val="00415C72"/>
    <w:rsid w:val="00416755"/>
    <w:rsid w:val="004167F4"/>
    <w:rsid w:val="00424D98"/>
    <w:rsid w:val="00434EF1"/>
    <w:rsid w:val="004400ED"/>
    <w:rsid w:val="00441F2C"/>
    <w:rsid w:val="004465CC"/>
    <w:rsid w:val="00447469"/>
    <w:rsid w:val="00450BF6"/>
    <w:rsid w:val="00452E26"/>
    <w:rsid w:val="00453483"/>
    <w:rsid w:val="00461A13"/>
    <w:rsid w:val="004679D2"/>
    <w:rsid w:val="00467F7D"/>
    <w:rsid w:val="004703EB"/>
    <w:rsid w:val="004711CC"/>
    <w:rsid w:val="00471EB4"/>
    <w:rsid w:val="0047221D"/>
    <w:rsid w:val="00472396"/>
    <w:rsid w:val="00474E0D"/>
    <w:rsid w:val="00484594"/>
    <w:rsid w:val="00486793"/>
    <w:rsid w:val="00494026"/>
    <w:rsid w:val="004947A2"/>
    <w:rsid w:val="004A19AA"/>
    <w:rsid w:val="004A5E1B"/>
    <w:rsid w:val="004B21CD"/>
    <w:rsid w:val="004B578D"/>
    <w:rsid w:val="004C69C1"/>
    <w:rsid w:val="004D0164"/>
    <w:rsid w:val="004D258C"/>
    <w:rsid w:val="004E210F"/>
    <w:rsid w:val="004F76CD"/>
    <w:rsid w:val="005036BA"/>
    <w:rsid w:val="00503F33"/>
    <w:rsid w:val="00506543"/>
    <w:rsid w:val="00506AC7"/>
    <w:rsid w:val="00511B6C"/>
    <w:rsid w:val="00520F6C"/>
    <w:rsid w:val="005446A4"/>
    <w:rsid w:val="00544D21"/>
    <w:rsid w:val="00547C12"/>
    <w:rsid w:val="005513A0"/>
    <w:rsid w:val="00560CCD"/>
    <w:rsid w:val="00562804"/>
    <w:rsid w:val="00565F7E"/>
    <w:rsid w:val="00573DB1"/>
    <w:rsid w:val="00575572"/>
    <w:rsid w:val="0058039B"/>
    <w:rsid w:val="00583914"/>
    <w:rsid w:val="00583DFC"/>
    <w:rsid w:val="00584C71"/>
    <w:rsid w:val="00585805"/>
    <w:rsid w:val="005906C7"/>
    <w:rsid w:val="00595CC1"/>
    <w:rsid w:val="00596778"/>
    <w:rsid w:val="00597D16"/>
    <w:rsid w:val="005A3BB7"/>
    <w:rsid w:val="005A480E"/>
    <w:rsid w:val="005A6FC5"/>
    <w:rsid w:val="005A7E12"/>
    <w:rsid w:val="005B2FCB"/>
    <w:rsid w:val="005B4A4D"/>
    <w:rsid w:val="005B6C89"/>
    <w:rsid w:val="005D08AF"/>
    <w:rsid w:val="005D24CD"/>
    <w:rsid w:val="005D6971"/>
    <w:rsid w:val="005D762B"/>
    <w:rsid w:val="005E0FB3"/>
    <w:rsid w:val="005F0CAB"/>
    <w:rsid w:val="005F2410"/>
    <w:rsid w:val="0060174D"/>
    <w:rsid w:val="00603BF8"/>
    <w:rsid w:val="006042F6"/>
    <w:rsid w:val="00631677"/>
    <w:rsid w:val="00634F77"/>
    <w:rsid w:val="00635A5D"/>
    <w:rsid w:val="00637386"/>
    <w:rsid w:val="00637E11"/>
    <w:rsid w:val="006405BA"/>
    <w:rsid w:val="00643CA0"/>
    <w:rsid w:val="00644E02"/>
    <w:rsid w:val="00654D89"/>
    <w:rsid w:val="00656832"/>
    <w:rsid w:val="006578B4"/>
    <w:rsid w:val="00666BED"/>
    <w:rsid w:val="00670D31"/>
    <w:rsid w:val="00671A13"/>
    <w:rsid w:val="00672B3D"/>
    <w:rsid w:val="006757F2"/>
    <w:rsid w:val="00681A2E"/>
    <w:rsid w:val="00681B6E"/>
    <w:rsid w:val="006845EB"/>
    <w:rsid w:val="00693287"/>
    <w:rsid w:val="006952E9"/>
    <w:rsid w:val="00695F74"/>
    <w:rsid w:val="006966F7"/>
    <w:rsid w:val="006A0129"/>
    <w:rsid w:val="006A0272"/>
    <w:rsid w:val="006B14DB"/>
    <w:rsid w:val="006B7762"/>
    <w:rsid w:val="006C5969"/>
    <w:rsid w:val="006F1A27"/>
    <w:rsid w:val="006F4926"/>
    <w:rsid w:val="006F5A51"/>
    <w:rsid w:val="00700BE7"/>
    <w:rsid w:val="00702F78"/>
    <w:rsid w:val="00704802"/>
    <w:rsid w:val="00706182"/>
    <w:rsid w:val="0070785E"/>
    <w:rsid w:val="007100F1"/>
    <w:rsid w:val="00713804"/>
    <w:rsid w:val="00717743"/>
    <w:rsid w:val="00722AD8"/>
    <w:rsid w:val="007303B2"/>
    <w:rsid w:val="00752C0B"/>
    <w:rsid w:val="00761C45"/>
    <w:rsid w:val="007632DB"/>
    <w:rsid w:val="00763C5D"/>
    <w:rsid w:val="0076446A"/>
    <w:rsid w:val="00766260"/>
    <w:rsid w:val="007721B4"/>
    <w:rsid w:val="00773E10"/>
    <w:rsid w:val="00776FBF"/>
    <w:rsid w:val="00793EF9"/>
    <w:rsid w:val="00795218"/>
    <w:rsid w:val="00795414"/>
    <w:rsid w:val="007A4849"/>
    <w:rsid w:val="007A5F72"/>
    <w:rsid w:val="007A7106"/>
    <w:rsid w:val="007C06AF"/>
    <w:rsid w:val="007C352B"/>
    <w:rsid w:val="007C7BD9"/>
    <w:rsid w:val="007D3136"/>
    <w:rsid w:val="007D46C8"/>
    <w:rsid w:val="007E0615"/>
    <w:rsid w:val="007E0A75"/>
    <w:rsid w:val="007E12B8"/>
    <w:rsid w:val="007E2D93"/>
    <w:rsid w:val="007E530A"/>
    <w:rsid w:val="007E6923"/>
    <w:rsid w:val="007F1A2F"/>
    <w:rsid w:val="007F4DF4"/>
    <w:rsid w:val="008060CF"/>
    <w:rsid w:val="00807C6D"/>
    <w:rsid w:val="00812363"/>
    <w:rsid w:val="00813CF3"/>
    <w:rsid w:val="008168C5"/>
    <w:rsid w:val="0082016F"/>
    <w:rsid w:val="00824BA5"/>
    <w:rsid w:val="00830B8F"/>
    <w:rsid w:val="00831B26"/>
    <w:rsid w:val="00837B97"/>
    <w:rsid w:val="00842CED"/>
    <w:rsid w:val="0085232C"/>
    <w:rsid w:val="0085401E"/>
    <w:rsid w:val="008608FB"/>
    <w:rsid w:val="008668E4"/>
    <w:rsid w:val="00870A4C"/>
    <w:rsid w:val="00876480"/>
    <w:rsid w:val="008770FE"/>
    <w:rsid w:val="00882032"/>
    <w:rsid w:val="0088506C"/>
    <w:rsid w:val="00892F79"/>
    <w:rsid w:val="008936D6"/>
    <w:rsid w:val="008A549C"/>
    <w:rsid w:val="008A781D"/>
    <w:rsid w:val="008C0303"/>
    <w:rsid w:val="008C13BE"/>
    <w:rsid w:val="008C1DFE"/>
    <w:rsid w:val="008C4A99"/>
    <w:rsid w:val="008C7352"/>
    <w:rsid w:val="008E341F"/>
    <w:rsid w:val="008E3811"/>
    <w:rsid w:val="008F4BF4"/>
    <w:rsid w:val="008F6442"/>
    <w:rsid w:val="00903134"/>
    <w:rsid w:val="00906705"/>
    <w:rsid w:val="00910931"/>
    <w:rsid w:val="00911E68"/>
    <w:rsid w:val="00922CE7"/>
    <w:rsid w:val="00924E12"/>
    <w:rsid w:val="0093006B"/>
    <w:rsid w:val="009351BD"/>
    <w:rsid w:val="00942A09"/>
    <w:rsid w:val="0094661F"/>
    <w:rsid w:val="00947827"/>
    <w:rsid w:val="0095280D"/>
    <w:rsid w:val="0096001C"/>
    <w:rsid w:val="00961D1B"/>
    <w:rsid w:val="00962223"/>
    <w:rsid w:val="00966CD7"/>
    <w:rsid w:val="00971D75"/>
    <w:rsid w:val="009758A8"/>
    <w:rsid w:val="009759C5"/>
    <w:rsid w:val="0098513E"/>
    <w:rsid w:val="0098633C"/>
    <w:rsid w:val="009864B4"/>
    <w:rsid w:val="00990D5D"/>
    <w:rsid w:val="009A666A"/>
    <w:rsid w:val="009A7BA6"/>
    <w:rsid w:val="009C2DEF"/>
    <w:rsid w:val="009C495D"/>
    <w:rsid w:val="009D12EA"/>
    <w:rsid w:val="009D30C6"/>
    <w:rsid w:val="009D425B"/>
    <w:rsid w:val="009D68D1"/>
    <w:rsid w:val="009E0464"/>
    <w:rsid w:val="009E3668"/>
    <w:rsid w:val="009E437D"/>
    <w:rsid w:val="009E5600"/>
    <w:rsid w:val="009F59B1"/>
    <w:rsid w:val="009F5EE4"/>
    <w:rsid w:val="00A00FAE"/>
    <w:rsid w:val="00A03A1D"/>
    <w:rsid w:val="00A0790B"/>
    <w:rsid w:val="00A15FEC"/>
    <w:rsid w:val="00A16CB3"/>
    <w:rsid w:val="00A16F29"/>
    <w:rsid w:val="00A23F44"/>
    <w:rsid w:val="00A31E00"/>
    <w:rsid w:val="00A42E7A"/>
    <w:rsid w:val="00A45E3C"/>
    <w:rsid w:val="00A553E1"/>
    <w:rsid w:val="00A575C4"/>
    <w:rsid w:val="00A643F9"/>
    <w:rsid w:val="00A64549"/>
    <w:rsid w:val="00A6701B"/>
    <w:rsid w:val="00A672B7"/>
    <w:rsid w:val="00A718A5"/>
    <w:rsid w:val="00A71F0E"/>
    <w:rsid w:val="00A75E69"/>
    <w:rsid w:val="00A7607F"/>
    <w:rsid w:val="00A83653"/>
    <w:rsid w:val="00A91BCD"/>
    <w:rsid w:val="00A9519F"/>
    <w:rsid w:val="00AA0FBC"/>
    <w:rsid w:val="00AA4339"/>
    <w:rsid w:val="00AB25C5"/>
    <w:rsid w:val="00AB4F34"/>
    <w:rsid w:val="00AB71C1"/>
    <w:rsid w:val="00AB7F88"/>
    <w:rsid w:val="00AC132B"/>
    <w:rsid w:val="00AC2430"/>
    <w:rsid w:val="00AC7BF1"/>
    <w:rsid w:val="00AD7F48"/>
    <w:rsid w:val="00AE0C14"/>
    <w:rsid w:val="00AE15DB"/>
    <w:rsid w:val="00AE1718"/>
    <w:rsid w:val="00AE25F9"/>
    <w:rsid w:val="00AE6817"/>
    <w:rsid w:val="00AE6A6E"/>
    <w:rsid w:val="00AF0273"/>
    <w:rsid w:val="00AF088E"/>
    <w:rsid w:val="00AF2902"/>
    <w:rsid w:val="00AF7CD8"/>
    <w:rsid w:val="00B00F41"/>
    <w:rsid w:val="00B021B8"/>
    <w:rsid w:val="00B047DA"/>
    <w:rsid w:val="00B06305"/>
    <w:rsid w:val="00B07FF3"/>
    <w:rsid w:val="00B1024C"/>
    <w:rsid w:val="00B13161"/>
    <w:rsid w:val="00B14047"/>
    <w:rsid w:val="00B21689"/>
    <w:rsid w:val="00B254A9"/>
    <w:rsid w:val="00B26367"/>
    <w:rsid w:val="00B33716"/>
    <w:rsid w:val="00B40078"/>
    <w:rsid w:val="00B40CAC"/>
    <w:rsid w:val="00B55050"/>
    <w:rsid w:val="00B57FBC"/>
    <w:rsid w:val="00B643F3"/>
    <w:rsid w:val="00B75164"/>
    <w:rsid w:val="00B77C56"/>
    <w:rsid w:val="00B8215C"/>
    <w:rsid w:val="00B84314"/>
    <w:rsid w:val="00B870E4"/>
    <w:rsid w:val="00B92EF6"/>
    <w:rsid w:val="00B94578"/>
    <w:rsid w:val="00B95590"/>
    <w:rsid w:val="00B96409"/>
    <w:rsid w:val="00BA46D8"/>
    <w:rsid w:val="00BB2D09"/>
    <w:rsid w:val="00BB4C09"/>
    <w:rsid w:val="00BC31A9"/>
    <w:rsid w:val="00BC41C7"/>
    <w:rsid w:val="00BC483F"/>
    <w:rsid w:val="00BD2ED4"/>
    <w:rsid w:val="00BD4ECB"/>
    <w:rsid w:val="00BD5442"/>
    <w:rsid w:val="00BE47EA"/>
    <w:rsid w:val="00BE4CF2"/>
    <w:rsid w:val="00BF30D2"/>
    <w:rsid w:val="00C01AA3"/>
    <w:rsid w:val="00C01F6D"/>
    <w:rsid w:val="00C03693"/>
    <w:rsid w:val="00C12E07"/>
    <w:rsid w:val="00C13125"/>
    <w:rsid w:val="00C14F69"/>
    <w:rsid w:val="00C152F5"/>
    <w:rsid w:val="00C225E5"/>
    <w:rsid w:val="00C230C1"/>
    <w:rsid w:val="00C249B8"/>
    <w:rsid w:val="00C25010"/>
    <w:rsid w:val="00C31671"/>
    <w:rsid w:val="00C36C9C"/>
    <w:rsid w:val="00C42A5A"/>
    <w:rsid w:val="00C46585"/>
    <w:rsid w:val="00C53CBD"/>
    <w:rsid w:val="00C57F16"/>
    <w:rsid w:val="00C75979"/>
    <w:rsid w:val="00C80998"/>
    <w:rsid w:val="00C851DF"/>
    <w:rsid w:val="00C85B96"/>
    <w:rsid w:val="00C85E24"/>
    <w:rsid w:val="00C87939"/>
    <w:rsid w:val="00C94EEA"/>
    <w:rsid w:val="00C96E50"/>
    <w:rsid w:val="00CA09EB"/>
    <w:rsid w:val="00CA1AE8"/>
    <w:rsid w:val="00CA7BFD"/>
    <w:rsid w:val="00CB0C67"/>
    <w:rsid w:val="00CB1D86"/>
    <w:rsid w:val="00CB492F"/>
    <w:rsid w:val="00CB50E4"/>
    <w:rsid w:val="00CB6825"/>
    <w:rsid w:val="00CC511F"/>
    <w:rsid w:val="00CC6EE0"/>
    <w:rsid w:val="00CC7450"/>
    <w:rsid w:val="00CD2A7C"/>
    <w:rsid w:val="00CD3858"/>
    <w:rsid w:val="00CD63B0"/>
    <w:rsid w:val="00CE0F7E"/>
    <w:rsid w:val="00CE1742"/>
    <w:rsid w:val="00CE5181"/>
    <w:rsid w:val="00CE5EC5"/>
    <w:rsid w:val="00D01BA2"/>
    <w:rsid w:val="00D0518B"/>
    <w:rsid w:val="00D15394"/>
    <w:rsid w:val="00D1767B"/>
    <w:rsid w:val="00D2170F"/>
    <w:rsid w:val="00D21809"/>
    <w:rsid w:val="00D21AC3"/>
    <w:rsid w:val="00D221F7"/>
    <w:rsid w:val="00D31D11"/>
    <w:rsid w:val="00D31E2C"/>
    <w:rsid w:val="00D32CF2"/>
    <w:rsid w:val="00D36FE0"/>
    <w:rsid w:val="00D37827"/>
    <w:rsid w:val="00D37FE6"/>
    <w:rsid w:val="00D40C2F"/>
    <w:rsid w:val="00D40D65"/>
    <w:rsid w:val="00D46F19"/>
    <w:rsid w:val="00D52505"/>
    <w:rsid w:val="00D54D50"/>
    <w:rsid w:val="00D66DE8"/>
    <w:rsid w:val="00D67D8E"/>
    <w:rsid w:val="00D706CB"/>
    <w:rsid w:val="00D72644"/>
    <w:rsid w:val="00D936E2"/>
    <w:rsid w:val="00DA0411"/>
    <w:rsid w:val="00DA4DD5"/>
    <w:rsid w:val="00DA7BB4"/>
    <w:rsid w:val="00DB1AAB"/>
    <w:rsid w:val="00DB59A2"/>
    <w:rsid w:val="00DB6EA5"/>
    <w:rsid w:val="00DB7374"/>
    <w:rsid w:val="00DB7A61"/>
    <w:rsid w:val="00DC3952"/>
    <w:rsid w:val="00DD1274"/>
    <w:rsid w:val="00DD1A1A"/>
    <w:rsid w:val="00DD4F41"/>
    <w:rsid w:val="00DE4248"/>
    <w:rsid w:val="00DE7AC1"/>
    <w:rsid w:val="00DF44A8"/>
    <w:rsid w:val="00E0212E"/>
    <w:rsid w:val="00E040E3"/>
    <w:rsid w:val="00E0472D"/>
    <w:rsid w:val="00E077D5"/>
    <w:rsid w:val="00E07C4B"/>
    <w:rsid w:val="00E1208B"/>
    <w:rsid w:val="00E121CA"/>
    <w:rsid w:val="00E15ACB"/>
    <w:rsid w:val="00E160DF"/>
    <w:rsid w:val="00E20438"/>
    <w:rsid w:val="00E214D0"/>
    <w:rsid w:val="00E23D55"/>
    <w:rsid w:val="00E24000"/>
    <w:rsid w:val="00E24ED7"/>
    <w:rsid w:val="00E26824"/>
    <w:rsid w:val="00E26D6A"/>
    <w:rsid w:val="00E27882"/>
    <w:rsid w:val="00E37098"/>
    <w:rsid w:val="00E40F4F"/>
    <w:rsid w:val="00E43FD4"/>
    <w:rsid w:val="00E5193A"/>
    <w:rsid w:val="00E57CA9"/>
    <w:rsid w:val="00E61E01"/>
    <w:rsid w:val="00E66635"/>
    <w:rsid w:val="00E668F1"/>
    <w:rsid w:val="00E862A8"/>
    <w:rsid w:val="00E92985"/>
    <w:rsid w:val="00EA6251"/>
    <w:rsid w:val="00EA6D8B"/>
    <w:rsid w:val="00EA73EF"/>
    <w:rsid w:val="00EA7A9C"/>
    <w:rsid w:val="00EB3F0F"/>
    <w:rsid w:val="00EC1F69"/>
    <w:rsid w:val="00EC2821"/>
    <w:rsid w:val="00EC282C"/>
    <w:rsid w:val="00EC5428"/>
    <w:rsid w:val="00ED45CA"/>
    <w:rsid w:val="00ED4E11"/>
    <w:rsid w:val="00ED7F95"/>
    <w:rsid w:val="00EE2FFF"/>
    <w:rsid w:val="00EE7FDC"/>
    <w:rsid w:val="00EF0BD9"/>
    <w:rsid w:val="00EF4606"/>
    <w:rsid w:val="00F06380"/>
    <w:rsid w:val="00F261C7"/>
    <w:rsid w:val="00F27DDE"/>
    <w:rsid w:val="00F323FF"/>
    <w:rsid w:val="00F327C0"/>
    <w:rsid w:val="00F331A9"/>
    <w:rsid w:val="00F50A23"/>
    <w:rsid w:val="00F52F35"/>
    <w:rsid w:val="00F53885"/>
    <w:rsid w:val="00F578E2"/>
    <w:rsid w:val="00F62A33"/>
    <w:rsid w:val="00F62B50"/>
    <w:rsid w:val="00F64503"/>
    <w:rsid w:val="00F663BA"/>
    <w:rsid w:val="00F733D3"/>
    <w:rsid w:val="00F758AE"/>
    <w:rsid w:val="00F82A8E"/>
    <w:rsid w:val="00F84A27"/>
    <w:rsid w:val="00F84CC2"/>
    <w:rsid w:val="00F93410"/>
    <w:rsid w:val="00F939B0"/>
    <w:rsid w:val="00F9405E"/>
    <w:rsid w:val="00F94C27"/>
    <w:rsid w:val="00F95D5F"/>
    <w:rsid w:val="00FA3948"/>
    <w:rsid w:val="00FA3C43"/>
    <w:rsid w:val="00FB0062"/>
    <w:rsid w:val="00FB51EE"/>
    <w:rsid w:val="00FB71D4"/>
    <w:rsid w:val="00FC11D1"/>
    <w:rsid w:val="00FC62D2"/>
    <w:rsid w:val="00FC6D2F"/>
    <w:rsid w:val="00FC7486"/>
    <w:rsid w:val="00FC753C"/>
    <w:rsid w:val="00FD14B9"/>
    <w:rsid w:val="00FD24C7"/>
    <w:rsid w:val="00FD3532"/>
    <w:rsid w:val="00FD43FB"/>
    <w:rsid w:val="00FD4C89"/>
    <w:rsid w:val="00FD5FF1"/>
    <w:rsid w:val="00FE2E0C"/>
    <w:rsid w:val="00FF24B8"/>
    <w:rsid w:val="00FF4F5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285104"/>
  <w15:chartTrackingRefBased/>
  <w15:docId w15:val="{0E9B7CAC-45FF-47EF-B70A-64C0FDBAFE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9F5EE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A0790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8936D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semiHidden/>
    <w:unhideWhenUsed/>
    <w:qFormat/>
    <w:rsid w:val="00EC5428"/>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F5EE4"/>
    <w:rPr>
      <w:rFonts w:asciiTheme="majorHAnsi" w:eastAsiaTheme="majorEastAsia" w:hAnsiTheme="majorHAnsi" w:cstheme="majorBidi"/>
      <w:color w:val="2F5496" w:themeColor="accent1" w:themeShade="BF"/>
      <w:sz w:val="32"/>
      <w:szCs w:val="32"/>
    </w:rPr>
  </w:style>
  <w:style w:type="paragraph" w:styleId="Prrafodelista">
    <w:name w:val="List Paragraph"/>
    <w:basedOn w:val="Normal"/>
    <w:uiPriority w:val="34"/>
    <w:qFormat/>
    <w:rsid w:val="00A0790B"/>
    <w:pPr>
      <w:ind w:left="720"/>
      <w:contextualSpacing/>
    </w:pPr>
  </w:style>
  <w:style w:type="character" w:customStyle="1" w:styleId="oypena">
    <w:name w:val="oypena"/>
    <w:basedOn w:val="Fuentedeprrafopredeter"/>
    <w:rsid w:val="00A0790B"/>
  </w:style>
  <w:style w:type="character" w:customStyle="1" w:styleId="Ttulo2Car">
    <w:name w:val="Título 2 Car"/>
    <w:basedOn w:val="Fuentedeprrafopredeter"/>
    <w:link w:val="Ttulo2"/>
    <w:uiPriority w:val="9"/>
    <w:rsid w:val="00A0790B"/>
    <w:rPr>
      <w:rFonts w:asciiTheme="majorHAnsi" w:eastAsiaTheme="majorEastAsia" w:hAnsiTheme="majorHAnsi" w:cstheme="majorBidi"/>
      <w:color w:val="2F5496" w:themeColor="accent1" w:themeShade="BF"/>
      <w:sz w:val="26"/>
      <w:szCs w:val="26"/>
    </w:rPr>
  </w:style>
  <w:style w:type="character" w:styleId="Hipervnculo">
    <w:name w:val="Hyperlink"/>
    <w:basedOn w:val="Fuentedeprrafopredeter"/>
    <w:uiPriority w:val="99"/>
    <w:unhideWhenUsed/>
    <w:rsid w:val="00DA4DD5"/>
    <w:rPr>
      <w:color w:val="0563C1" w:themeColor="hyperlink"/>
      <w:u w:val="single"/>
    </w:rPr>
  </w:style>
  <w:style w:type="character" w:styleId="Mencinsinresolver">
    <w:name w:val="Unresolved Mention"/>
    <w:basedOn w:val="Fuentedeprrafopredeter"/>
    <w:uiPriority w:val="99"/>
    <w:semiHidden/>
    <w:unhideWhenUsed/>
    <w:rsid w:val="00DA4DD5"/>
    <w:rPr>
      <w:color w:val="605E5C"/>
      <w:shd w:val="clear" w:color="auto" w:fill="E1DFDD"/>
    </w:rPr>
  </w:style>
  <w:style w:type="character" w:styleId="Hipervnculovisitado">
    <w:name w:val="FollowedHyperlink"/>
    <w:basedOn w:val="Fuentedeprrafopredeter"/>
    <w:uiPriority w:val="99"/>
    <w:semiHidden/>
    <w:unhideWhenUsed/>
    <w:rsid w:val="00DA4DD5"/>
    <w:rPr>
      <w:color w:val="954F72" w:themeColor="followedHyperlink"/>
      <w:u w:val="single"/>
    </w:rPr>
  </w:style>
  <w:style w:type="character" w:styleId="nfasis">
    <w:name w:val="Emphasis"/>
    <w:basedOn w:val="Fuentedeprrafopredeter"/>
    <w:uiPriority w:val="20"/>
    <w:qFormat/>
    <w:rsid w:val="006F4926"/>
    <w:rPr>
      <w:i/>
      <w:iCs/>
    </w:rPr>
  </w:style>
  <w:style w:type="paragraph" w:styleId="Sinespaciado">
    <w:name w:val="No Spacing"/>
    <w:link w:val="SinespaciadoCar"/>
    <w:uiPriority w:val="1"/>
    <w:qFormat/>
    <w:rsid w:val="005E0FB3"/>
    <w:pPr>
      <w:spacing w:after="0" w:line="240" w:lineRule="auto"/>
    </w:pPr>
    <w:rPr>
      <w:rFonts w:eastAsiaTheme="minorEastAsia"/>
      <w:lang w:eastAsia="es-CL"/>
    </w:rPr>
  </w:style>
  <w:style w:type="character" w:customStyle="1" w:styleId="SinespaciadoCar">
    <w:name w:val="Sin espaciado Car"/>
    <w:basedOn w:val="Fuentedeprrafopredeter"/>
    <w:link w:val="Sinespaciado"/>
    <w:uiPriority w:val="1"/>
    <w:rsid w:val="005E0FB3"/>
    <w:rPr>
      <w:rFonts w:eastAsiaTheme="minorEastAsia"/>
      <w:lang w:eastAsia="es-CL"/>
    </w:rPr>
  </w:style>
  <w:style w:type="paragraph" w:styleId="Encabezado">
    <w:name w:val="header"/>
    <w:basedOn w:val="Normal"/>
    <w:link w:val="EncabezadoCar"/>
    <w:uiPriority w:val="99"/>
    <w:unhideWhenUsed/>
    <w:rsid w:val="005E0FB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E0FB3"/>
  </w:style>
  <w:style w:type="paragraph" w:styleId="Piedepgina">
    <w:name w:val="footer"/>
    <w:basedOn w:val="Normal"/>
    <w:link w:val="PiedepginaCar"/>
    <w:uiPriority w:val="99"/>
    <w:unhideWhenUsed/>
    <w:rsid w:val="005E0FB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E0FB3"/>
  </w:style>
  <w:style w:type="table" w:styleId="Tablaconcuadrcula">
    <w:name w:val="Table Grid"/>
    <w:basedOn w:val="Tablanormal"/>
    <w:uiPriority w:val="39"/>
    <w:rsid w:val="00AC13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14720E"/>
    <w:pPr>
      <w:spacing w:before="100" w:beforeAutospacing="1" w:after="100" w:afterAutospacing="1" w:line="240" w:lineRule="auto"/>
    </w:pPr>
    <w:rPr>
      <w:rFonts w:ascii="Times New Roman" w:eastAsia="Times New Roman" w:hAnsi="Times New Roman" w:cs="Times New Roman"/>
      <w:sz w:val="24"/>
      <w:szCs w:val="24"/>
      <w:lang w:eastAsia="es-CL"/>
    </w:rPr>
  </w:style>
  <w:style w:type="character" w:customStyle="1" w:styleId="Ttulo3Car">
    <w:name w:val="Título 3 Car"/>
    <w:basedOn w:val="Fuentedeprrafopredeter"/>
    <w:link w:val="Ttulo3"/>
    <w:uiPriority w:val="9"/>
    <w:rsid w:val="008936D6"/>
    <w:rPr>
      <w:rFonts w:asciiTheme="majorHAnsi" w:eastAsiaTheme="majorEastAsia" w:hAnsiTheme="majorHAnsi" w:cstheme="majorBidi"/>
      <w:color w:val="1F3763" w:themeColor="accent1" w:themeShade="7F"/>
      <w:sz w:val="24"/>
      <w:szCs w:val="24"/>
    </w:rPr>
  </w:style>
  <w:style w:type="character" w:customStyle="1" w:styleId="ng-star-inserted">
    <w:name w:val="ng-star-inserted"/>
    <w:basedOn w:val="Fuentedeprrafopredeter"/>
    <w:rsid w:val="00654D89"/>
  </w:style>
  <w:style w:type="paragraph" w:styleId="Textonotapie">
    <w:name w:val="footnote text"/>
    <w:aliases w:val="Char Char, Car,Car,Footnote Text Char Char Char Char,Footnote Text Char Char Char,HAB16,Texto nota pie Car2 Car,Texto nota pie Car1 Car Car,Texto nota pie Car Car Car1 Car,Texto nota pie Car Car1 Car,Texto nota pie Car Car"/>
    <w:basedOn w:val="Normal"/>
    <w:link w:val="TextonotapieCar"/>
    <w:uiPriority w:val="99"/>
    <w:unhideWhenUsed/>
    <w:rsid w:val="00506543"/>
    <w:pPr>
      <w:spacing w:after="200" w:line="276" w:lineRule="auto"/>
    </w:pPr>
    <w:rPr>
      <w:rFonts w:ascii="Calibri" w:eastAsia="Calibri" w:hAnsi="Calibri" w:cs="Times New Roman"/>
      <w:sz w:val="20"/>
      <w:szCs w:val="20"/>
      <w:lang w:val="es-ES"/>
    </w:rPr>
  </w:style>
  <w:style w:type="character" w:customStyle="1" w:styleId="TextonotapieCar">
    <w:name w:val="Texto nota pie Car"/>
    <w:aliases w:val="Char Char Car, Car Car,Car Car,Footnote Text Char Char Char Char Car,Footnote Text Char Char Char Car,HAB16 Car,Texto nota pie Car2 Car Car,Texto nota pie Car1 Car Car Car,Texto nota pie Car Car Car1 Car Car,Texto nota pie Car Car Car"/>
    <w:basedOn w:val="Fuentedeprrafopredeter"/>
    <w:link w:val="Textonotapie"/>
    <w:uiPriority w:val="99"/>
    <w:rsid w:val="00506543"/>
    <w:rPr>
      <w:rFonts w:ascii="Calibri" w:eastAsia="Calibri" w:hAnsi="Calibri" w:cs="Times New Roman"/>
      <w:sz w:val="20"/>
      <w:szCs w:val="20"/>
      <w:lang w:val="es-ES"/>
    </w:rPr>
  </w:style>
  <w:style w:type="character" w:styleId="Refdenotaalpie">
    <w:name w:val="footnote reference"/>
    <w:aliases w:val="HAB06"/>
    <w:uiPriority w:val="99"/>
    <w:unhideWhenUsed/>
    <w:rsid w:val="00506543"/>
    <w:rPr>
      <w:vertAlign w:val="superscript"/>
    </w:rPr>
  </w:style>
  <w:style w:type="character" w:customStyle="1" w:styleId="Ttulo4Car">
    <w:name w:val="Título 4 Car"/>
    <w:basedOn w:val="Fuentedeprrafopredeter"/>
    <w:link w:val="Ttulo4"/>
    <w:uiPriority w:val="9"/>
    <w:semiHidden/>
    <w:rsid w:val="00EC5428"/>
    <w:rPr>
      <w:rFonts w:asciiTheme="majorHAnsi" w:eastAsiaTheme="majorEastAsia" w:hAnsiTheme="majorHAnsi" w:cstheme="majorBidi"/>
      <w:i/>
      <w:iCs/>
      <w:color w:val="2F5496" w:themeColor="accent1" w:themeShade="BF"/>
    </w:rPr>
  </w:style>
  <w:style w:type="paragraph" w:styleId="Revisin">
    <w:name w:val="Revision"/>
    <w:hidden/>
    <w:uiPriority w:val="99"/>
    <w:semiHidden/>
    <w:rsid w:val="003111DA"/>
    <w:pPr>
      <w:spacing w:after="0" w:line="240" w:lineRule="auto"/>
    </w:pPr>
  </w:style>
  <w:style w:type="character" w:styleId="Refdecomentario">
    <w:name w:val="annotation reference"/>
    <w:basedOn w:val="Fuentedeprrafopredeter"/>
    <w:uiPriority w:val="99"/>
    <w:semiHidden/>
    <w:unhideWhenUsed/>
    <w:rsid w:val="00FC11D1"/>
    <w:rPr>
      <w:sz w:val="16"/>
      <w:szCs w:val="16"/>
    </w:rPr>
  </w:style>
  <w:style w:type="paragraph" w:styleId="Textocomentario">
    <w:name w:val="annotation text"/>
    <w:basedOn w:val="Normal"/>
    <w:link w:val="TextocomentarioCar"/>
    <w:uiPriority w:val="99"/>
    <w:semiHidden/>
    <w:unhideWhenUsed/>
    <w:rsid w:val="00FC11D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C11D1"/>
    <w:rPr>
      <w:sz w:val="20"/>
      <w:szCs w:val="20"/>
    </w:rPr>
  </w:style>
  <w:style w:type="paragraph" w:styleId="Asuntodelcomentario">
    <w:name w:val="annotation subject"/>
    <w:basedOn w:val="Textocomentario"/>
    <w:next w:val="Textocomentario"/>
    <w:link w:val="AsuntodelcomentarioCar"/>
    <w:uiPriority w:val="99"/>
    <w:semiHidden/>
    <w:unhideWhenUsed/>
    <w:rsid w:val="00FC11D1"/>
    <w:rPr>
      <w:b/>
      <w:bCs/>
    </w:rPr>
  </w:style>
  <w:style w:type="character" w:customStyle="1" w:styleId="AsuntodelcomentarioCar">
    <w:name w:val="Asunto del comentario Car"/>
    <w:basedOn w:val="TextocomentarioCar"/>
    <w:link w:val="Asuntodelcomentario"/>
    <w:uiPriority w:val="99"/>
    <w:semiHidden/>
    <w:rsid w:val="00FC11D1"/>
    <w:rPr>
      <w:b/>
      <w:bCs/>
      <w:sz w:val="20"/>
      <w:szCs w:val="20"/>
    </w:rPr>
  </w:style>
  <w:style w:type="paragraph" w:styleId="Bibliografa">
    <w:name w:val="Bibliography"/>
    <w:basedOn w:val="Normal"/>
    <w:next w:val="Normal"/>
    <w:uiPriority w:val="37"/>
    <w:unhideWhenUsed/>
    <w:rsid w:val="00224775"/>
  </w:style>
  <w:style w:type="paragraph" w:styleId="TtuloTDC">
    <w:name w:val="TOC Heading"/>
    <w:basedOn w:val="Ttulo1"/>
    <w:next w:val="Normal"/>
    <w:uiPriority w:val="39"/>
    <w:unhideWhenUsed/>
    <w:qFormat/>
    <w:rsid w:val="00224775"/>
    <w:pPr>
      <w:outlineLvl w:val="9"/>
    </w:pPr>
    <w:rPr>
      <w:lang w:eastAsia="es-CL"/>
    </w:rPr>
  </w:style>
  <w:style w:type="paragraph" w:styleId="TDC2">
    <w:name w:val="toc 2"/>
    <w:basedOn w:val="Normal"/>
    <w:next w:val="Normal"/>
    <w:autoRedefine/>
    <w:uiPriority w:val="39"/>
    <w:unhideWhenUsed/>
    <w:rsid w:val="00224775"/>
    <w:pPr>
      <w:spacing w:after="100"/>
      <w:ind w:left="220"/>
    </w:pPr>
  </w:style>
  <w:style w:type="paragraph" w:styleId="TDC1">
    <w:name w:val="toc 1"/>
    <w:basedOn w:val="Normal"/>
    <w:next w:val="Normal"/>
    <w:autoRedefine/>
    <w:uiPriority w:val="39"/>
    <w:unhideWhenUsed/>
    <w:rsid w:val="00224775"/>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753215">
      <w:bodyDiv w:val="1"/>
      <w:marLeft w:val="0"/>
      <w:marRight w:val="0"/>
      <w:marTop w:val="0"/>
      <w:marBottom w:val="0"/>
      <w:divBdr>
        <w:top w:val="none" w:sz="0" w:space="0" w:color="auto"/>
        <w:left w:val="none" w:sz="0" w:space="0" w:color="auto"/>
        <w:bottom w:val="none" w:sz="0" w:space="0" w:color="auto"/>
        <w:right w:val="none" w:sz="0" w:space="0" w:color="auto"/>
      </w:divBdr>
    </w:div>
    <w:div w:id="51656768">
      <w:bodyDiv w:val="1"/>
      <w:marLeft w:val="0"/>
      <w:marRight w:val="0"/>
      <w:marTop w:val="0"/>
      <w:marBottom w:val="0"/>
      <w:divBdr>
        <w:top w:val="none" w:sz="0" w:space="0" w:color="auto"/>
        <w:left w:val="none" w:sz="0" w:space="0" w:color="auto"/>
        <w:bottom w:val="none" w:sz="0" w:space="0" w:color="auto"/>
        <w:right w:val="none" w:sz="0" w:space="0" w:color="auto"/>
      </w:divBdr>
    </w:div>
    <w:div w:id="144902030">
      <w:bodyDiv w:val="1"/>
      <w:marLeft w:val="0"/>
      <w:marRight w:val="0"/>
      <w:marTop w:val="0"/>
      <w:marBottom w:val="0"/>
      <w:divBdr>
        <w:top w:val="none" w:sz="0" w:space="0" w:color="auto"/>
        <w:left w:val="none" w:sz="0" w:space="0" w:color="auto"/>
        <w:bottom w:val="none" w:sz="0" w:space="0" w:color="auto"/>
        <w:right w:val="none" w:sz="0" w:space="0" w:color="auto"/>
      </w:divBdr>
    </w:div>
    <w:div w:id="201674311">
      <w:bodyDiv w:val="1"/>
      <w:marLeft w:val="0"/>
      <w:marRight w:val="0"/>
      <w:marTop w:val="0"/>
      <w:marBottom w:val="0"/>
      <w:divBdr>
        <w:top w:val="none" w:sz="0" w:space="0" w:color="auto"/>
        <w:left w:val="none" w:sz="0" w:space="0" w:color="auto"/>
        <w:bottom w:val="none" w:sz="0" w:space="0" w:color="auto"/>
        <w:right w:val="none" w:sz="0" w:space="0" w:color="auto"/>
      </w:divBdr>
    </w:div>
    <w:div w:id="220482816">
      <w:bodyDiv w:val="1"/>
      <w:marLeft w:val="0"/>
      <w:marRight w:val="0"/>
      <w:marTop w:val="0"/>
      <w:marBottom w:val="0"/>
      <w:divBdr>
        <w:top w:val="none" w:sz="0" w:space="0" w:color="auto"/>
        <w:left w:val="none" w:sz="0" w:space="0" w:color="auto"/>
        <w:bottom w:val="none" w:sz="0" w:space="0" w:color="auto"/>
        <w:right w:val="none" w:sz="0" w:space="0" w:color="auto"/>
      </w:divBdr>
    </w:div>
    <w:div w:id="226886405">
      <w:bodyDiv w:val="1"/>
      <w:marLeft w:val="0"/>
      <w:marRight w:val="0"/>
      <w:marTop w:val="0"/>
      <w:marBottom w:val="0"/>
      <w:divBdr>
        <w:top w:val="none" w:sz="0" w:space="0" w:color="auto"/>
        <w:left w:val="none" w:sz="0" w:space="0" w:color="auto"/>
        <w:bottom w:val="none" w:sz="0" w:space="0" w:color="auto"/>
        <w:right w:val="none" w:sz="0" w:space="0" w:color="auto"/>
      </w:divBdr>
      <w:divsChild>
        <w:div w:id="60179498">
          <w:marLeft w:val="0"/>
          <w:marRight w:val="0"/>
          <w:marTop w:val="0"/>
          <w:marBottom w:val="0"/>
          <w:divBdr>
            <w:top w:val="none" w:sz="0" w:space="0" w:color="auto"/>
            <w:left w:val="none" w:sz="0" w:space="0" w:color="auto"/>
            <w:bottom w:val="none" w:sz="0" w:space="0" w:color="auto"/>
            <w:right w:val="none" w:sz="0" w:space="0" w:color="auto"/>
          </w:divBdr>
        </w:div>
        <w:div w:id="748498734">
          <w:marLeft w:val="0"/>
          <w:marRight w:val="0"/>
          <w:marTop w:val="0"/>
          <w:marBottom w:val="0"/>
          <w:divBdr>
            <w:top w:val="none" w:sz="0" w:space="0" w:color="auto"/>
            <w:left w:val="none" w:sz="0" w:space="0" w:color="auto"/>
            <w:bottom w:val="none" w:sz="0" w:space="0" w:color="auto"/>
            <w:right w:val="none" w:sz="0" w:space="0" w:color="auto"/>
          </w:divBdr>
        </w:div>
        <w:div w:id="446509806">
          <w:marLeft w:val="0"/>
          <w:marRight w:val="0"/>
          <w:marTop w:val="0"/>
          <w:marBottom w:val="0"/>
          <w:divBdr>
            <w:top w:val="none" w:sz="0" w:space="0" w:color="auto"/>
            <w:left w:val="none" w:sz="0" w:space="0" w:color="auto"/>
            <w:bottom w:val="none" w:sz="0" w:space="0" w:color="auto"/>
            <w:right w:val="none" w:sz="0" w:space="0" w:color="auto"/>
          </w:divBdr>
        </w:div>
        <w:div w:id="1934895060">
          <w:marLeft w:val="0"/>
          <w:marRight w:val="0"/>
          <w:marTop w:val="0"/>
          <w:marBottom w:val="0"/>
          <w:divBdr>
            <w:top w:val="none" w:sz="0" w:space="0" w:color="auto"/>
            <w:left w:val="none" w:sz="0" w:space="0" w:color="auto"/>
            <w:bottom w:val="none" w:sz="0" w:space="0" w:color="auto"/>
            <w:right w:val="none" w:sz="0" w:space="0" w:color="auto"/>
          </w:divBdr>
        </w:div>
      </w:divsChild>
    </w:div>
    <w:div w:id="257520203">
      <w:bodyDiv w:val="1"/>
      <w:marLeft w:val="0"/>
      <w:marRight w:val="0"/>
      <w:marTop w:val="0"/>
      <w:marBottom w:val="0"/>
      <w:divBdr>
        <w:top w:val="none" w:sz="0" w:space="0" w:color="auto"/>
        <w:left w:val="none" w:sz="0" w:space="0" w:color="auto"/>
        <w:bottom w:val="none" w:sz="0" w:space="0" w:color="auto"/>
        <w:right w:val="none" w:sz="0" w:space="0" w:color="auto"/>
      </w:divBdr>
    </w:div>
    <w:div w:id="265961765">
      <w:bodyDiv w:val="1"/>
      <w:marLeft w:val="0"/>
      <w:marRight w:val="0"/>
      <w:marTop w:val="0"/>
      <w:marBottom w:val="0"/>
      <w:divBdr>
        <w:top w:val="none" w:sz="0" w:space="0" w:color="auto"/>
        <w:left w:val="none" w:sz="0" w:space="0" w:color="auto"/>
        <w:bottom w:val="none" w:sz="0" w:space="0" w:color="auto"/>
        <w:right w:val="none" w:sz="0" w:space="0" w:color="auto"/>
      </w:divBdr>
      <w:divsChild>
        <w:div w:id="70543625">
          <w:marLeft w:val="0"/>
          <w:marRight w:val="0"/>
          <w:marTop w:val="0"/>
          <w:marBottom w:val="0"/>
          <w:divBdr>
            <w:top w:val="none" w:sz="0" w:space="0" w:color="auto"/>
            <w:left w:val="none" w:sz="0" w:space="0" w:color="auto"/>
            <w:bottom w:val="none" w:sz="0" w:space="0" w:color="auto"/>
            <w:right w:val="none" w:sz="0" w:space="0" w:color="auto"/>
          </w:divBdr>
        </w:div>
        <w:div w:id="759330928">
          <w:marLeft w:val="0"/>
          <w:marRight w:val="0"/>
          <w:marTop w:val="0"/>
          <w:marBottom w:val="0"/>
          <w:divBdr>
            <w:top w:val="none" w:sz="0" w:space="0" w:color="auto"/>
            <w:left w:val="none" w:sz="0" w:space="0" w:color="auto"/>
            <w:bottom w:val="none" w:sz="0" w:space="0" w:color="auto"/>
            <w:right w:val="none" w:sz="0" w:space="0" w:color="auto"/>
          </w:divBdr>
        </w:div>
        <w:div w:id="40835101">
          <w:marLeft w:val="0"/>
          <w:marRight w:val="0"/>
          <w:marTop w:val="0"/>
          <w:marBottom w:val="0"/>
          <w:divBdr>
            <w:top w:val="none" w:sz="0" w:space="0" w:color="auto"/>
            <w:left w:val="none" w:sz="0" w:space="0" w:color="auto"/>
            <w:bottom w:val="none" w:sz="0" w:space="0" w:color="auto"/>
            <w:right w:val="none" w:sz="0" w:space="0" w:color="auto"/>
          </w:divBdr>
        </w:div>
        <w:div w:id="753281761">
          <w:marLeft w:val="0"/>
          <w:marRight w:val="0"/>
          <w:marTop w:val="0"/>
          <w:marBottom w:val="0"/>
          <w:divBdr>
            <w:top w:val="none" w:sz="0" w:space="0" w:color="auto"/>
            <w:left w:val="none" w:sz="0" w:space="0" w:color="auto"/>
            <w:bottom w:val="none" w:sz="0" w:space="0" w:color="auto"/>
            <w:right w:val="none" w:sz="0" w:space="0" w:color="auto"/>
          </w:divBdr>
        </w:div>
      </w:divsChild>
    </w:div>
    <w:div w:id="270286518">
      <w:bodyDiv w:val="1"/>
      <w:marLeft w:val="0"/>
      <w:marRight w:val="0"/>
      <w:marTop w:val="0"/>
      <w:marBottom w:val="0"/>
      <w:divBdr>
        <w:top w:val="none" w:sz="0" w:space="0" w:color="auto"/>
        <w:left w:val="none" w:sz="0" w:space="0" w:color="auto"/>
        <w:bottom w:val="none" w:sz="0" w:space="0" w:color="auto"/>
        <w:right w:val="none" w:sz="0" w:space="0" w:color="auto"/>
      </w:divBdr>
      <w:divsChild>
        <w:div w:id="665397">
          <w:marLeft w:val="0"/>
          <w:marRight w:val="0"/>
          <w:marTop w:val="0"/>
          <w:marBottom w:val="0"/>
          <w:divBdr>
            <w:top w:val="none" w:sz="0" w:space="0" w:color="auto"/>
            <w:left w:val="none" w:sz="0" w:space="0" w:color="auto"/>
            <w:bottom w:val="none" w:sz="0" w:space="0" w:color="auto"/>
            <w:right w:val="none" w:sz="0" w:space="0" w:color="auto"/>
          </w:divBdr>
        </w:div>
        <w:div w:id="1014649947">
          <w:marLeft w:val="0"/>
          <w:marRight w:val="0"/>
          <w:marTop w:val="0"/>
          <w:marBottom w:val="0"/>
          <w:divBdr>
            <w:top w:val="none" w:sz="0" w:space="0" w:color="auto"/>
            <w:left w:val="none" w:sz="0" w:space="0" w:color="auto"/>
            <w:bottom w:val="none" w:sz="0" w:space="0" w:color="auto"/>
            <w:right w:val="none" w:sz="0" w:space="0" w:color="auto"/>
          </w:divBdr>
        </w:div>
        <w:div w:id="1131244615">
          <w:marLeft w:val="0"/>
          <w:marRight w:val="0"/>
          <w:marTop w:val="0"/>
          <w:marBottom w:val="0"/>
          <w:divBdr>
            <w:top w:val="none" w:sz="0" w:space="0" w:color="auto"/>
            <w:left w:val="none" w:sz="0" w:space="0" w:color="auto"/>
            <w:bottom w:val="none" w:sz="0" w:space="0" w:color="auto"/>
            <w:right w:val="none" w:sz="0" w:space="0" w:color="auto"/>
          </w:divBdr>
        </w:div>
      </w:divsChild>
    </w:div>
    <w:div w:id="272177896">
      <w:bodyDiv w:val="1"/>
      <w:marLeft w:val="0"/>
      <w:marRight w:val="0"/>
      <w:marTop w:val="0"/>
      <w:marBottom w:val="0"/>
      <w:divBdr>
        <w:top w:val="none" w:sz="0" w:space="0" w:color="auto"/>
        <w:left w:val="none" w:sz="0" w:space="0" w:color="auto"/>
        <w:bottom w:val="none" w:sz="0" w:space="0" w:color="auto"/>
        <w:right w:val="none" w:sz="0" w:space="0" w:color="auto"/>
      </w:divBdr>
    </w:div>
    <w:div w:id="291637490">
      <w:bodyDiv w:val="1"/>
      <w:marLeft w:val="0"/>
      <w:marRight w:val="0"/>
      <w:marTop w:val="0"/>
      <w:marBottom w:val="0"/>
      <w:divBdr>
        <w:top w:val="none" w:sz="0" w:space="0" w:color="auto"/>
        <w:left w:val="none" w:sz="0" w:space="0" w:color="auto"/>
        <w:bottom w:val="none" w:sz="0" w:space="0" w:color="auto"/>
        <w:right w:val="none" w:sz="0" w:space="0" w:color="auto"/>
      </w:divBdr>
    </w:div>
    <w:div w:id="341202612">
      <w:bodyDiv w:val="1"/>
      <w:marLeft w:val="0"/>
      <w:marRight w:val="0"/>
      <w:marTop w:val="0"/>
      <w:marBottom w:val="0"/>
      <w:divBdr>
        <w:top w:val="none" w:sz="0" w:space="0" w:color="auto"/>
        <w:left w:val="none" w:sz="0" w:space="0" w:color="auto"/>
        <w:bottom w:val="none" w:sz="0" w:space="0" w:color="auto"/>
        <w:right w:val="none" w:sz="0" w:space="0" w:color="auto"/>
      </w:divBdr>
    </w:div>
    <w:div w:id="346447770">
      <w:bodyDiv w:val="1"/>
      <w:marLeft w:val="0"/>
      <w:marRight w:val="0"/>
      <w:marTop w:val="0"/>
      <w:marBottom w:val="0"/>
      <w:divBdr>
        <w:top w:val="none" w:sz="0" w:space="0" w:color="auto"/>
        <w:left w:val="none" w:sz="0" w:space="0" w:color="auto"/>
        <w:bottom w:val="none" w:sz="0" w:space="0" w:color="auto"/>
        <w:right w:val="none" w:sz="0" w:space="0" w:color="auto"/>
      </w:divBdr>
    </w:div>
    <w:div w:id="375204607">
      <w:bodyDiv w:val="1"/>
      <w:marLeft w:val="0"/>
      <w:marRight w:val="0"/>
      <w:marTop w:val="0"/>
      <w:marBottom w:val="0"/>
      <w:divBdr>
        <w:top w:val="none" w:sz="0" w:space="0" w:color="auto"/>
        <w:left w:val="none" w:sz="0" w:space="0" w:color="auto"/>
        <w:bottom w:val="none" w:sz="0" w:space="0" w:color="auto"/>
        <w:right w:val="none" w:sz="0" w:space="0" w:color="auto"/>
      </w:divBdr>
    </w:div>
    <w:div w:id="431358611">
      <w:bodyDiv w:val="1"/>
      <w:marLeft w:val="0"/>
      <w:marRight w:val="0"/>
      <w:marTop w:val="0"/>
      <w:marBottom w:val="0"/>
      <w:divBdr>
        <w:top w:val="none" w:sz="0" w:space="0" w:color="auto"/>
        <w:left w:val="none" w:sz="0" w:space="0" w:color="auto"/>
        <w:bottom w:val="none" w:sz="0" w:space="0" w:color="auto"/>
        <w:right w:val="none" w:sz="0" w:space="0" w:color="auto"/>
      </w:divBdr>
    </w:div>
    <w:div w:id="456602548">
      <w:bodyDiv w:val="1"/>
      <w:marLeft w:val="0"/>
      <w:marRight w:val="0"/>
      <w:marTop w:val="0"/>
      <w:marBottom w:val="0"/>
      <w:divBdr>
        <w:top w:val="none" w:sz="0" w:space="0" w:color="auto"/>
        <w:left w:val="none" w:sz="0" w:space="0" w:color="auto"/>
        <w:bottom w:val="none" w:sz="0" w:space="0" w:color="auto"/>
        <w:right w:val="none" w:sz="0" w:space="0" w:color="auto"/>
      </w:divBdr>
    </w:div>
    <w:div w:id="526261972">
      <w:bodyDiv w:val="1"/>
      <w:marLeft w:val="0"/>
      <w:marRight w:val="0"/>
      <w:marTop w:val="0"/>
      <w:marBottom w:val="0"/>
      <w:divBdr>
        <w:top w:val="none" w:sz="0" w:space="0" w:color="auto"/>
        <w:left w:val="none" w:sz="0" w:space="0" w:color="auto"/>
        <w:bottom w:val="none" w:sz="0" w:space="0" w:color="auto"/>
        <w:right w:val="none" w:sz="0" w:space="0" w:color="auto"/>
      </w:divBdr>
    </w:div>
    <w:div w:id="542407621">
      <w:bodyDiv w:val="1"/>
      <w:marLeft w:val="0"/>
      <w:marRight w:val="0"/>
      <w:marTop w:val="0"/>
      <w:marBottom w:val="0"/>
      <w:divBdr>
        <w:top w:val="none" w:sz="0" w:space="0" w:color="auto"/>
        <w:left w:val="none" w:sz="0" w:space="0" w:color="auto"/>
        <w:bottom w:val="none" w:sz="0" w:space="0" w:color="auto"/>
        <w:right w:val="none" w:sz="0" w:space="0" w:color="auto"/>
      </w:divBdr>
    </w:div>
    <w:div w:id="554897091">
      <w:bodyDiv w:val="1"/>
      <w:marLeft w:val="0"/>
      <w:marRight w:val="0"/>
      <w:marTop w:val="0"/>
      <w:marBottom w:val="0"/>
      <w:divBdr>
        <w:top w:val="none" w:sz="0" w:space="0" w:color="auto"/>
        <w:left w:val="none" w:sz="0" w:space="0" w:color="auto"/>
        <w:bottom w:val="none" w:sz="0" w:space="0" w:color="auto"/>
        <w:right w:val="none" w:sz="0" w:space="0" w:color="auto"/>
      </w:divBdr>
    </w:div>
    <w:div w:id="566838541">
      <w:bodyDiv w:val="1"/>
      <w:marLeft w:val="0"/>
      <w:marRight w:val="0"/>
      <w:marTop w:val="0"/>
      <w:marBottom w:val="0"/>
      <w:divBdr>
        <w:top w:val="none" w:sz="0" w:space="0" w:color="auto"/>
        <w:left w:val="none" w:sz="0" w:space="0" w:color="auto"/>
        <w:bottom w:val="none" w:sz="0" w:space="0" w:color="auto"/>
        <w:right w:val="none" w:sz="0" w:space="0" w:color="auto"/>
      </w:divBdr>
    </w:div>
    <w:div w:id="601760426">
      <w:bodyDiv w:val="1"/>
      <w:marLeft w:val="0"/>
      <w:marRight w:val="0"/>
      <w:marTop w:val="0"/>
      <w:marBottom w:val="0"/>
      <w:divBdr>
        <w:top w:val="none" w:sz="0" w:space="0" w:color="auto"/>
        <w:left w:val="none" w:sz="0" w:space="0" w:color="auto"/>
        <w:bottom w:val="none" w:sz="0" w:space="0" w:color="auto"/>
        <w:right w:val="none" w:sz="0" w:space="0" w:color="auto"/>
      </w:divBdr>
    </w:div>
    <w:div w:id="611933421">
      <w:bodyDiv w:val="1"/>
      <w:marLeft w:val="0"/>
      <w:marRight w:val="0"/>
      <w:marTop w:val="0"/>
      <w:marBottom w:val="0"/>
      <w:divBdr>
        <w:top w:val="none" w:sz="0" w:space="0" w:color="auto"/>
        <w:left w:val="none" w:sz="0" w:space="0" w:color="auto"/>
        <w:bottom w:val="none" w:sz="0" w:space="0" w:color="auto"/>
        <w:right w:val="none" w:sz="0" w:space="0" w:color="auto"/>
      </w:divBdr>
    </w:div>
    <w:div w:id="627323018">
      <w:bodyDiv w:val="1"/>
      <w:marLeft w:val="0"/>
      <w:marRight w:val="0"/>
      <w:marTop w:val="0"/>
      <w:marBottom w:val="0"/>
      <w:divBdr>
        <w:top w:val="none" w:sz="0" w:space="0" w:color="auto"/>
        <w:left w:val="none" w:sz="0" w:space="0" w:color="auto"/>
        <w:bottom w:val="none" w:sz="0" w:space="0" w:color="auto"/>
        <w:right w:val="none" w:sz="0" w:space="0" w:color="auto"/>
      </w:divBdr>
      <w:divsChild>
        <w:div w:id="1771465433">
          <w:marLeft w:val="0"/>
          <w:marRight w:val="0"/>
          <w:marTop w:val="0"/>
          <w:marBottom w:val="0"/>
          <w:divBdr>
            <w:top w:val="none" w:sz="0" w:space="0" w:color="auto"/>
            <w:left w:val="none" w:sz="0" w:space="0" w:color="auto"/>
            <w:bottom w:val="none" w:sz="0" w:space="0" w:color="auto"/>
            <w:right w:val="none" w:sz="0" w:space="0" w:color="auto"/>
          </w:divBdr>
          <w:divsChild>
            <w:div w:id="1185630422">
              <w:marLeft w:val="0"/>
              <w:marRight w:val="0"/>
              <w:marTop w:val="0"/>
              <w:marBottom w:val="0"/>
              <w:divBdr>
                <w:top w:val="none" w:sz="0" w:space="0" w:color="auto"/>
                <w:left w:val="none" w:sz="0" w:space="0" w:color="auto"/>
                <w:bottom w:val="none" w:sz="0" w:space="0" w:color="auto"/>
                <w:right w:val="none" w:sz="0" w:space="0" w:color="auto"/>
              </w:divBdr>
              <w:divsChild>
                <w:div w:id="1839886522">
                  <w:marLeft w:val="0"/>
                  <w:marRight w:val="0"/>
                  <w:marTop w:val="0"/>
                  <w:marBottom w:val="0"/>
                  <w:divBdr>
                    <w:top w:val="none" w:sz="0" w:space="0" w:color="auto"/>
                    <w:left w:val="none" w:sz="0" w:space="0" w:color="auto"/>
                    <w:bottom w:val="none" w:sz="0" w:space="0" w:color="auto"/>
                    <w:right w:val="none" w:sz="0" w:space="0" w:color="auto"/>
                  </w:divBdr>
                  <w:divsChild>
                    <w:div w:id="391343945">
                      <w:marLeft w:val="0"/>
                      <w:marRight w:val="0"/>
                      <w:marTop w:val="0"/>
                      <w:marBottom w:val="0"/>
                      <w:divBdr>
                        <w:top w:val="none" w:sz="0" w:space="0" w:color="auto"/>
                        <w:left w:val="none" w:sz="0" w:space="0" w:color="auto"/>
                        <w:bottom w:val="none" w:sz="0" w:space="0" w:color="auto"/>
                        <w:right w:val="none" w:sz="0" w:space="0" w:color="auto"/>
                      </w:divBdr>
                      <w:divsChild>
                        <w:div w:id="1500849595">
                          <w:marLeft w:val="0"/>
                          <w:marRight w:val="0"/>
                          <w:marTop w:val="0"/>
                          <w:marBottom w:val="0"/>
                          <w:divBdr>
                            <w:top w:val="none" w:sz="0" w:space="0" w:color="auto"/>
                            <w:left w:val="none" w:sz="0" w:space="0" w:color="auto"/>
                            <w:bottom w:val="none" w:sz="0" w:space="0" w:color="auto"/>
                            <w:right w:val="none" w:sz="0" w:space="0" w:color="auto"/>
                          </w:divBdr>
                          <w:divsChild>
                            <w:div w:id="99241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1682595">
      <w:bodyDiv w:val="1"/>
      <w:marLeft w:val="0"/>
      <w:marRight w:val="0"/>
      <w:marTop w:val="0"/>
      <w:marBottom w:val="0"/>
      <w:divBdr>
        <w:top w:val="none" w:sz="0" w:space="0" w:color="auto"/>
        <w:left w:val="none" w:sz="0" w:space="0" w:color="auto"/>
        <w:bottom w:val="none" w:sz="0" w:space="0" w:color="auto"/>
        <w:right w:val="none" w:sz="0" w:space="0" w:color="auto"/>
      </w:divBdr>
      <w:divsChild>
        <w:div w:id="1791391096">
          <w:marLeft w:val="0"/>
          <w:marRight w:val="0"/>
          <w:marTop w:val="0"/>
          <w:marBottom w:val="0"/>
          <w:divBdr>
            <w:top w:val="none" w:sz="0" w:space="0" w:color="auto"/>
            <w:left w:val="none" w:sz="0" w:space="0" w:color="auto"/>
            <w:bottom w:val="none" w:sz="0" w:space="0" w:color="auto"/>
            <w:right w:val="none" w:sz="0" w:space="0" w:color="auto"/>
          </w:divBdr>
        </w:div>
        <w:div w:id="803235636">
          <w:marLeft w:val="0"/>
          <w:marRight w:val="0"/>
          <w:marTop w:val="0"/>
          <w:marBottom w:val="0"/>
          <w:divBdr>
            <w:top w:val="none" w:sz="0" w:space="0" w:color="auto"/>
            <w:left w:val="none" w:sz="0" w:space="0" w:color="auto"/>
            <w:bottom w:val="none" w:sz="0" w:space="0" w:color="auto"/>
            <w:right w:val="none" w:sz="0" w:space="0" w:color="auto"/>
          </w:divBdr>
        </w:div>
        <w:div w:id="1663315979">
          <w:marLeft w:val="0"/>
          <w:marRight w:val="0"/>
          <w:marTop w:val="0"/>
          <w:marBottom w:val="0"/>
          <w:divBdr>
            <w:top w:val="none" w:sz="0" w:space="0" w:color="auto"/>
            <w:left w:val="none" w:sz="0" w:space="0" w:color="auto"/>
            <w:bottom w:val="none" w:sz="0" w:space="0" w:color="auto"/>
            <w:right w:val="none" w:sz="0" w:space="0" w:color="auto"/>
          </w:divBdr>
        </w:div>
      </w:divsChild>
    </w:div>
    <w:div w:id="685250502">
      <w:bodyDiv w:val="1"/>
      <w:marLeft w:val="0"/>
      <w:marRight w:val="0"/>
      <w:marTop w:val="0"/>
      <w:marBottom w:val="0"/>
      <w:divBdr>
        <w:top w:val="none" w:sz="0" w:space="0" w:color="auto"/>
        <w:left w:val="none" w:sz="0" w:space="0" w:color="auto"/>
        <w:bottom w:val="none" w:sz="0" w:space="0" w:color="auto"/>
        <w:right w:val="none" w:sz="0" w:space="0" w:color="auto"/>
      </w:divBdr>
    </w:div>
    <w:div w:id="695540720">
      <w:bodyDiv w:val="1"/>
      <w:marLeft w:val="0"/>
      <w:marRight w:val="0"/>
      <w:marTop w:val="0"/>
      <w:marBottom w:val="0"/>
      <w:divBdr>
        <w:top w:val="none" w:sz="0" w:space="0" w:color="auto"/>
        <w:left w:val="none" w:sz="0" w:space="0" w:color="auto"/>
        <w:bottom w:val="none" w:sz="0" w:space="0" w:color="auto"/>
        <w:right w:val="none" w:sz="0" w:space="0" w:color="auto"/>
      </w:divBdr>
      <w:divsChild>
        <w:div w:id="1069113488">
          <w:marLeft w:val="0"/>
          <w:marRight w:val="0"/>
          <w:marTop w:val="0"/>
          <w:marBottom w:val="0"/>
          <w:divBdr>
            <w:top w:val="none" w:sz="0" w:space="0" w:color="auto"/>
            <w:left w:val="none" w:sz="0" w:space="0" w:color="auto"/>
            <w:bottom w:val="none" w:sz="0" w:space="0" w:color="auto"/>
            <w:right w:val="none" w:sz="0" w:space="0" w:color="auto"/>
          </w:divBdr>
        </w:div>
        <w:div w:id="483544093">
          <w:marLeft w:val="0"/>
          <w:marRight w:val="0"/>
          <w:marTop w:val="0"/>
          <w:marBottom w:val="0"/>
          <w:divBdr>
            <w:top w:val="none" w:sz="0" w:space="0" w:color="auto"/>
            <w:left w:val="none" w:sz="0" w:space="0" w:color="auto"/>
            <w:bottom w:val="none" w:sz="0" w:space="0" w:color="auto"/>
            <w:right w:val="none" w:sz="0" w:space="0" w:color="auto"/>
          </w:divBdr>
        </w:div>
        <w:div w:id="10104893">
          <w:marLeft w:val="0"/>
          <w:marRight w:val="0"/>
          <w:marTop w:val="0"/>
          <w:marBottom w:val="0"/>
          <w:divBdr>
            <w:top w:val="none" w:sz="0" w:space="0" w:color="auto"/>
            <w:left w:val="none" w:sz="0" w:space="0" w:color="auto"/>
            <w:bottom w:val="none" w:sz="0" w:space="0" w:color="auto"/>
            <w:right w:val="none" w:sz="0" w:space="0" w:color="auto"/>
          </w:divBdr>
        </w:div>
      </w:divsChild>
    </w:div>
    <w:div w:id="705911087">
      <w:bodyDiv w:val="1"/>
      <w:marLeft w:val="0"/>
      <w:marRight w:val="0"/>
      <w:marTop w:val="0"/>
      <w:marBottom w:val="0"/>
      <w:divBdr>
        <w:top w:val="none" w:sz="0" w:space="0" w:color="auto"/>
        <w:left w:val="none" w:sz="0" w:space="0" w:color="auto"/>
        <w:bottom w:val="none" w:sz="0" w:space="0" w:color="auto"/>
        <w:right w:val="none" w:sz="0" w:space="0" w:color="auto"/>
      </w:divBdr>
      <w:divsChild>
        <w:div w:id="1212577424">
          <w:marLeft w:val="0"/>
          <w:marRight w:val="0"/>
          <w:marTop w:val="0"/>
          <w:marBottom w:val="0"/>
          <w:divBdr>
            <w:top w:val="none" w:sz="0" w:space="0" w:color="auto"/>
            <w:left w:val="none" w:sz="0" w:space="0" w:color="auto"/>
            <w:bottom w:val="none" w:sz="0" w:space="0" w:color="auto"/>
            <w:right w:val="none" w:sz="0" w:space="0" w:color="auto"/>
          </w:divBdr>
        </w:div>
        <w:div w:id="563638138">
          <w:marLeft w:val="0"/>
          <w:marRight w:val="0"/>
          <w:marTop w:val="0"/>
          <w:marBottom w:val="0"/>
          <w:divBdr>
            <w:top w:val="none" w:sz="0" w:space="0" w:color="auto"/>
            <w:left w:val="none" w:sz="0" w:space="0" w:color="auto"/>
            <w:bottom w:val="none" w:sz="0" w:space="0" w:color="auto"/>
            <w:right w:val="none" w:sz="0" w:space="0" w:color="auto"/>
          </w:divBdr>
        </w:div>
        <w:div w:id="1043598534">
          <w:marLeft w:val="0"/>
          <w:marRight w:val="0"/>
          <w:marTop w:val="0"/>
          <w:marBottom w:val="0"/>
          <w:divBdr>
            <w:top w:val="none" w:sz="0" w:space="0" w:color="auto"/>
            <w:left w:val="none" w:sz="0" w:space="0" w:color="auto"/>
            <w:bottom w:val="none" w:sz="0" w:space="0" w:color="auto"/>
            <w:right w:val="none" w:sz="0" w:space="0" w:color="auto"/>
          </w:divBdr>
        </w:div>
        <w:div w:id="516189239">
          <w:marLeft w:val="0"/>
          <w:marRight w:val="0"/>
          <w:marTop w:val="0"/>
          <w:marBottom w:val="0"/>
          <w:divBdr>
            <w:top w:val="none" w:sz="0" w:space="0" w:color="auto"/>
            <w:left w:val="none" w:sz="0" w:space="0" w:color="auto"/>
            <w:bottom w:val="none" w:sz="0" w:space="0" w:color="auto"/>
            <w:right w:val="none" w:sz="0" w:space="0" w:color="auto"/>
          </w:divBdr>
        </w:div>
      </w:divsChild>
    </w:div>
    <w:div w:id="719594543">
      <w:bodyDiv w:val="1"/>
      <w:marLeft w:val="0"/>
      <w:marRight w:val="0"/>
      <w:marTop w:val="0"/>
      <w:marBottom w:val="0"/>
      <w:divBdr>
        <w:top w:val="none" w:sz="0" w:space="0" w:color="auto"/>
        <w:left w:val="none" w:sz="0" w:space="0" w:color="auto"/>
        <w:bottom w:val="none" w:sz="0" w:space="0" w:color="auto"/>
        <w:right w:val="none" w:sz="0" w:space="0" w:color="auto"/>
      </w:divBdr>
      <w:divsChild>
        <w:div w:id="76293539">
          <w:marLeft w:val="0"/>
          <w:marRight w:val="0"/>
          <w:marTop w:val="0"/>
          <w:marBottom w:val="0"/>
          <w:divBdr>
            <w:top w:val="none" w:sz="0" w:space="0" w:color="auto"/>
            <w:left w:val="none" w:sz="0" w:space="0" w:color="auto"/>
            <w:bottom w:val="none" w:sz="0" w:space="0" w:color="auto"/>
            <w:right w:val="none" w:sz="0" w:space="0" w:color="auto"/>
          </w:divBdr>
        </w:div>
        <w:div w:id="7609310">
          <w:marLeft w:val="0"/>
          <w:marRight w:val="0"/>
          <w:marTop w:val="0"/>
          <w:marBottom w:val="0"/>
          <w:divBdr>
            <w:top w:val="none" w:sz="0" w:space="0" w:color="auto"/>
            <w:left w:val="none" w:sz="0" w:space="0" w:color="auto"/>
            <w:bottom w:val="none" w:sz="0" w:space="0" w:color="auto"/>
            <w:right w:val="none" w:sz="0" w:space="0" w:color="auto"/>
          </w:divBdr>
        </w:div>
        <w:div w:id="880895625">
          <w:marLeft w:val="0"/>
          <w:marRight w:val="0"/>
          <w:marTop w:val="0"/>
          <w:marBottom w:val="0"/>
          <w:divBdr>
            <w:top w:val="none" w:sz="0" w:space="0" w:color="auto"/>
            <w:left w:val="none" w:sz="0" w:space="0" w:color="auto"/>
            <w:bottom w:val="none" w:sz="0" w:space="0" w:color="auto"/>
            <w:right w:val="none" w:sz="0" w:space="0" w:color="auto"/>
          </w:divBdr>
        </w:div>
        <w:div w:id="1134954350">
          <w:marLeft w:val="0"/>
          <w:marRight w:val="0"/>
          <w:marTop w:val="0"/>
          <w:marBottom w:val="0"/>
          <w:divBdr>
            <w:top w:val="none" w:sz="0" w:space="0" w:color="auto"/>
            <w:left w:val="none" w:sz="0" w:space="0" w:color="auto"/>
            <w:bottom w:val="none" w:sz="0" w:space="0" w:color="auto"/>
            <w:right w:val="none" w:sz="0" w:space="0" w:color="auto"/>
          </w:divBdr>
        </w:div>
        <w:div w:id="81688618">
          <w:marLeft w:val="0"/>
          <w:marRight w:val="0"/>
          <w:marTop w:val="0"/>
          <w:marBottom w:val="0"/>
          <w:divBdr>
            <w:top w:val="none" w:sz="0" w:space="0" w:color="auto"/>
            <w:left w:val="none" w:sz="0" w:space="0" w:color="auto"/>
            <w:bottom w:val="none" w:sz="0" w:space="0" w:color="auto"/>
            <w:right w:val="none" w:sz="0" w:space="0" w:color="auto"/>
          </w:divBdr>
        </w:div>
        <w:div w:id="533617698">
          <w:marLeft w:val="0"/>
          <w:marRight w:val="0"/>
          <w:marTop w:val="0"/>
          <w:marBottom w:val="0"/>
          <w:divBdr>
            <w:top w:val="none" w:sz="0" w:space="0" w:color="auto"/>
            <w:left w:val="none" w:sz="0" w:space="0" w:color="auto"/>
            <w:bottom w:val="none" w:sz="0" w:space="0" w:color="auto"/>
            <w:right w:val="none" w:sz="0" w:space="0" w:color="auto"/>
          </w:divBdr>
        </w:div>
        <w:div w:id="396585964">
          <w:marLeft w:val="0"/>
          <w:marRight w:val="0"/>
          <w:marTop w:val="0"/>
          <w:marBottom w:val="0"/>
          <w:divBdr>
            <w:top w:val="none" w:sz="0" w:space="0" w:color="auto"/>
            <w:left w:val="none" w:sz="0" w:space="0" w:color="auto"/>
            <w:bottom w:val="none" w:sz="0" w:space="0" w:color="auto"/>
            <w:right w:val="none" w:sz="0" w:space="0" w:color="auto"/>
          </w:divBdr>
        </w:div>
        <w:div w:id="1876305203">
          <w:marLeft w:val="0"/>
          <w:marRight w:val="0"/>
          <w:marTop w:val="0"/>
          <w:marBottom w:val="0"/>
          <w:divBdr>
            <w:top w:val="none" w:sz="0" w:space="0" w:color="auto"/>
            <w:left w:val="none" w:sz="0" w:space="0" w:color="auto"/>
            <w:bottom w:val="none" w:sz="0" w:space="0" w:color="auto"/>
            <w:right w:val="none" w:sz="0" w:space="0" w:color="auto"/>
          </w:divBdr>
        </w:div>
      </w:divsChild>
    </w:div>
    <w:div w:id="751007349">
      <w:bodyDiv w:val="1"/>
      <w:marLeft w:val="0"/>
      <w:marRight w:val="0"/>
      <w:marTop w:val="0"/>
      <w:marBottom w:val="0"/>
      <w:divBdr>
        <w:top w:val="none" w:sz="0" w:space="0" w:color="auto"/>
        <w:left w:val="none" w:sz="0" w:space="0" w:color="auto"/>
        <w:bottom w:val="none" w:sz="0" w:space="0" w:color="auto"/>
        <w:right w:val="none" w:sz="0" w:space="0" w:color="auto"/>
      </w:divBdr>
    </w:div>
    <w:div w:id="784888789">
      <w:bodyDiv w:val="1"/>
      <w:marLeft w:val="0"/>
      <w:marRight w:val="0"/>
      <w:marTop w:val="0"/>
      <w:marBottom w:val="0"/>
      <w:divBdr>
        <w:top w:val="none" w:sz="0" w:space="0" w:color="auto"/>
        <w:left w:val="none" w:sz="0" w:space="0" w:color="auto"/>
        <w:bottom w:val="none" w:sz="0" w:space="0" w:color="auto"/>
        <w:right w:val="none" w:sz="0" w:space="0" w:color="auto"/>
      </w:divBdr>
    </w:div>
    <w:div w:id="799541910">
      <w:bodyDiv w:val="1"/>
      <w:marLeft w:val="0"/>
      <w:marRight w:val="0"/>
      <w:marTop w:val="0"/>
      <w:marBottom w:val="0"/>
      <w:divBdr>
        <w:top w:val="none" w:sz="0" w:space="0" w:color="auto"/>
        <w:left w:val="none" w:sz="0" w:space="0" w:color="auto"/>
        <w:bottom w:val="none" w:sz="0" w:space="0" w:color="auto"/>
        <w:right w:val="none" w:sz="0" w:space="0" w:color="auto"/>
      </w:divBdr>
    </w:div>
    <w:div w:id="802305261">
      <w:bodyDiv w:val="1"/>
      <w:marLeft w:val="0"/>
      <w:marRight w:val="0"/>
      <w:marTop w:val="0"/>
      <w:marBottom w:val="0"/>
      <w:divBdr>
        <w:top w:val="none" w:sz="0" w:space="0" w:color="auto"/>
        <w:left w:val="none" w:sz="0" w:space="0" w:color="auto"/>
        <w:bottom w:val="none" w:sz="0" w:space="0" w:color="auto"/>
        <w:right w:val="none" w:sz="0" w:space="0" w:color="auto"/>
      </w:divBdr>
    </w:div>
    <w:div w:id="882522802">
      <w:bodyDiv w:val="1"/>
      <w:marLeft w:val="0"/>
      <w:marRight w:val="0"/>
      <w:marTop w:val="0"/>
      <w:marBottom w:val="0"/>
      <w:divBdr>
        <w:top w:val="none" w:sz="0" w:space="0" w:color="auto"/>
        <w:left w:val="none" w:sz="0" w:space="0" w:color="auto"/>
        <w:bottom w:val="none" w:sz="0" w:space="0" w:color="auto"/>
        <w:right w:val="none" w:sz="0" w:space="0" w:color="auto"/>
      </w:divBdr>
    </w:div>
    <w:div w:id="925268014">
      <w:bodyDiv w:val="1"/>
      <w:marLeft w:val="0"/>
      <w:marRight w:val="0"/>
      <w:marTop w:val="0"/>
      <w:marBottom w:val="0"/>
      <w:divBdr>
        <w:top w:val="none" w:sz="0" w:space="0" w:color="auto"/>
        <w:left w:val="none" w:sz="0" w:space="0" w:color="auto"/>
        <w:bottom w:val="none" w:sz="0" w:space="0" w:color="auto"/>
        <w:right w:val="none" w:sz="0" w:space="0" w:color="auto"/>
      </w:divBdr>
    </w:div>
    <w:div w:id="974874526">
      <w:bodyDiv w:val="1"/>
      <w:marLeft w:val="0"/>
      <w:marRight w:val="0"/>
      <w:marTop w:val="0"/>
      <w:marBottom w:val="0"/>
      <w:divBdr>
        <w:top w:val="none" w:sz="0" w:space="0" w:color="auto"/>
        <w:left w:val="none" w:sz="0" w:space="0" w:color="auto"/>
        <w:bottom w:val="none" w:sz="0" w:space="0" w:color="auto"/>
        <w:right w:val="none" w:sz="0" w:space="0" w:color="auto"/>
      </w:divBdr>
    </w:div>
    <w:div w:id="975767082">
      <w:bodyDiv w:val="1"/>
      <w:marLeft w:val="0"/>
      <w:marRight w:val="0"/>
      <w:marTop w:val="0"/>
      <w:marBottom w:val="0"/>
      <w:divBdr>
        <w:top w:val="none" w:sz="0" w:space="0" w:color="auto"/>
        <w:left w:val="none" w:sz="0" w:space="0" w:color="auto"/>
        <w:bottom w:val="none" w:sz="0" w:space="0" w:color="auto"/>
        <w:right w:val="none" w:sz="0" w:space="0" w:color="auto"/>
      </w:divBdr>
    </w:div>
    <w:div w:id="977762336">
      <w:bodyDiv w:val="1"/>
      <w:marLeft w:val="0"/>
      <w:marRight w:val="0"/>
      <w:marTop w:val="0"/>
      <w:marBottom w:val="0"/>
      <w:divBdr>
        <w:top w:val="none" w:sz="0" w:space="0" w:color="auto"/>
        <w:left w:val="none" w:sz="0" w:space="0" w:color="auto"/>
        <w:bottom w:val="none" w:sz="0" w:space="0" w:color="auto"/>
        <w:right w:val="none" w:sz="0" w:space="0" w:color="auto"/>
      </w:divBdr>
    </w:div>
    <w:div w:id="994378584">
      <w:bodyDiv w:val="1"/>
      <w:marLeft w:val="0"/>
      <w:marRight w:val="0"/>
      <w:marTop w:val="0"/>
      <w:marBottom w:val="0"/>
      <w:divBdr>
        <w:top w:val="none" w:sz="0" w:space="0" w:color="auto"/>
        <w:left w:val="none" w:sz="0" w:space="0" w:color="auto"/>
        <w:bottom w:val="none" w:sz="0" w:space="0" w:color="auto"/>
        <w:right w:val="none" w:sz="0" w:space="0" w:color="auto"/>
      </w:divBdr>
      <w:divsChild>
        <w:div w:id="500508246">
          <w:marLeft w:val="0"/>
          <w:marRight w:val="0"/>
          <w:marTop w:val="0"/>
          <w:marBottom w:val="0"/>
          <w:divBdr>
            <w:top w:val="none" w:sz="0" w:space="0" w:color="auto"/>
            <w:left w:val="none" w:sz="0" w:space="0" w:color="auto"/>
            <w:bottom w:val="none" w:sz="0" w:space="0" w:color="auto"/>
            <w:right w:val="none" w:sz="0" w:space="0" w:color="auto"/>
          </w:divBdr>
          <w:divsChild>
            <w:div w:id="256989851">
              <w:marLeft w:val="0"/>
              <w:marRight w:val="0"/>
              <w:marTop w:val="0"/>
              <w:marBottom w:val="0"/>
              <w:divBdr>
                <w:top w:val="none" w:sz="0" w:space="0" w:color="auto"/>
                <w:left w:val="none" w:sz="0" w:space="0" w:color="auto"/>
                <w:bottom w:val="none" w:sz="0" w:space="0" w:color="auto"/>
                <w:right w:val="none" w:sz="0" w:space="0" w:color="auto"/>
              </w:divBdr>
              <w:divsChild>
                <w:div w:id="1011644611">
                  <w:marLeft w:val="0"/>
                  <w:marRight w:val="0"/>
                  <w:marTop w:val="0"/>
                  <w:marBottom w:val="0"/>
                  <w:divBdr>
                    <w:top w:val="none" w:sz="0" w:space="0" w:color="auto"/>
                    <w:left w:val="none" w:sz="0" w:space="0" w:color="auto"/>
                    <w:bottom w:val="none" w:sz="0" w:space="0" w:color="auto"/>
                    <w:right w:val="none" w:sz="0" w:space="0" w:color="auto"/>
                  </w:divBdr>
                  <w:divsChild>
                    <w:div w:id="270624109">
                      <w:marLeft w:val="0"/>
                      <w:marRight w:val="0"/>
                      <w:marTop w:val="0"/>
                      <w:marBottom w:val="0"/>
                      <w:divBdr>
                        <w:top w:val="none" w:sz="0" w:space="0" w:color="auto"/>
                        <w:left w:val="none" w:sz="0" w:space="0" w:color="auto"/>
                        <w:bottom w:val="none" w:sz="0" w:space="0" w:color="auto"/>
                        <w:right w:val="none" w:sz="0" w:space="0" w:color="auto"/>
                      </w:divBdr>
                      <w:divsChild>
                        <w:div w:id="156306393">
                          <w:marLeft w:val="0"/>
                          <w:marRight w:val="0"/>
                          <w:marTop w:val="0"/>
                          <w:marBottom w:val="0"/>
                          <w:divBdr>
                            <w:top w:val="none" w:sz="0" w:space="0" w:color="auto"/>
                            <w:left w:val="none" w:sz="0" w:space="0" w:color="auto"/>
                            <w:bottom w:val="none" w:sz="0" w:space="0" w:color="auto"/>
                            <w:right w:val="none" w:sz="0" w:space="0" w:color="auto"/>
                          </w:divBdr>
                          <w:divsChild>
                            <w:div w:id="1148009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0179352">
      <w:bodyDiv w:val="1"/>
      <w:marLeft w:val="0"/>
      <w:marRight w:val="0"/>
      <w:marTop w:val="0"/>
      <w:marBottom w:val="0"/>
      <w:divBdr>
        <w:top w:val="none" w:sz="0" w:space="0" w:color="auto"/>
        <w:left w:val="none" w:sz="0" w:space="0" w:color="auto"/>
        <w:bottom w:val="none" w:sz="0" w:space="0" w:color="auto"/>
        <w:right w:val="none" w:sz="0" w:space="0" w:color="auto"/>
      </w:divBdr>
    </w:div>
    <w:div w:id="1135950310">
      <w:bodyDiv w:val="1"/>
      <w:marLeft w:val="0"/>
      <w:marRight w:val="0"/>
      <w:marTop w:val="0"/>
      <w:marBottom w:val="0"/>
      <w:divBdr>
        <w:top w:val="none" w:sz="0" w:space="0" w:color="auto"/>
        <w:left w:val="none" w:sz="0" w:space="0" w:color="auto"/>
        <w:bottom w:val="none" w:sz="0" w:space="0" w:color="auto"/>
        <w:right w:val="none" w:sz="0" w:space="0" w:color="auto"/>
      </w:divBdr>
    </w:div>
    <w:div w:id="1149833139">
      <w:bodyDiv w:val="1"/>
      <w:marLeft w:val="0"/>
      <w:marRight w:val="0"/>
      <w:marTop w:val="0"/>
      <w:marBottom w:val="0"/>
      <w:divBdr>
        <w:top w:val="none" w:sz="0" w:space="0" w:color="auto"/>
        <w:left w:val="none" w:sz="0" w:space="0" w:color="auto"/>
        <w:bottom w:val="none" w:sz="0" w:space="0" w:color="auto"/>
        <w:right w:val="none" w:sz="0" w:space="0" w:color="auto"/>
      </w:divBdr>
    </w:div>
    <w:div w:id="1165316898">
      <w:bodyDiv w:val="1"/>
      <w:marLeft w:val="0"/>
      <w:marRight w:val="0"/>
      <w:marTop w:val="0"/>
      <w:marBottom w:val="0"/>
      <w:divBdr>
        <w:top w:val="none" w:sz="0" w:space="0" w:color="auto"/>
        <w:left w:val="none" w:sz="0" w:space="0" w:color="auto"/>
        <w:bottom w:val="none" w:sz="0" w:space="0" w:color="auto"/>
        <w:right w:val="none" w:sz="0" w:space="0" w:color="auto"/>
      </w:divBdr>
    </w:div>
    <w:div w:id="1170874596">
      <w:bodyDiv w:val="1"/>
      <w:marLeft w:val="0"/>
      <w:marRight w:val="0"/>
      <w:marTop w:val="0"/>
      <w:marBottom w:val="0"/>
      <w:divBdr>
        <w:top w:val="none" w:sz="0" w:space="0" w:color="auto"/>
        <w:left w:val="none" w:sz="0" w:space="0" w:color="auto"/>
        <w:bottom w:val="none" w:sz="0" w:space="0" w:color="auto"/>
        <w:right w:val="none" w:sz="0" w:space="0" w:color="auto"/>
      </w:divBdr>
    </w:div>
    <w:div w:id="1225213887">
      <w:bodyDiv w:val="1"/>
      <w:marLeft w:val="0"/>
      <w:marRight w:val="0"/>
      <w:marTop w:val="0"/>
      <w:marBottom w:val="0"/>
      <w:divBdr>
        <w:top w:val="none" w:sz="0" w:space="0" w:color="auto"/>
        <w:left w:val="none" w:sz="0" w:space="0" w:color="auto"/>
        <w:bottom w:val="none" w:sz="0" w:space="0" w:color="auto"/>
        <w:right w:val="none" w:sz="0" w:space="0" w:color="auto"/>
      </w:divBdr>
    </w:div>
    <w:div w:id="1230730632">
      <w:bodyDiv w:val="1"/>
      <w:marLeft w:val="0"/>
      <w:marRight w:val="0"/>
      <w:marTop w:val="0"/>
      <w:marBottom w:val="0"/>
      <w:divBdr>
        <w:top w:val="none" w:sz="0" w:space="0" w:color="auto"/>
        <w:left w:val="none" w:sz="0" w:space="0" w:color="auto"/>
        <w:bottom w:val="none" w:sz="0" w:space="0" w:color="auto"/>
        <w:right w:val="none" w:sz="0" w:space="0" w:color="auto"/>
      </w:divBdr>
    </w:div>
    <w:div w:id="1232079073">
      <w:bodyDiv w:val="1"/>
      <w:marLeft w:val="0"/>
      <w:marRight w:val="0"/>
      <w:marTop w:val="0"/>
      <w:marBottom w:val="0"/>
      <w:divBdr>
        <w:top w:val="none" w:sz="0" w:space="0" w:color="auto"/>
        <w:left w:val="none" w:sz="0" w:space="0" w:color="auto"/>
        <w:bottom w:val="none" w:sz="0" w:space="0" w:color="auto"/>
        <w:right w:val="none" w:sz="0" w:space="0" w:color="auto"/>
      </w:divBdr>
    </w:div>
    <w:div w:id="1233809213">
      <w:bodyDiv w:val="1"/>
      <w:marLeft w:val="0"/>
      <w:marRight w:val="0"/>
      <w:marTop w:val="0"/>
      <w:marBottom w:val="0"/>
      <w:divBdr>
        <w:top w:val="none" w:sz="0" w:space="0" w:color="auto"/>
        <w:left w:val="none" w:sz="0" w:space="0" w:color="auto"/>
        <w:bottom w:val="none" w:sz="0" w:space="0" w:color="auto"/>
        <w:right w:val="none" w:sz="0" w:space="0" w:color="auto"/>
      </w:divBdr>
    </w:div>
    <w:div w:id="1240166317">
      <w:bodyDiv w:val="1"/>
      <w:marLeft w:val="0"/>
      <w:marRight w:val="0"/>
      <w:marTop w:val="0"/>
      <w:marBottom w:val="0"/>
      <w:divBdr>
        <w:top w:val="none" w:sz="0" w:space="0" w:color="auto"/>
        <w:left w:val="none" w:sz="0" w:space="0" w:color="auto"/>
        <w:bottom w:val="none" w:sz="0" w:space="0" w:color="auto"/>
        <w:right w:val="none" w:sz="0" w:space="0" w:color="auto"/>
      </w:divBdr>
      <w:divsChild>
        <w:div w:id="1703746700">
          <w:marLeft w:val="0"/>
          <w:marRight w:val="0"/>
          <w:marTop w:val="0"/>
          <w:marBottom w:val="0"/>
          <w:divBdr>
            <w:top w:val="none" w:sz="0" w:space="0" w:color="auto"/>
            <w:left w:val="none" w:sz="0" w:space="0" w:color="auto"/>
            <w:bottom w:val="none" w:sz="0" w:space="0" w:color="auto"/>
            <w:right w:val="none" w:sz="0" w:space="0" w:color="auto"/>
          </w:divBdr>
        </w:div>
        <w:div w:id="745419520">
          <w:marLeft w:val="0"/>
          <w:marRight w:val="0"/>
          <w:marTop w:val="0"/>
          <w:marBottom w:val="0"/>
          <w:divBdr>
            <w:top w:val="none" w:sz="0" w:space="0" w:color="auto"/>
            <w:left w:val="none" w:sz="0" w:space="0" w:color="auto"/>
            <w:bottom w:val="none" w:sz="0" w:space="0" w:color="auto"/>
            <w:right w:val="none" w:sz="0" w:space="0" w:color="auto"/>
          </w:divBdr>
        </w:div>
        <w:div w:id="762339383">
          <w:marLeft w:val="0"/>
          <w:marRight w:val="0"/>
          <w:marTop w:val="0"/>
          <w:marBottom w:val="0"/>
          <w:divBdr>
            <w:top w:val="none" w:sz="0" w:space="0" w:color="auto"/>
            <w:left w:val="none" w:sz="0" w:space="0" w:color="auto"/>
            <w:bottom w:val="none" w:sz="0" w:space="0" w:color="auto"/>
            <w:right w:val="none" w:sz="0" w:space="0" w:color="auto"/>
          </w:divBdr>
        </w:div>
        <w:div w:id="1191918522">
          <w:marLeft w:val="0"/>
          <w:marRight w:val="0"/>
          <w:marTop w:val="0"/>
          <w:marBottom w:val="0"/>
          <w:divBdr>
            <w:top w:val="none" w:sz="0" w:space="0" w:color="auto"/>
            <w:left w:val="none" w:sz="0" w:space="0" w:color="auto"/>
            <w:bottom w:val="none" w:sz="0" w:space="0" w:color="auto"/>
            <w:right w:val="none" w:sz="0" w:space="0" w:color="auto"/>
          </w:divBdr>
        </w:div>
        <w:div w:id="1577322006">
          <w:marLeft w:val="0"/>
          <w:marRight w:val="0"/>
          <w:marTop w:val="0"/>
          <w:marBottom w:val="0"/>
          <w:divBdr>
            <w:top w:val="none" w:sz="0" w:space="0" w:color="auto"/>
            <w:left w:val="none" w:sz="0" w:space="0" w:color="auto"/>
            <w:bottom w:val="none" w:sz="0" w:space="0" w:color="auto"/>
            <w:right w:val="none" w:sz="0" w:space="0" w:color="auto"/>
          </w:divBdr>
        </w:div>
        <w:div w:id="165901620">
          <w:marLeft w:val="0"/>
          <w:marRight w:val="0"/>
          <w:marTop w:val="0"/>
          <w:marBottom w:val="0"/>
          <w:divBdr>
            <w:top w:val="none" w:sz="0" w:space="0" w:color="auto"/>
            <w:left w:val="none" w:sz="0" w:space="0" w:color="auto"/>
            <w:bottom w:val="none" w:sz="0" w:space="0" w:color="auto"/>
            <w:right w:val="none" w:sz="0" w:space="0" w:color="auto"/>
          </w:divBdr>
        </w:div>
        <w:div w:id="1842626577">
          <w:marLeft w:val="0"/>
          <w:marRight w:val="0"/>
          <w:marTop w:val="0"/>
          <w:marBottom w:val="0"/>
          <w:divBdr>
            <w:top w:val="none" w:sz="0" w:space="0" w:color="auto"/>
            <w:left w:val="none" w:sz="0" w:space="0" w:color="auto"/>
            <w:bottom w:val="none" w:sz="0" w:space="0" w:color="auto"/>
            <w:right w:val="none" w:sz="0" w:space="0" w:color="auto"/>
          </w:divBdr>
        </w:div>
        <w:div w:id="1805388215">
          <w:marLeft w:val="0"/>
          <w:marRight w:val="0"/>
          <w:marTop w:val="0"/>
          <w:marBottom w:val="0"/>
          <w:divBdr>
            <w:top w:val="none" w:sz="0" w:space="0" w:color="auto"/>
            <w:left w:val="none" w:sz="0" w:space="0" w:color="auto"/>
            <w:bottom w:val="none" w:sz="0" w:space="0" w:color="auto"/>
            <w:right w:val="none" w:sz="0" w:space="0" w:color="auto"/>
          </w:divBdr>
        </w:div>
      </w:divsChild>
    </w:div>
    <w:div w:id="1251743534">
      <w:bodyDiv w:val="1"/>
      <w:marLeft w:val="0"/>
      <w:marRight w:val="0"/>
      <w:marTop w:val="0"/>
      <w:marBottom w:val="0"/>
      <w:divBdr>
        <w:top w:val="none" w:sz="0" w:space="0" w:color="auto"/>
        <w:left w:val="none" w:sz="0" w:space="0" w:color="auto"/>
        <w:bottom w:val="none" w:sz="0" w:space="0" w:color="auto"/>
        <w:right w:val="none" w:sz="0" w:space="0" w:color="auto"/>
      </w:divBdr>
    </w:div>
    <w:div w:id="1304964553">
      <w:bodyDiv w:val="1"/>
      <w:marLeft w:val="0"/>
      <w:marRight w:val="0"/>
      <w:marTop w:val="0"/>
      <w:marBottom w:val="0"/>
      <w:divBdr>
        <w:top w:val="none" w:sz="0" w:space="0" w:color="auto"/>
        <w:left w:val="none" w:sz="0" w:space="0" w:color="auto"/>
        <w:bottom w:val="none" w:sz="0" w:space="0" w:color="auto"/>
        <w:right w:val="none" w:sz="0" w:space="0" w:color="auto"/>
      </w:divBdr>
    </w:div>
    <w:div w:id="1309475190">
      <w:bodyDiv w:val="1"/>
      <w:marLeft w:val="0"/>
      <w:marRight w:val="0"/>
      <w:marTop w:val="0"/>
      <w:marBottom w:val="0"/>
      <w:divBdr>
        <w:top w:val="none" w:sz="0" w:space="0" w:color="auto"/>
        <w:left w:val="none" w:sz="0" w:space="0" w:color="auto"/>
        <w:bottom w:val="none" w:sz="0" w:space="0" w:color="auto"/>
        <w:right w:val="none" w:sz="0" w:space="0" w:color="auto"/>
      </w:divBdr>
    </w:div>
    <w:div w:id="1324820594">
      <w:bodyDiv w:val="1"/>
      <w:marLeft w:val="0"/>
      <w:marRight w:val="0"/>
      <w:marTop w:val="0"/>
      <w:marBottom w:val="0"/>
      <w:divBdr>
        <w:top w:val="none" w:sz="0" w:space="0" w:color="auto"/>
        <w:left w:val="none" w:sz="0" w:space="0" w:color="auto"/>
        <w:bottom w:val="none" w:sz="0" w:space="0" w:color="auto"/>
        <w:right w:val="none" w:sz="0" w:space="0" w:color="auto"/>
      </w:divBdr>
      <w:divsChild>
        <w:div w:id="2008511448">
          <w:marLeft w:val="0"/>
          <w:marRight w:val="0"/>
          <w:marTop w:val="0"/>
          <w:marBottom w:val="0"/>
          <w:divBdr>
            <w:top w:val="none" w:sz="0" w:space="0" w:color="auto"/>
            <w:left w:val="none" w:sz="0" w:space="0" w:color="auto"/>
            <w:bottom w:val="none" w:sz="0" w:space="0" w:color="auto"/>
            <w:right w:val="none" w:sz="0" w:space="0" w:color="auto"/>
          </w:divBdr>
        </w:div>
        <w:div w:id="1242906169">
          <w:marLeft w:val="0"/>
          <w:marRight w:val="0"/>
          <w:marTop w:val="0"/>
          <w:marBottom w:val="0"/>
          <w:divBdr>
            <w:top w:val="none" w:sz="0" w:space="0" w:color="auto"/>
            <w:left w:val="none" w:sz="0" w:space="0" w:color="auto"/>
            <w:bottom w:val="none" w:sz="0" w:space="0" w:color="auto"/>
            <w:right w:val="none" w:sz="0" w:space="0" w:color="auto"/>
          </w:divBdr>
        </w:div>
        <w:div w:id="822548085">
          <w:marLeft w:val="0"/>
          <w:marRight w:val="0"/>
          <w:marTop w:val="0"/>
          <w:marBottom w:val="0"/>
          <w:divBdr>
            <w:top w:val="none" w:sz="0" w:space="0" w:color="auto"/>
            <w:left w:val="none" w:sz="0" w:space="0" w:color="auto"/>
            <w:bottom w:val="none" w:sz="0" w:space="0" w:color="auto"/>
            <w:right w:val="none" w:sz="0" w:space="0" w:color="auto"/>
          </w:divBdr>
        </w:div>
        <w:div w:id="464274105">
          <w:marLeft w:val="0"/>
          <w:marRight w:val="0"/>
          <w:marTop w:val="0"/>
          <w:marBottom w:val="0"/>
          <w:divBdr>
            <w:top w:val="none" w:sz="0" w:space="0" w:color="auto"/>
            <w:left w:val="none" w:sz="0" w:space="0" w:color="auto"/>
            <w:bottom w:val="none" w:sz="0" w:space="0" w:color="auto"/>
            <w:right w:val="none" w:sz="0" w:space="0" w:color="auto"/>
          </w:divBdr>
        </w:div>
      </w:divsChild>
    </w:div>
    <w:div w:id="1337996658">
      <w:bodyDiv w:val="1"/>
      <w:marLeft w:val="0"/>
      <w:marRight w:val="0"/>
      <w:marTop w:val="0"/>
      <w:marBottom w:val="0"/>
      <w:divBdr>
        <w:top w:val="none" w:sz="0" w:space="0" w:color="auto"/>
        <w:left w:val="none" w:sz="0" w:space="0" w:color="auto"/>
        <w:bottom w:val="none" w:sz="0" w:space="0" w:color="auto"/>
        <w:right w:val="none" w:sz="0" w:space="0" w:color="auto"/>
      </w:divBdr>
      <w:divsChild>
        <w:div w:id="28919495">
          <w:marLeft w:val="0"/>
          <w:marRight w:val="0"/>
          <w:marTop w:val="0"/>
          <w:marBottom w:val="0"/>
          <w:divBdr>
            <w:top w:val="none" w:sz="0" w:space="0" w:color="auto"/>
            <w:left w:val="none" w:sz="0" w:space="0" w:color="auto"/>
            <w:bottom w:val="none" w:sz="0" w:space="0" w:color="auto"/>
            <w:right w:val="none" w:sz="0" w:space="0" w:color="auto"/>
          </w:divBdr>
        </w:div>
        <w:div w:id="1844659548">
          <w:marLeft w:val="0"/>
          <w:marRight w:val="0"/>
          <w:marTop w:val="0"/>
          <w:marBottom w:val="0"/>
          <w:divBdr>
            <w:top w:val="none" w:sz="0" w:space="0" w:color="auto"/>
            <w:left w:val="none" w:sz="0" w:space="0" w:color="auto"/>
            <w:bottom w:val="none" w:sz="0" w:space="0" w:color="auto"/>
            <w:right w:val="none" w:sz="0" w:space="0" w:color="auto"/>
          </w:divBdr>
        </w:div>
        <w:div w:id="84620362">
          <w:marLeft w:val="0"/>
          <w:marRight w:val="0"/>
          <w:marTop w:val="0"/>
          <w:marBottom w:val="0"/>
          <w:divBdr>
            <w:top w:val="none" w:sz="0" w:space="0" w:color="auto"/>
            <w:left w:val="none" w:sz="0" w:space="0" w:color="auto"/>
            <w:bottom w:val="none" w:sz="0" w:space="0" w:color="auto"/>
            <w:right w:val="none" w:sz="0" w:space="0" w:color="auto"/>
          </w:divBdr>
        </w:div>
        <w:div w:id="532037607">
          <w:marLeft w:val="0"/>
          <w:marRight w:val="0"/>
          <w:marTop w:val="0"/>
          <w:marBottom w:val="0"/>
          <w:divBdr>
            <w:top w:val="none" w:sz="0" w:space="0" w:color="auto"/>
            <w:left w:val="none" w:sz="0" w:space="0" w:color="auto"/>
            <w:bottom w:val="none" w:sz="0" w:space="0" w:color="auto"/>
            <w:right w:val="none" w:sz="0" w:space="0" w:color="auto"/>
          </w:divBdr>
        </w:div>
        <w:div w:id="436291317">
          <w:marLeft w:val="0"/>
          <w:marRight w:val="0"/>
          <w:marTop w:val="0"/>
          <w:marBottom w:val="0"/>
          <w:divBdr>
            <w:top w:val="none" w:sz="0" w:space="0" w:color="auto"/>
            <w:left w:val="none" w:sz="0" w:space="0" w:color="auto"/>
            <w:bottom w:val="none" w:sz="0" w:space="0" w:color="auto"/>
            <w:right w:val="none" w:sz="0" w:space="0" w:color="auto"/>
          </w:divBdr>
        </w:div>
      </w:divsChild>
    </w:div>
    <w:div w:id="1346833066">
      <w:bodyDiv w:val="1"/>
      <w:marLeft w:val="0"/>
      <w:marRight w:val="0"/>
      <w:marTop w:val="0"/>
      <w:marBottom w:val="0"/>
      <w:divBdr>
        <w:top w:val="none" w:sz="0" w:space="0" w:color="auto"/>
        <w:left w:val="none" w:sz="0" w:space="0" w:color="auto"/>
        <w:bottom w:val="none" w:sz="0" w:space="0" w:color="auto"/>
        <w:right w:val="none" w:sz="0" w:space="0" w:color="auto"/>
      </w:divBdr>
    </w:div>
    <w:div w:id="1377318328">
      <w:bodyDiv w:val="1"/>
      <w:marLeft w:val="0"/>
      <w:marRight w:val="0"/>
      <w:marTop w:val="0"/>
      <w:marBottom w:val="0"/>
      <w:divBdr>
        <w:top w:val="none" w:sz="0" w:space="0" w:color="auto"/>
        <w:left w:val="none" w:sz="0" w:space="0" w:color="auto"/>
        <w:bottom w:val="none" w:sz="0" w:space="0" w:color="auto"/>
        <w:right w:val="none" w:sz="0" w:space="0" w:color="auto"/>
      </w:divBdr>
    </w:div>
    <w:div w:id="1379623720">
      <w:bodyDiv w:val="1"/>
      <w:marLeft w:val="0"/>
      <w:marRight w:val="0"/>
      <w:marTop w:val="0"/>
      <w:marBottom w:val="0"/>
      <w:divBdr>
        <w:top w:val="none" w:sz="0" w:space="0" w:color="auto"/>
        <w:left w:val="none" w:sz="0" w:space="0" w:color="auto"/>
        <w:bottom w:val="none" w:sz="0" w:space="0" w:color="auto"/>
        <w:right w:val="none" w:sz="0" w:space="0" w:color="auto"/>
      </w:divBdr>
      <w:divsChild>
        <w:div w:id="592251551">
          <w:marLeft w:val="0"/>
          <w:marRight w:val="0"/>
          <w:marTop w:val="0"/>
          <w:marBottom w:val="0"/>
          <w:divBdr>
            <w:top w:val="none" w:sz="0" w:space="0" w:color="auto"/>
            <w:left w:val="none" w:sz="0" w:space="0" w:color="auto"/>
            <w:bottom w:val="none" w:sz="0" w:space="0" w:color="auto"/>
            <w:right w:val="none" w:sz="0" w:space="0" w:color="auto"/>
          </w:divBdr>
        </w:div>
        <w:div w:id="79181162">
          <w:marLeft w:val="0"/>
          <w:marRight w:val="0"/>
          <w:marTop w:val="0"/>
          <w:marBottom w:val="0"/>
          <w:divBdr>
            <w:top w:val="none" w:sz="0" w:space="0" w:color="auto"/>
            <w:left w:val="none" w:sz="0" w:space="0" w:color="auto"/>
            <w:bottom w:val="none" w:sz="0" w:space="0" w:color="auto"/>
            <w:right w:val="none" w:sz="0" w:space="0" w:color="auto"/>
          </w:divBdr>
        </w:div>
        <w:div w:id="915164618">
          <w:marLeft w:val="0"/>
          <w:marRight w:val="0"/>
          <w:marTop w:val="0"/>
          <w:marBottom w:val="0"/>
          <w:divBdr>
            <w:top w:val="none" w:sz="0" w:space="0" w:color="auto"/>
            <w:left w:val="none" w:sz="0" w:space="0" w:color="auto"/>
            <w:bottom w:val="none" w:sz="0" w:space="0" w:color="auto"/>
            <w:right w:val="none" w:sz="0" w:space="0" w:color="auto"/>
          </w:divBdr>
        </w:div>
        <w:div w:id="1880044977">
          <w:marLeft w:val="0"/>
          <w:marRight w:val="0"/>
          <w:marTop w:val="0"/>
          <w:marBottom w:val="0"/>
          <w:divBdr>
            <w:top w:val="none" w:sz="0" w:space="0" w:color="auto"/>
            <w:left w:val="none" w:sz="0" w:space="0" w:color="auto"/>
            <w:bottom w:val="none" w:sz="0" w:space="0" w:color="auto"/>
            <w:right w:val="none" w:sz="0" w:space="0" w:color="auto"/>
          </w:divBdr>
        </w:div>
      </w:divsChild>
    </w:div>
    <w:div w:id="1419476980">
      <w:bodyDiv w:val="1"/>
      <w:marLeft w:val="0"/>
      <w:marRight w:val="0"/>
      <w:marTop w:val="0"/>
      <w:marBottom w:val="0"/>
      <w:divBdr>
        <w:top w:val="none" w:sz="0" w:space="0" w:color="auto"/>
        <w:left w:val="none" w:sz="0" w:space="0" w:color="auto"/>
        <w:bottom w:val="none" w:sz="0" w:space="0" w:color="auto"/>
        <w:right w:val="none" w:sz="0" w:space="0" w:color="auto"/>
      </w:divBdr>
      <w:divsChild>
        <w:div w:id="157963626">
          <w:marLeft w:val="0"/>
          <w:marRight w:val="0"/>
          <w:marTop w:val="0"/>
          <w:marBottom w:val="0"/>
          <w:divBdr>
            <w:top w:val="none" w:sz="0" w:space="0" w:color="auto"/>
            <w:left w:val="none" w:sz="0" w:space="0" w:color="auto"/>
            <w:bottom w:val="none" w:sz="0" w:space="0" w:color="auto"/>
            <w:right w:val="none" w:sz="0" w:space="0" w:color="auto"/>
          </w:divBdr>
        </w:div>
        <w:div w:id="1721397659">
          <w:marLeft w:val="0"/>
          <w:marRight w:val="0"/>
          <w:marTop w:val="0"/>
          <w:marBottom w:val="0"/>
          <w:divBdr>
            <w:top w:val="none" w:sz="0" w:space="0" w:color="auto"/>
            <w:left w:val="none" w:sz="0" w:space="0" w:color="auto"/>
            <w:bottom w:val="none" w:sz="0" w:space="0" w:color="auto"/>
            <w:right w:val="none" w:sz="0" w:space="0" w:color="auto"/>
          </w:divBdr>
        </w:div>
        <w:div w:id="2001882737">
          <w:marLeft w:val="0"/>
          <w:marRight w:val="0"/>
          <w:marTop w:val="0"/>
          <w:marBottom w:val="0"/>
          <w:divBdr>
            <w:top w:val="none" w:sz="0" w:space="0" w:color="auto"/>
            <w:left w:val="none" w:sz="0" w:space="0" w:color="auto"/>
            <w:bottom w:val="none" w:sz="0" w:space="0" w:color="auto"/>
            <w:right w:val="none" w:sz="0" w:space="0" w:color="auto"/>
          </w:divBdr>
        </w:div>
      </w:divsChild>
    </w:div>
    <w:div w:id="1468084098">
      <w:bodyDiv w:val="1"/>
      <w:marLeft w:val="0"/>
      <w:marRight w:val="0"/>
      <w:marTop w:val="0"/>
      <w:marBottom w:val="0"/>
      <w:divBdr>
        <w:top w:val="none" w:sz="0" w:space="0" w:color="auto"/>
        <w:left w:val="none" w:sz="0" w:space="0" w:color="auto"/>
        <w:bottom w:val="none" w:sz="0" w:space="0" w:color="auto"/>
        <w:right w:val="none" w:sz="0" w:space="0" w:color="auto"/>
      </w:divBdr>
    </w:div>
    <w:div w:id="1556236459">
      <w:bodyDiv w:val="1"/>
      <w:marLeft w:val="0"/>
      <w:marRight w:val="0"/>
      <w:marTop w:val="0"/>
      <w:marBottom w:val="0"/>
      <w:divBdr>
        <w:top w:val="none" w:sz="0" w:space="0" w:color="auto"/>
        <w:left w:val="none" w:sz="0" w:space="0" w:color="auto"/>
        <w:bottom w:val="none" w:sz="0" w:space="0" w:color="auto"/>
        <w:right w:val="none" w:sz="0" w:space="0" w:color="auto"/>
      </w:divBdr>
    </w:div>
    <w:div w:id="1568028018">
      <w:bodyDiv w:val="1"/>
      <w:marLeft w:val="0"/>
      <w:marRight w:val="0"/>
      <w:marTop w:val="0"/>
      <w:marBottom w:val="0"/>
      <w:divBdr>
        <w:top w:val="none" w:sz="0" w:space="0" w:color="auto"/>
        <w:left w:val="none" w:sz="0" w:space="0" w:color="auto"/>
        <w:bottom w:val="none" w:sz="0" w:space="0" w:color="auto"/>
        <w:right w:val="none" w:sz="0" w:space="0" w:color="auto"/>
      </w:divBdr>
    </w:div>
    <w:div w:id="1619140325">
      <w:bodyDiv w:val="1"/>
      <w:marLeft w:val="0"/>
      <w:marRight w:val="0"/>
      <w:marTop w:val="0"/>
      <w:marBottom w:val="0"/>
      <w:divBdr>
        <w:top w:val="none" w:sz="0" w:space="0" w:color="auto"/>
        <w:left w:val="none" w:sz="0" w:space="0" w:color="auto"/>
        <w:bottom w:val="none" w:sz="0" w:space="0" w:color="auto"/>
        <w:right w:val="none" w:sz="0" w:space="0" w:color="auto"/>
      </w:divBdr>
    </w:div>
    <w:div w:id="1639994236">
      <w:bodyDiv w:val="1"/>
      <w:marLeft w:val="0"/>
      <w:marRight w:val="0"/>
      <w:marTop w:val="0"/>
      <w:marBottom w:val="0"/>
      <w:divBdr>
        <w:top w:val="none" w:sz="0" w:space="0" w:color="auto"/>
        <w:left w:val="none" w:sz="0" w:space="0" w:color="auto"/>
        <w:bottom w:val="none" w:sz="0" w:space="0" w:color="auto"/>
        <w:right w:val="none" w:sz="0" w:space="0" w:color="auto"/>
      </w:divBdr>
    </w:div>
    <w:div w:id="1668440877">
      <w:bodyDiv w:val="1"/>
      <w:marLeft w:val="0"/>
      <w:marRight w:val="0"/>
      <w:marTop w:val="0"/>
      <w:marBottom w:val="0"/>
      <w:divBdr>
        <w:top w:val="none" w:sz="0" w:space="0" w:color="auto"/>
        <w:left w:val="none" w:sz="0" w:space="0" w:color="auto"/>
        <w:bottom w:val="none" w:sz="0" w:space="0" w:color="auto"/>
        <w:right w:val="none" w:sz="0" w:space="0" w:color="auto"/>
      </w:divBdr>
    </w:div>
    <w:div w:id="1673751331">
      <w:bodyDiv w:val="1"/>
      <w:marLeft w:val="0"/>
      <w:marRight w:val="0"/>
      <w:marTop w:val="0"/>
      <w:marBottom w:val="0"/>
      <w:divBdr>
        <w:top w:val="none" w:sz="0" w:space="0" w:color="auto"/>
        <w:left w:val="none" w:sz="0" w:space="0" w:color="auto"/>
        <w:bottom w:val="none" w:sz="0" w:space="0" w:color="auto"/>
        <w:right w:val="none" w:sz="0" w:space="0" w:color="auto"/>
      </w:divBdr>
    </w:div>
    <w:div w:id="1704286736">
      <w:bodyDiv w:val="1"/>
      <w:marLeft w:val="0"/>
      <w:marRight w:val="0"/>
      <w:marTop w:val="0"/>
      <w:marBottom w:val="0"/>
      <w:divBdr>
        <w:top w:val="none" w:sz="0" w:space="0" w:color="auto"/>
        <w:left w:val="none" w:sz="0" w:space="0" w:color="auto"/>
        <w:bottom w:val="none" w:sz="0" w:space="0" w:color="auto"/>
        <w:right w:val="none" w:sz="0" w:space="0" w:color="auto"/>
      </w:divBdr>
    </w:div>
    <w:div w:id="1750808640">
      <w:bodyDiv w:val="1"/>
      <w:marLeft w:val="0"/>
      <w:marRight w:val="0"/>
      <w:marTop w:val="0"/>
      <w:marBottom w:val="0"/>
      <w:divBdr>
        <w:top w:val="none" w:sz="0" w:space="0" w:color="auto"/>
        <w:left w:val="none" w:sz="0" w:space="0" w:color="auto"/>
        <w:bottom w:val="none" w:sz="0" w:space="0" w:color="auto"/>
        <w:right w:val="none" w:sz="0" w:space="0" w:color="auto"/>
      </w:divBdr>
    </w:div>
    <w:div w:id="1779986801">
      <w:bodyDiv w:val="1"/>
      <w:marLeft w:val="0"/>
      <w:marRight w:val="0"/>
      <w:marTop w:val="0"/>
      <w:marBottom w:val="0"/>
      <w:divBdr>
        <w:top w:val="none" w:sz="0" w:space="0" w:color="auto"/>
        <w:left w:val="none" w:sz="0" w:space="0" w:color="auto"/>
        <w:bottom w:val="none" w:sz="0" w:space="0" w:color="auto"/>
        <w:right w:val="none" w:sz="0" w:space="0" w:color="auto"/>
      </w:divBdr>
    </w:div>
    <w:div w:id="1800955057">
      <w:bodyDiv w:val="1"/>
      <w:marLeft w:val="0"/>
      <w:marRight w:val="0"/>
      <w:marTop w:val="0"/>
      <w:marBottom w:val="0"/>
      <w:divBdr>
        <w:top w:val="none" w:sz="0" w:space="0" w:color="auto"/>
        <w:left w:val="none" w:sz="0" w:space="0" w:color="auto"/>
        <w:bottom w:val="none" w:sz="0" w:space="0" w:color="auto"/>
        <w:right w:val="none" w:sz="0" w:space="0" w:color="auto"/>
      </w:divBdr>
    </w:div>
    <w:div w:id="1814907449">
      <w:bodyDiv w:val="1"/>
      <w:marLeft w:val="0"/>
      <w:marRight w:val="0"/>
      <w:marTop w:val="0"/>
      <w:marBottom w:val="0"/>
      <w:divBdr>
        <w:top w:val="none" w:sz="0" w:space="0" w:color="auto"/>
        <w:left w:val="none" w:sz="0" w:space="0" w:color="auto"/>
        <w:bottom w:val="none" w:sz="0" w:space="0" w:color="auto"/>
        <w:right w:val="none" w:sz="0" w:space="0" w:color="auto"/>
      </w:divBdr>
    </w:div>
    <w:div w:id="1952853992">
      <w:bodyDiv w:val="1"/>
      <w:marLeft w:val="0"/>
      <w:marRight w:val="0"/>
      <w:marTop w:val="0"/>
      <w:marBottom w:val="0"/>
      <w:divBdr>
        <w:top w:val="none" w:sz="0" w:space="0" w:color="auto"/>
        <w:left w:val="none" w:sz="0" w:space="0" w:color="auto"/>
        <w:bottom w:val="none" w:sz="0" w:space="0" w:color="auto"/>
        <w:right w:val="none" w:sz="0" w:space="0" w:color="auto"/>
      </w:divBdr>
    </w:div>
    <w:div w:id="1969356997">
      <w:bodyDiv w:val="1"/>
      <w:marLeft w:val="0"/>
      <w:marRight w:val="0"/>
      <w:marTop w:val="0"/>
      <w:marBottom w:val="0"/>
      <w:divBdr>
        <w:top w:val="none" w:sz="0" w:space="0" w:color="auto"/>
        <w:left w:val="none" w:sz="0" w:space="0" w:color="auto"/>
        <w:bottom w:val="none" w:sz="0" w:space="0" w:color="auto"/>
        <w:right w:val="none" w:sz="0" w:space="0" w:color="auto"/>
      </w:divBdr>
    </w:div>
    <w:div w:id="2010986983">
      <w:bodyDiv w:val="1"/>
      <w:marLeft w:val="0"/>
      <w:marRight w:val="0"/>
      <w:marTop w:val="0"/>
      <w:marBottom w:val="0"/>
      <w:divBdr>
        <w:top w:val="none" w:sz="0" w:space="0" w:color="auto"/>
        <w:left w:val="none" w:sz="0" w:space="0" w:color="auto"/>
        <w:bottom w:val="none" w:sz="0" w:space="0" w:color="auto"/>
        <w:right w:val="none" w:sz="0" w:space="0" w:color="auto"/>
      </w:divBdr>
    </w:div>
    <w:div w:id="2034378759">
      <w:bodyDiv w:val="1"/>
      <w:marLeft w:val="0"/>
      <w:marRight w:val="0"/>
      <w:marTop w:val="0"/>
      <w:marBottom w:val="0"/>
      <w:divBdr>
        <w:top w:val="none" w:sz="0" w:space="0" w:color="auto"/>
        <w:left w:val="none" w:sz="0" w:space="0" w:color="auto"/>
        <w:bottom w:val="none" w:sz="0" w:space="0" w:color="auto"/>
        <w:right w:val="none" w:sz="0" w:space="0" w:color="auto"/>
      </w:divBdr>
      <w:divsChild>
        <w:div w:id="582296864">
          <w:marLeft w:val="0"/>
          <w:marRight w:val="0"/>
          <w:marTop w:val="0"/>
          <w:marBottom w:val="0"/>
          <w:divBdr>
            <w:top w:val="none" w:sz="0" w:space="0" w:color="auto"/>
            <w:left w:val="none" w:sz="0" w:space="0" w:color="auto"/>
            <w:bottom w:val="none" w:sz="0" w:space="0" w:color="auto"/>
            <w:right w:val="none" w:sz="0" w:space="0" w:color="auto"/>
          </w:divBdr>
        </w:div>
        <w:div w:id="1020357952">
          <w:marLeft w:val="0"/>
          <w:marRight w:val="0"/>
          <w:marTop w:val="0"/>
          <w:marBottom w:val="0"/>
          <w:divBdr>
            <w:top w:val="none" w:sz="0" w:space="0" w:color="auto"/>
            <w:left w:val="none" w:sz="0" w:space="0" w:color="auto"/>
            <w:bottom w:val="none" w:sz="0" w:space="0" w:color="auto"/>
            <w:right w:val="none" w:sz="0" w:space="0" w:color="auto"/>
          </w:divBdr>
        </w:div>
        <w:div w:id="1636443781">
          <w:marLeft w:val="0"/>
          <w:marRight w:val="0"/>
          <w:marTop w:val="0"/>
          <w:marBottom w:val="0"/>
          <w:divBdr>
            <w:top w:val="none" w:sz="0" w:space="0" w:color="auto"/>
            <w:left w:val="none" w:sz="0" w:space="0" w:color="auto"/>
            <w:bottom w:val="none" w:sz="0" w:space="0" w:color="auto"/>
            <w:right w:val="none" w:sz="0" w:space="0" w:color="auto"/>
          </w:divBdr>
        </w:div>
        <w:div w:id="1589464305">
          <w:marLeft w:val="0"/>
          <w:marRight w:val="0"/>
          <w:marTop w:val="0"/>
          <w:marBottom w:val="0"/>
          <w:divBdr>
            <w:top w:val="none" w:sz="0" w:space="0" w:color="auto"/>
            <w:left w:val="none" w:sz="0" w:space="0" w:color="auto"/>
            <w:bottom w:val="none" w:sz="0" w:space="0" w:color="auto"/>
            <w:right w:val="none" w:sz="0" w:space="0" w:color="auto"/>
          </w:divBdr>
        </w:div>
        <w:div w:id="1232620993">
          <w:marLeft w:val="0"/>
          <w:marRight w:val="0"/>
          <w:marTop w:val="0"/>
          <w:marBottom w:val="0"/>
          <w:divBdr>
            <w:top w:val="none" w:sz="0" w:space="0" w:color="auto"/>
            <w:left w:val="none" w:sz="0" w:space="0" w:color="auto"/>
            <w:bottom w:val="none" w:sz="0" w:space="0" w:color="auto"/>
            <w:right w:val="none" w:sz="0" w:space="0" w:color="auto"/>
          </w:divBdr>
        </w:div>
      </w:divsChild>
    </w:div>
    <w:div w:id="2055500238">
      <w:bodyDiv w:val="1"/>
      <w:marLeft w:val="0"/>
      <w:marRight w:val="0"/>
      <w:marTop w:val="0"/>
      <w:marBottom w:val="0"/>
      <w:divBdr>
        <w:top w:val="none" w:sz="0" w:space="0" w:color="auto"/>
        <w:left w:val="none" w:sz="0" w:space="0" w:color="auto"/>
        <w:bottom w:val="none" w:sz="0" w:space="0" w:color="auto"/>
        <w:right w:val="none" w:sz="0" w:space="0" w:color="auto"/>
      </w:divBdr>
      <w:divsChild>
        <w:div w:id="486096909">
          <w:marLeft w:val="0"/>
          <w:marRight w:val="0"/>
          <w:marTop w:val="0"/>
          <w:marBottom w:val="0"/>
          <w:divBdr>
            <w:top w:val="none" w:sz="0" w:space="0" w:color="auto"/>
            <w:left w:val="none" w:sz="0" w:space="0" w:color="auto"/>
            <w:bottom w:val="none" w:sz="0" w:space="0" w:color="auto"/>
            <w:right w:val="none" w:sz="0" w:space="0" w:color="auto"/>
          </w:divBdr>
        </w:div>
        <w:div w:id="1086028947">
          <w:marLeft w:val="0"/>
          <w:marRight w:val="0"/>
          <w:marTop w:val="0"/>
          <w:marBottom w:val="0"/>
          <w:divBdr>
            <w:top w:val="none" w:sz="0" w:space="0" w:color="auto"/>
            <w:left w:val="none" w:sz="0" w:space="0" w:color="auto"/>
            <w:bottom w:val="none" w:sz="0" w:space="0" w:color="auto"/>
            <w:right w:val="none" w:sz="0" w:space="0" w:color="auto"/>
          </w:divBdr>
        </w:div>
        <w:div w:id="920870956">
          <w:marLeft w:val="0"/>
          <w:marRight w:val="0"/>
          <w:marTop w:val="0"/>
          <w:marBottom w:val="0"/>
          <w:divBdr>
            <w:top w:val="none" w:sz="0" w:space="0" w:color="auto"/>
            <w:left w:val="none" w:sz="0" w:space="0" w:color="auto"/>
            <w:bottom w:val="none" w:sz="0" w:space="0" w:color="auto"/>
            <w:right w:val="none" w:sz="0" w:space="0" w:color="auto"/>
          </w:divBdr>
        </w:div>
        <w:div w:id="403064566">
          <w:marLeft w:val="0"/>
          <w:marRight w:val="0"/>
          <w:marTop w:val="0"/>
          <w:marBottom w:val="0"/>
          <w:divBdr>
            <w:top w:val="none" w:sz="0" w:space="0" w:color="auto"/>
            <w:left w:val="none" w:sz="0" w:space="0" w:color="auto"/>
            <w:bottom w:val="none" w:sz="0" w:space="0" w:color="auto"/>
            <w:right w:val="none" w:sz="0" w:space="0" w:color="auto"/>
          </w:divBdr>
        </w:div>
      </w:divsChild>
    </w:div>
    <w:div w:id="2056734210">
      <w:bodyDiv w:val="1"/>
      <w:marLeft w:val="0"/>
      <w:marRight w:val="0"/>
      <w:marTop w:val="0"/>
      <w:marBottom w:val="0"/>
      <w:divBdr>
        <w:top w:val="none" w:sz="0" w:space="0" w:color="auto"/>
        <w:left w:val="none" w:sz="0" w:space="0" w:color="auto"/>
        <w:bottom w:val="none" w:sz="0" w:space="0" w:color="auto"/>
        <w:right w:val="none" w:sz="0" w:space="0" w:color="auto"/>
      </w:divBdr>
    </w:div>
    <w:div w:id="2104493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hyperlink" Target="https://www.odepa.gob.cl"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image" Target="media/image6.png"/><Relationship Id="rId7" Type="http://schemas.openxmlformats.org/officeDocument/2006/relationships/footnotes" Target="footnotes.xml"/><Relationship Id="rId12" Type="http://schemas.microsoft.com/office/2007/relationships/hdphoto" Target="media/hdphoto1.wdp"/><Relationship Id="rId17" Type="http://schemas.openxmlformats.org/officeDocument/2006/relationships/hyperlink" Target="https://www.odepa.gob.c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inia.cl" TargetMode="External"/><Relationship Id="rId20" Type="http://schemas.openxmlformats.org/officeDocument/2006/relationships/hyperlink" Target="https://corfo.cl/sites/cpp/area/desarrollo-territoria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s://www.odepa.gob.cl/publicaciones/catastro-fruticola" TargetMode="External"/><Relationship Id="rId23"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hyperlink" Target="https://corfo.cl/sites/cpp/sobrecorfo/"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CORFO2020</b:Tag>
    <b:SourceType>InternetSite</b:SourceType>
    <b:Guid>{B3011B5C-EF8A-4DBA-B9FF-FFE2C0E2F0DF}</b:Guid>
    <b:Title>https://www.corfo.cl</b:Title>
    <b:Year>2020</b:Year>
    <b:Author>
      <b:Author>
        <b:NameList>
          <b:Person>
            <b:Last>CORFO</b:Last>
          </b:Person>
        </b:NameList>
      </b:Author>
    </b:Author>
    <b:RefOrder>1</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EDE0705-0D91-430D-A2AA-1E934E1404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37</Pages>
  <Words>13903</Words>
  <Characters>82868</Characters>
  <Application>Microsoft Office Word</Application>
  <DocSecurity>0</DocSecurity>
  <Lines>1657</Lines>
  <Paragraphs>406</Paragraphs>
  <ScaleCrop>false</ScaleCrop>
  <HeadingPairs>
    <vt:vector size="2" baseType="variant">
      <vt:variant>
        <vt:lpstr>Título</vt:lpstr>
      </vt:variant>
      <vt:variant>
        <vt:i4>1</vt:i4>
      </vt:variant>
    </vt:vector>
  </HeadingPairs>
  <TitlesOfParts>
    <vt:vector size="1" baseType="lpstr">
      <vt:lpstr>Desarrollo sostenible y competitivo del sector frutícola: Caso de estudio del Programa Territorial Integrado Tecnofruta Biobío</vt:lpstr>
    </vt:vector>
  </TitlesOfParts>
  <Company/>
  <LinksUpToDate>false</LinksUpToDate>
  <CharactersWithSpaces>96365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Desarrollo sostenible y competitivo del sector frutícola: Caso de estudio del Programa Territorial Integrado Tecnofruta Biobío</dc:title>
  <dc:subject>MARÍA EMILIA LAMA PEÑA Y lILLO</dc:subject>
  <dc:creator>PROFESOR GUÍA: DIEGO RIVERA SALAZAR</dc:creator>
  <cp:keywords/>
  <dc:description/>
  <cp:lastModifiedBy>María Emilia Lama Peña y Lillo</cp:lastModifiedBy>
  <cp:revision>67</cp:revision>
  <cp:lastPrinted>2026-01-08T18:23:00Z</cp:lastPrinted>
  <dcterms:created xsi:type="dcterms:W3CDTF">2025-12-04T00:49:00Z</dcterms:created>
  <dcterms:modified xsi:type="dcterms:W3CDTF">2026-01-08T18:23:00Z</dcterms:modified>
</cp:coreProperties>
</file>