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253F15" w14:textId="77777777" w:rsidR="00A34169" w:rsidRPr="00557263" w:rsidRDefault="00A34169" w:rsidP="001765D4">
      <w:pPr>
        <w:tabs>
          <w:tab w:val="left" w:pos="8505"/>
        </w:tabs>
        <w:spacing w:line="360" w:lineRule="auto"/>
        <w:ind w:left="2124" w:right="49" w:firstLine="708"/>
        <w:rPr>
          <w:rFonts w:ascii="Times New Roman" w:eastAsia="Calibri" w:hAnsi="Times New Roman" w:cs="Times New Roman"/>
          <w:sz w:val="24"/>
          <w:szCs w:val="24"/>
          <w:lang w:val="es-ES"/>
        </w:rPr>
      </w:pPr>
    </w:p>
    <w:p w14:paraId="0CE8B4D7" w14:textId="611D5A7C" w:rsidR="00EE6137" w:rsidRPr="00557263" w:rsidRDefault="480CE020" w:rsidP="0039189E">
      <w:pPr>
        <w:spacing w:line="360" w:lineRule="auto"/>
        <w:ind w:left="2124" w:right="709" w:firstLine="708"/>
        <w:rPr>
          <w:rFonts w:ascii="Times New Roman" w:eastAsia="Calibri" w:hAnsi="Times New Roman" w:cs="Times New Roman"/>
          <w:sz w:val="24"/>
          <w:szCs w:val="24"/>
          <w:lang w:val="es-ES"/>
        </w:rPr>
      </w:pPr>
      <w:r w:rsidRPr="00557263">
        <w:rPr>
          <w:rFonts w:ascii="Times New Roman" w:hAnsi="Times New Roman" w:cs="Times New Roman"/>
          <w:noProof/>
          <w:sz w:val="24"/>
          <w:szCs w:val="24"/>
        </w:rPr>
        <w:drawing>
          <wp:inline distT="0" distB="0" distL="0" distR="0" wp14:anchorId="18F64A0C" wp14:editId="231246D5">
            <wp:extent cx="2333625" cy="1362075"/>
            <wp:effectExtent l="0" t="0" r="0" b="0"/>
            <wp:docPr id="610658033" name="Picture 610658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333625" cy="1362075"/>
                    </a:xfrm>
                    <a:prstGeom prst="rect">
                      <a:avLst/>
                    </a:prstGeom>
                  </pic:spPr>
                </pic:pic>
              </a:graphicData>
            </a:graphic>
          </wp:inline>
        </w:drawing>
      </w:r>
    </w:p>
    <w:p w14:paraId="1B78A80B" w14:textId="77777777" w:rsidR="00A34169" w:rsidRPr="00557263" w:rsidRDefault="00A34169" w:rsidP="0039189E">
      <w:pPr>
        <w:spacing w:before="240" w:line="360" w:lineRule="auto"/>
        <w:ind w:right="709"/>
        <w:rPr>
          <w:rFonts w:ascii="Times New Roman" w:eastAsia="Times New Roman" w:hAnsi="Times New Roman" w:cs="Times New Roman"/>
          <w:b/>
          <w:bCs/>
          <w:sz w:val="24"/>
          <w:szCs w:val="24"/>
          <w:lang w:val="es-ES"/>
        </w:rPr>
      </w:pPr>
    </w:p>
    <w:p w14:paraId="60418104" w14:textId="35F1E205" w:rsidR="00EE6137" w:rsidRPr="00557263" w:rsidRDefault="480CE020" w:rsidP="0039189E">
      <w:pPr>
        <w:spacing w:before="240" w:line="360" w:lineRule="auto"/>
        <w:ind w:right="709"/>
        <w:rPr>
          <w:rFonts w:ascii="Times New Roman" w:eastAsia="Times New Roman" w:hAnsi="Times New Roman" w:cs="Times New Roman"/>
          <w:b/>
          <w:bCs/>
          <w:sz w:val="24"/>
          <w:szCs w:val="24"/>
          <w:lang w:val="es-ES"/>
        </w:rPr>
      </w:pPr>
      <w:r w:rsidRPr="00557263">
        <w:rPr>
          <w:rFonts w:ascii="Times New Roman" w:eastAsia="Times New Roman" w:hAnsi="Times New Roman" w:cs="Times New Roman"/>
          <w:b/>
          <w:bCs/>
          <w:sz w:val="24"/>
          <w:szCs w:val="24"/>
          <w:lang w:val="es-ES"/>
        </w:rPr>
        <w:t>TÍTULO DEL PROYECTO: </w:t>
      </w:r>
    </w:p>
    <w:p w14:paraId="013D44BD" w14:textId="77777777" w:rsidR="00A34169" w:rsidRPr="00557263" w:rsidRDefault="00A34169" w:rsidP="0039189E">
      <w:pPr>
        <w:spacing w:before="240" w:line="360" w:lineRule="auto"/>
        <w:ind w:right="709"/>
        <w:rPr>
          <w:rFonts w:ascii="Times New Roman" w:eastAsia="Times New Roman" w:hAnsi="Times New Roman" w:cs="Times New Roman"/>
          <w:sz w:val="24"/>
          <w:szCs w:val="24"/>
          <w:lang w:val="es-ES"/>
        </w:rPr>
      </w:pPr>
    </w:p>
    <w:p w14:paraId="6D25DCFE" w14:textId="4AD6D17A" w:rsidR="00EE6137" w:rsidRPr="00557263" w:rsidRDefault="480CE020" w:rsidP="0039189E">
      <w:pPr>
        <w:spacing w:line="360" w:lineRule="auto"/>
        <w:ind w:right="709"/>
        <w:jc w:val="both"/>
        <w:rPr>
          <w:rFonts w:ascii="Times New Roman" w:eastAsia="Times New Roman" w:hAnsi="Times New Roman" w:cs="Times New Roman"/>
          <w:sz w:val="24"/>
          <w:szCs w:val="24"/>
          <w:lang w:val="es-ES"/>
        </w:rPr>
      </w:pPr>
      <w:r w:rsidRPr="00557263">
        <w:rPr>
          <w:rFonts w:ascii="Times New Roman" w:eastAsia="Times New Roman" w:hAnsi="Times New Roman" w:cs="Times New Roman"/>
          <w:b/>
          <w:bCs/>
          <w:sz w:val="24"/>
          <w:szCs w:val="24"/>
          <w:lang w:val="es-419"/>
        </w:rPr>
        <w:t>FACTORES DE RIESGO PARA EL DETERIORO COGNITIVO A LOS 3 MESES EN SOBREVIVIENTES DE UCI DURANTE LA PANDEMIA POR COVID-19.</w:t>
      </w:r>
    </w:p>
    <w:p w14:paraId="78E73AB5" w14:textId="3700387D" w:rsidR="00EE6137" w:rsidRPr="00557263" w:rsidRDefault="00EE6137" w:rsidP="0039189E">
      <w:pPr>
        <w:spacing w:line="360" w:lineRule="auto"/>
        <w:ind w:right="709"/>
        <w:rPr>
          <w:rFonts w:ascii="Times New Roman" w:eastAsia="Calibri" w:hAnsi="Times New Roman" w:cs="Times New Roman"/>
          <w:sz w:val="24"/>
          <w:szCs w:val="24"/>
          <w:lang w:val="es-ES"/>
        </w:rPr>
      </w:pPr>
    </w:p>
    <w:p w14:paraId="725B0203" w14:textId="12EA08BA" w:rsidR="00EE6137" w:rsidRPr="00BD73CA" w:rsidRDefault="480CE020" w:rsidP="0039189E">
      <w:pPr>
        <w:spacing w:line="360" w:lineRule="auto"/>
        <w:ind w:right="709"/>
        <w:rPr>
          <w:rFonts w:ascii="Times New Roman" w:eastAsia="Calibri" w:hAnsi="Times New Roman" w:cs="Times New Roman"/>
          <w:sz w:val="24"/>
          <w:szCs w:val="24"/>
          <w:vertAlign w:val="superscript"/>
          <w:lang w:val="es-419"/>
        </w:rPr>
      </w:pPr>
      <w:r w:rsidRPr="00BD73CA">
        <w:rPr>
          <w:rFonts w:ascii="Times New Roman" w:eastAsia="Calibri" w:hAnsi="Times New Roman" w:cs="Times New Roman"/>
          <w:b/>
          <w:bCs/>
          <w:sz w:val="24"/>
          <w:szCs w:val="24"/>
          <w:lang w:val="es-419"/>
        </w:rPr>
        <w:t xml:space="preserve">Autor principal: </w:t>
      </w:r>
      <w:r w:rsidRPr="00BD73CA">
        <w:rPr>
          <w:rFonts w:ascii="Times New Roman" w:eastAsia="Calibri" w:hAnsi="Times New Roman" w:cs="Times New Roman"/>
          <w:sz w:val="24"/>
          <w:szCs w:val="24"/>
          <w:lang w:val="es-419"/>
        </w:rPr>
        <w:t xml:space="preserve">Millaray Ankara Cantillano Matus </w:t>
      </w:r>
      <w:r w:rsidR="0006774A" w:rsidRPr="00BD73CA">
        <w:rPr>
          <w:rFonts w:ascii="Times New Roman" w:eastAsia="Calibri" w:hAnsi="Times New Roman" w:cs="Times New Roman"/>
          <w:sz w:val="24"/>
          <w:szCs w:val="24"/>
          <w:vertAlign w:val="superscript"/>
          <w:lang w:val="es-419"/>
        </w:rPr>
        <w:t>1</w:t>
      </w:r>
    </w:p>
    <w:p w14:paraId="023F6A77" w14:textId="77777777" w:rsidR="00A34169" w:rsidRPr="00557263" w:rsidRDefault="00A34169" w:rsidP="0039189E">
      <w:pPr>
        <w:spacing w:line="360" w:lineRule="auto"/>
        <w:ind w:right="709"/>
        <w:rPr>
          <w:rFonts w:ascii="Times New Roman" w:eastAsia="Calibri" w:hAnsi="Times New Roman" w:cs="Times New Roman"/>
          <w:sz w:val="24"/>
          <w:szCs w:val="24"/>
          <w:lang w:val="es-ES"/>
        </w:rPr>
      </w:pPr>
    </w:p>
    <w:p w14:paraId="2A3F3C06" w14:textId="721FE49B" w:rsidR="00EE6137" w:rsidRPr="00557263" w:rsidRDefault="00EE6137" w:rsidP="0039189E">
      <w:pPr>
        <w:spacing w:line="360" w:lineRule="auto"/>
        <w:ind w:right="709"/>
        <w:rPr>
          <w:rFonts w:ascii="Times New Roman" w:eastAsia="Calibri" w:hAnsi="Times New Roman" w:cs="Times New Roman"/>
          <w:sz w:val="24"/>
          <w:szCs w:val="24"/>
          <w:lang w:val="es-ES"/>
        </w:rPr>
      </w:pPr>
    </w:p>
    <w:p w14:paraId="0E74AA10" w14:textId="7C491A64" w:rsidR="00EE6137" w:rsidRPr="00557263" w:rsidRDefault="480CE020" w:rsidP="0039189E">
      <w:pPr>
        <w:spacing w:line="360" w:lineRule="auto"/>
        <w:ind w:right="709"/>
        <w:rPr>
          <w:rFonts w:ascii="Times New Roman" w:eastAsia="Calibri" w:hAnsi="Times New Roman" w:cs="Times New Roman"/>
          <w:sz w:val="24"/>
          <w:szCs w:val="24"/>
          <w:lang w:val="es-ES"/>
        </w:rPr>
      </w:pPr>
      <w:r w:rsidRPr="00BD73CA">
        <w:rPr>
          <w:rFonts w:ascii="Times New Roman" w:eastAsia="Calibri" w:hAnsi="Times New Roman" w:cs="Times New Roman"/>
          <w:b/>
          <w:bCs/>
          <w:sz w:val="24"/>
          <w:szCs w:val="24"/>
          <w:lang w:val="es-419"/>
        </w:rPr>
        <w:t>Conflicto de intereses y/o financiamiento:</w:t>
      </w:r>
      <w:r w:rsidRPr="00BD73CA">
        <w:rPr>
          <w:rFonts w:ascii="Times New Roman" w:eastAsia="Calibri" w:hAnsi="Times New Roman" w:cs="Times New Roman"/>
          <w:sz w:val="24"/>
          <w:szCs w:val="24"/>
          <w:lang w:val="es-419"/>
        </w:rPr>
        <w:t xml:space="preserve"> Los autores declaran no tener conflicto de intereses. Este estudio no se ha realizado con ningún financiamiento, sino que en el marco del proyecto de tesis para obtención del grado de magíster. </w:t>
      </w:r>
    </w:p>
    <w:p w14:paraId="0F9333C5" w14:textId="55E41AA1" w:rsidR="00EE6137" w:rsidRPr="00557263" w:rsidRDefault="00EE6137" w:rsidP="0039189E">
      <w:pPr>
        <w:spacing w:line="360" w:lineRule="auto"/>
        <w:ind w:right="709"/>
        <w:rPr>
          <w:rFonts w:ascii="Times New Roman" w:eastAsia="Calibri" w:hAnsi="Times New Roman" w:cs="Times New Roman"/>
          <w:sz w:val="24"/>
          <w:szCs w:val="24"/>
          <w:lang w:val="es-ES"/>
        </w:rPr>
      </w:pPr>
    </w:p>
    <w:p w14:paraId="2ADE67F3" w14:textId="77777777" w:rsidR="00A34169" w:rsidRPr="00557263" w:rsidRDefault="00A34169" w:rsidP="0039189E">
      <w:pPr>
        <w:spacing w:line="360" w:lineRule="auto"/>
        <w:ind w:right="709"/>
        <w:rPr>
          <w:rFonts w:ascii="Times New Roman" w:eastAsia="Calibri" w:hAnsi="Times New Roman" w:cs="Times New Roman"/>
          <w:sz w:val="24"/>
          <w:szCs w:val="24"/>
          <w:lang w:val="es-ES"/>
        </w:rPr>
      </w:pPr>
    </w:p>
    <w:p w14:paraId="71DFB633" w14:textId="09B731FF" w:rsidR="00EE6137" w:rsidRPr="00557263" w:rsidRDefault="480CE020" w:rsidP="0039189E">
      <w:pPr>
        <w:spacing w:line="360" w:lineRule="auto"/>
        <w:ind w:right="709"/>
        <w:rPr>
          <w:rFonts w:ascii="Times New Roman" w:eastAsia="Calibri" w:hAnsi="Times New Roman" w:cs="Times New Roman"/>
          <w:sz w:val="24"/>
          <w:szCs w:val="24"/>
          <w:lang w:val="es-419"/>
        </w:rPr>
      </w:pPr>
      <w:r w:rsidRPr="1EEEACEB">
        <w:rPr>
          <w:rFonts w:ascii="Times New Roman" w:eastAsia="Calibri" w:hAnsi="Times New Roman" w:cs="Times New Roman"/>
          <w:b/>
          <w:bCs/>
          <w:sz w:val="24"/>
          <w:szCs w:val="24"/>
          <w:lang w:val="es-419"/>
        </w:rPr>
        <w:t xml:space="preserve">Recuento de palabras: </w:t>
      </w:r>
      <w:r w:rsidR="260A4246" w:rsidRPr="1EEEACEB">
        <w:rPr>
          <w:rFonts w:ascii="Times New Roman" w:eastAsia="Calibri" w:hAnsi="Times New Roman" w:cs="Times New Roman"/>
          <w:b/>
          <w:bCs/>
          <w:sz w:val="24"/>
          <w:szCs w:val="24"/>
          <w:lang w:val="es-419"/>
        </w:rPr>
        <w:t>Manuscrito (</w:t>
      </w:r>
      <w:r w:rsidR="009B534E" w:rsidRPr="1EEEACEB">
        <w:rPr>
          <w:rFonts w:ascii="Times New Roman" w:eastAsia="Calibri" w:hAnsi="Times New Roman" w:cs="Times New Roman"/>
          <w:b/>
          <w:bCs/>
          <w:sz w:val="24"/>
          <w:szCs w:val="24"/>
          <w:lang w:val="es-419"/>
        </w:rPr>
        <w:t>2935</w:t>
      </w:r>
      <w:r w:rsidR="55FF9854" w:rsidRPr="1EEEACEB">
        <w:rPr>
          <w:rFonts w:ascii="Times New Roman" w:eastAsia="Calibri" w:hAnsi="Times New Roman" w:cs="Times New Roman"/>
          <w:b/>
          <w:bCs/>
          <w:sz w:val="24"/>
          <w:szCs w:val="24"/>
          <w:lang w:val="es-419"/>
        </w:rPr>
        <w:t>)</w:t>
      </w:r>
    </w:p>
    <w:p w14:paraId="0D189E5C" w14:textId="51B6137C" w:rsidR="2E3A4FA7" w:rsidRPr="00557263" w:rsidRDefault="00916CB5" w:rsidP="0039189E">
      <w:pPr>
        <w:spacing w:line="360" w:lineRule="auto"/>
        <w:ind w:right="709"/>
        <w:jc w:val="both"/>
        <w:rPr>
          <w:rFonts w:ascii="Times New Roman" w:hAnsi="Times New Roman" w:cs="Times New Roman"/>
          <w:sz w:val="24"/>
          <w:szCs w:val="24"/>
          <w:lang w:val="es-ES"/>
        </w:rPr>
      </w:pPr>
      <w:r w:rsidRPr="00557263">
        <w:rPr>
          <w:rFonts w:ascii="Times New Roman" w:hAnsi="Times New Roman" w:cs="Times New Roman"/>
          <w:b/>
          <w:bCs/>
          <w:sz w:val="24"/>
          <w:szCs w:val="24"/>
          <w:lang w:val="es-ES"/>
        </w:rPr>
        <w:br w:type="page"/>
      </w:r>
    </w:p>
    <w:p w14:paraId="0897B913" w14:textId="77777777" w:rsidR="00EE6137" w:rsidRPr="00557263" w:rsidRDefault="00EE6137" w:rsidP="0039189E">
      <w:pPr>
        <w:spacing w:line="360" w:lineRule="auto"/>
        <w:ind w:right="709"/>
        <w:jc w:val="both"/>
        <w:rPr>
          <w:rFonts w:ascii="Times New Roman" w:hAnsi="Times New Roman" w:cs="Times New Roman"/>
          <w:b/>
          <w:bCs/>
          <w:sz w:val="24"/>
          <w:szCs w:val="24"/>
          <w:lang w:val="es-ES"/>
        </w:rPr>
        <w:sectPr w:rsidR="00EE6137" w:rsidRPr="00557263" w:rsidSect="00064EA0">
          <w:footerReference w:type="default" r:id="rId12"/>
          <w:pgSz w:w="12240" w:h="15840"/>
          <w:pgMar w:top="1440" w:right="1080" w:bottom="1440" w:left="1080" w:header="709" w:footer="709" w:gutter="0"/>
          <w:cols w:space="708"/>
          <w:docGrid w:linePitch="360"/>
        </w:sectPr>
      </w:pPr>
    </w:p>
    <w:p w14:paraId="6228A631" w14:textId="606BA130" w:rsidR="00156C88" w:rsidRPr="00557263" w:rsidRDefault="00156C88" w:rsidP="0039189E">
      <w:pPr>
        <w:spacing w:line="360" w:lineRule="auto"/>
        <w:ind w:right="709"/>
        <w:jc w:val="both"/>
        <w:rPr>
          <w:rFonts w:ascii="Times New Roman" w:hAnsi="Times New Roman" w:cs="Times New Roman"/>
          <w:b/>
          <w:bCs/>
          <w:sz w:val="24"/>
          <w:szCs w:val="24"/>
          <w:lang w:val="es-419"/>
        </w:rPr>
      </w:pPr>
      <w:r w:rsidRPr="00557263">
        <w:rPr>
          <w:rFonts w:ascii="Times New Roman" w:hAnsi="Times New Roman" w:cs="Times New Roman"/>
          <w:b/>
          <w:bCs/>
          <w:sz w:val="24"/>
          <w:szCs w:val="24"/>
          <w:lang w:val="es-419"/>
        </w:rPr>
        <w:lastRenderedPageBreak/>
        <w:t>FACTORES DE RIESGO PARA EL DETERIORO COGNITIVO A LOS 3 MESES EN SOBREVIVIENTES DE UCI DURANTE LA PANDEMIA POR COVID-19.</w:t>
      </w:r>
    </w:p>
    <w:p w14:paraId="5D2A0975" w14:textId="207F0C50" w:rsidR="00156C88" w:rsidRPr="00A97AE2" w:rsidRDefault="00156C88" w:rsidP="0039189E">
      <w:pPr>
        <w:spacing w:line="360" w:lineRule="auto"/>
        <w:ind w:right="709"/>
        <w:jc w:val="both"/>
        <w:rPr>
          <w:rFonts w:ascii="Times New Roman" w:hAnsi="Times New Roman" w:cs="Times New Roman"/>
          <w:b/>
          <w:bCs/>
          <w:sz w:val="24"/>
          <w:szCs w:val="24"/>
          <w:vertAlign w:val="superscript"/>
          <w:lang w:val="en-US"/>
        </w:rPr>
      </w:pPr>
      <w:r w:rsidRPr="00557263">
        <w:rPr>
          <w:rFonts w:ascii="Times New Roman" w:hAnsi="Times New Roman" w:cs="Times New Roman"/>
          <w:b/>
          <w:bCs/>
          <w:sz w:val="24"/>
          <w:szCs w:val="24"/>
          <w:lang w:val="en-US"/>
        </w:rPr>
        <w:t>M. Cantillano-Matus</w:t>
      </w:r>
      <w:r w:rsidR="00A97AE2">
        <w:rPr>
          <w:rFonts w:ascii="Times New Roman" w:hAnsi="Times New Roman" w:cs="Times New Roman"/>
          <w:b/>
          <w:bCs/>
          <w:sz w:val="24"/>
          <w:szCs w:val="24"/>
          <w:vertAlign w:val="superscript"/>
          <w:lang w:val="en-US"/>
        </w:rPr>
        <w:t>1</w:t>
      </w:r>
    </w:p>
    <w:p w14:paraId="7CD28400" w14:textId="52F18554" w:rsidR="00156C88" w:rsidRPr="00557263" w:rsidRDefault="79D9EB9D" w:rsidP="0039189E">
      <w:pPr>
        <w:spacing w:line="360" w:lineRule="auto"/>
        <w:ind w:right="709"/>
        <w:jc w:val="both"/>
        <w:rPr>
          <w:rFonts w:ascii="Times New Roman" w:hAnsi="Times New Roman" w:cs="Times New Roman"/>
          <w:b/>
          <w:bCs/>
          <w:i/>
          <w:iCs/>
          <w:sz w:val="24"/>
          <w:szCs w:val="24"/>
          <w:lang w:val="en-US"/>
        </w:rPr>
      </w:pPr>
      <w:r w:rsidRPr="00557263">
        <w:rPr>
          <w:rFonts w:ascii="Times New Roman" w:hAnsi="Times New Roman" w:cs="Times New Roman"/>
          <w:b/>
          <w:bCs/>
          <w:i/>
          <w:iCs/>
          <w:sz w:val="24"/>
          <w:szCs w:val="24"/>
          <w:lang w:val="en-US"/>
        </w:rPr>
        <w:t>Abstract</w:t>
      </w:r>
    </w:p>
    <w:p w14:paraId="09C7DD46" w14:textId="2DB049AA" w:rsidR="00156C88" w:rsidRPr="00557263" w:rsidRDefault="79D9EB9D" w:rsidP="0039189E">
      <w:pPr>
        <w:spacing w:line="360" w:lineRule="auto"/>
        <w:ind w:right="709"/>
        <w:jc w:val="both"/>
        <w:rPr>
          <w:rFonts w:ascii="Times New Roman" w:hAnsi="Times New Roman" w:cs="Times New Roman"/>
          <w:i/>
          <w:iCs/>
          <w:sz w:val="24"/>
          <w:szCs w:val="24"/>
          <w:lang w:val="en-US"/>
        </w:rPr>
      </w:pPr>
      <w:r w:rsidRPr="00557263">
        <w:rPr>
          <w:rFonts w:ascii="Times New Roman" w:hAnsi="Times New Roman" w:cs="Times New Roman"/>
          <w:b/>
          <w:bCs/>
          <w:i/>
          <w:iCs/>
          <w:sz w:val="24"/>
          <w:szCs w:val="24"/>
          <w:lang w:val="en-US"/>
        </w:rPr>
        <w:t xml:space="preserve">Objective: </w:t>
      </w:r>
      <w:r w:rsidRPr="00557263">
        <w:rPr>
          <w:rFonts w:ascii="Times New Roman" w:hAnsi="Times New Roman" w:cs="Times New Roman"/>
          <w:i/>
          <w:iCs/>
          <w:sz w:val="24"/>
          <w:szCs w:val="24"/>
          <w:lang w:val="en-US"/>
        </w:rPr>
        <w:t>To determine the risk factors for presenting cognitive deterioration 3 months after discharge from the ICU in the context of the COVID-19 pandemic.</w:t>
      </w:r>
    </w:p>
    <w:p w14:paraId="46DF6A05" w14:textId="737E81E0" w:rsidR="79D9EB9D" w:rsidRPr="00557263" w:rsidRDefault="79D9EB9D" w:rsidP="0039189E">
      <w:pPr>
        <w:spacing w:line="360" w:lineRule="auto"/>
        <w:ind w:right="709"/>
        <w:jc w:val="both"/>
        <w:rPr>
          <w:rFonts w:ascii="Times New Roman" w:hAnsi="Times New Roman" w:cs="Times New Roman"/>
          <w:i/>
          <w:iCs/>
          <w:sz w:val="24"/>
          <w:szCs w:val="24"/>
          <w:lang w:val="en-US"/>
        </w:rPr>
      </w:pPr>
      <w:r w:rsidRPr="00557263">
        <w:rPr>
          <w:rFonts w:ascii="Times New Roman" w:hAnsi="Times New Roman" w:cs="Times New Roman"/>
          <w:b/>
          <w:bCs/>
          <w:i/>
          <w:iCs/>
          <w:sz w:val="24"/>
          <w:szCs w:val="24"/>
          <w:lang w:val="en-US"/>
        </w:rPr>
        <w:t xml:space="preserve">Patients and method: </w:t>
      </w:r>
      <w:r w:rsidRPr="00557263">
        <w:rPr>
          <w:rFonts w:ascii="Times New Roman" w:hAnsi="Times New Roman" w:cs="Times New Roman"/>
          <w:i/>
          <w:iCs/>
          <w:sz w:val="24"/>
          <w:szCs w:val="24"/>
          <w:lang w:val="en-US"/>
        </w:rPr>
        <w:t xml:space="preserve">Secondary analysis of a prospective cohort that included patients discharged from the ICU between October 2020 and April 2021 from 7 </w:t>
      </w:r>
      <w:r w:rsidR="007A2A2F" w:rsidRPr="00557263">
        <w:rPr>
          <w:rFonts w:ascii="Times New Roman" w:hAnsi="Times New Roman" w:cs="Times New Roman"/>
          <w:i/>
          <w:iCs/>
          <w:sz w:val="24"/>
          <w:szCs w:val="24"/>
          <w:lang w:val="en-US"/>
        </w:rPr>
        <w:t>centers</w:t>
      </w:r>
      <w:r w:rsidRPr="00557263">
        <w:rPr>
          <w:rFonts w:ascii="Times New Roman" w:hAnsi="Times New Roman" w:cs="Times New Roman"/>
          <w:i/>
          <w:iCs/>
          <w:sz w:val="24"/>
          <w:szCs w:val="24"/>
          <w:lang w:val="en-US"/>
        </w:rPr>
        <w:t xml:space="preserve"> (public and private) in Chile. The patients were adults, who had been on mechanical ventilation (MV) for at least 48 hours and had been walking independently for at least 2 weeks before admission to the ICU. Cognitive impairment was considered a score &lt;18 points on the MOCA-Blind test. Age, sex, clinical frailty, admission diagnosis, educational level, comorbidities and the level of bed occupancy were included as risk factors (RF) according to current health demand. Data analysis was performed using adjusted multiple logistic regression. Results are shown in Odds Ratio (OR) and 95% confidence interval (95%CI).</w:t>
      </w:r>
    </w:p>
    <w:p w14:paraId="3BB6A312" w14:textId="476A162E" w:rsidR="79D9EB9D" w:rsidRPr="00557263" w:rsidRDefault="79D9EB9D" w:rsidP="0039189E">
      <w:pPr>
        <w:spacing w:line="360" w:lineRule="auto"/>
        <w:ind w:right="709"/>
        <w:jc w:val="both"/>
        <w:rPr>
          <w:rFonts w:ascii="Times New Roman" w:hAnsi="Times New Roman" w:cs="Times New Roman"/>
          <w:i/>
          <w:iCs/>
          <w:sz w:val="24"/>
          <w:szCs w:val="24"/>
          <w:lang w:val="en-US"/>
        </w:rPr>
      </w:pPr>
      <w:r w:rsidRPr="00557263">
        <w:rPr>
          <w:rFonts w:ascii="Times New Roman" w:hAnsi="Times New Roman" w:cs="Times New Roman"/>
          <w:b/>
          <w:bCs/>
          <w:i/>
          <w:iCs/>
          <w:sz w:val="24"/>
          <w:szCs w:val="24"/>
          <w:lang w:val="en-US"/>
        </w:rPr>
        <w:t>Results:</w:t>
      </w:r>
      <w:r w:rsidRPr="00557263">
        <w:rPr>
          <w:rFonts w:ascii="Times New Roman" w:hAnsi="Times New Roman" w:cs="Times New Roman"/>
          <w:i/>
          <w:iCs/>
          <w:sz w:val="24"/>
          <w:szCs w:val="24"/>
          <w:lang w:val="en-US"/>
        </w:rPr>
        <w:t xml:space="preserve"> 1,317 patients were identified, 405 were eligible upon discharge from the ICU and 252 evaluated at discharge, while 103 were evaluated 3 months after discharge from the ICU. Of these, 34(33%) were women, the median (p25, p75) age was 56(47.65) years and 40(38%) presented cognitive impairment at 3 months. Patients with cognitive impairment had at least one comorbidity (OR 1.9 95%CI 1.0-3.3; p value =0.024), more likely to have frailty on admission (OR 6.8 95%CI 0.74-64; p value=0.09), less than 8 years of education (OR 15 95%CI 2-113; p-value &lt;0.009) and </w:t>
      </w:r>
      <w:r w:rsidRPr="00CA7FDB">
        <w:rPr>
          <w:rFonts w:ascii="Times New Roman" w:hAnsi="Times New Roman" w:cs="Times New Roman"/>
          <w:i/>
          <w:iCs/>
          <w:sz w:val="24"/>
          <w:szCs w:val="24"/>
          <w:highlight w:val="cyan"/>
          <w:lang w:val="en-US"/>
        </w:rPr>
        <w:t>having had</w:t>
      </w:r>
      <w:r w:rsidRPr="00557263">
        <w:rPr>
          <w:rFonts w:ascii="Times New Roman" w:hAnsi="Times New Roman" w:cs="Times New Roman"/>
          <w:i/>
          <w:iCs/>
          <w:sz w:val="24"/>
          <w:szCs w:val="24"/>
          <w:lang w:val="en-US"/>
        </w:rPr>
        <w:t xml:space="preserve"> cognitive impairment at discharge from the ICU (OR 2.9 95%CI 1.1-7.6; p value=0.030). The analysis between ICU stays, duration of MV, admission diagnosis, having COVID-19, and bed occupancy were not associated with the probability of cognitive impairment at 3 months.</w:t>
      </w:r>
    </w:p>
    <w:p w14:paraId="48029A01" w14:textId="1BDAD6DF" w:rsidR="79D9EB9D" w:rsidRPr="00557263" w:rsidRDefault="79D9EB9D" w:rsidP="0039189E">
      <w:pPr>
        <w:spacing w:line="360" w:lineRule="auto"/>
        <w:ind w:right="709"/>
        <w:jc w:val="both"/>
        <w:rPr>
          <w:rFonts w:ascii="Times New Roman" w:hAnsi="Times New Roman" w:cs="Times New Roman"/>
          <w:i/>
          <w:iCs/>
          <w:sz w:val="24"/>
          <w:szCs w:val="24"/>
          <w:lang w:val="en-US"/>
        </w:rPr>
      </w:pPr>
      <w:r w:rsidRPr="00557263">
        <w:rPr>
          <w:rFonts w:ascii="Times New Roman" w:hAnsi="Times New Roman" w:cs="Times New Roman"/>
          <w:b/>
          <w:bCs/>
          <w:i/>
          <w:iCs/>
          <w:sz w:val="24"/>
          <w:szCs w:val="24"/>
          <w:lang w:val="en-US"/>
        </w:rPr>
        <w:t>Conclusion:</w:t>
      </w:r>
      <w:r w:rsidRPr="00557263">
        <w:rPr>
          <w:rFonts w:ascii="Times New Roman" w:hAnsi="Times New Roman" w:cs="Times New Roman"/>
          <w:i/>
          <w:iCs/>
          <w:sz w:val="24"/>
          <w:szCs w:val="24"/>
          <w:lang w:val="en-US"/>
        </w:rPr>
        <w:t xml:space="preserve"> Less than 8 years of education, frailty, more than one comorbidity, and cognitive impairment at ICU discharge were associated with cognitive impairment at 3 months. Patients with these risk factors should be prioritized for preventive intervention before hospital discharge.</w:t>
      </w:r>
    </w:p>
    <w:p w14:paraId="53806EE4" w14:textId="2F4D2815" w:rsidR="00156C88" w:rsidRPr="00DA7DAC" w:rsidRDefault="663CE6DF" w:rsidP="0039189E">
      <w:pPr>
        <w:spacing w:line="360" w:lineRule="auto"/>
        <w:ind w:right="709"/>
        <w:rPr>
          <w:rFonts w:ascii="Times New Roman" w:hAnsi="Times New Roman" w:cs="Times New Roman"/>
          <w:sz w:val="24"/>
          <w:szCs w:val="24"/>
        </w:rPr>
      </w:pPr>
      <w:r w:rsidRPr="00DA7DAC">
        <w:rPr>
          <w:rFonts w:ascii="Times New Roman" w:hAnsi="Times New Roman" w:cs="Times New Roman"/>
          <w:sz w:val="24"/>
          <w:szCs w:val="24"/>
        </w:rPr>
        <w:br w:type="page"/>
      </w:r>
      <w:r w:rsidR="008113E0">
        <w:rPr>
          <w:rFonts w:ascii="Times New Roman" w:hAnsi="Times New Roman" w:cs="Times New Roman"/>
          <w:b/>
          <w:bCs/>
          <w:i/>
          <w:iCs/>
          <w:sz w:val="24"/>
          <w:szCs w:val="24"/>
          <w:lang w:val="es-419"/>
        </w:rPr>
        <w:lastRenderedPageBreak/>
        <w:t>Resumen</w:t>
      </w:r>
      <w:r w:rsidR="00156C88" w:rsidRPr="00557263">
        <w:rPr>
          <w:rFonts w:ascii="Times New Roman" w:hAnsi="Times New Roman" w:cs="Times New Roman"/>
          <w:b/>
          <w:bCs/>
          <w:i/>
          <w:iCs/>
          <w:sz w:val="24"/>
          <w:szCs w:val="24"/>
          <w:lang w:val="es-419"/>
        </w:rPr>
        <w:t>:</w:t>
      </w:r>
    </w:p>
    <w:p w14:paraId="012AFDF8" w14:textId="77777777" w:rsidR="00156C88" w:rsidRPr="00557263" w:rsidRDefault="00156C88" w:rsidP="0039189E">
      <w:pPr>
        <w:spacing w:line="360" w:lineRule="auto"/>
        <w:ind w:right="709"/>
        <w:jc w:val="both"/>
        <w:rPr>
          <w:rFonts w:ascii="Times New Roman" w:hAnsi="Times New Roman" w:cs="Times New Roman"/>
          <w:i/>
          <w:iCs/>
          <w:sz w:val="24"/>
          <w:szCs w:val="24"/>
          <w:lang w:val="es-419"/>
        </w:rPr>
      </w:pPr>
      <w:r w:rsidRPr="00557263">
        <w:rPr>
          <w:rFonts w:ascii="Times New Roman" w:hAnsi="Times New Roman" w:cs="Times New Roman"/>
          <w:b/>
          <w:bCs/>
          <w:i/>
          <w:iCs/>
          <w:sz w:val="24"/>
          <w:szCs w:val="24"/>
          <w:lang w:val="es-419"/>
        </w:rPr>
        <w:t>Objetivo:</w:t>
      </w:r>
      <w:r w:rsidRPr="00557263">
        <w:rPr>
          <w:rFonts w:ascii="Times New Roman" w:hAnsi="Times New Roman" w:cs="Times New Roman"/>
          <w:i/>
          <w:iCs/>
          <w:sz w:val="24"/>
          <w:szCs w:val="24"/>
          <w:lang w:val="es-419"/>
        </w:rPr>
        <w:t xml:space="preserve"> Determinar los factores de riesgo para presentar deterioro cognitivo a los 3 meses post egreso de la UCI en contexto de pandemia por COVID-19.</w:t>
      </w:r>
    </w:p>
    <w:p w14:paraId="1FE88D54" w14:textId="204B834F" w:rsidR="00156C88" w:rsidRPr="00557263" w:rsidRDefault="47BB8717" w:rsidP="0039189E">
      <w:pPr>
        <w:spacing w:line="360" w:lineRule="auto"/>
        <w:ind w:right="709"/>
        <w:jc w:val="both"/>
        <w:rPr>
          <w:rFonts w:ascii="Times New Roman" w:hAnsi="Times New Roman" w:cs="Times New Roman"/>
          <w:i/>
          <w:iCs/>
          <w:sz w:val="24"/>
          <w:szCs w:val="24"/>
          <w:lang w:val="es-419"/>
        </w:rPr>
      </w:pPr>
      <w:r w:rsidRPr="00557263">
        <w:rPr>
          <w:rFonts w:ascii="Times New Roman" w:hAnsi="Times New Roman" w:cs="Times New Roman"/>
          <w:b/>
          <w:bCs/>
          <w:i/>
          <w:iCs/>
          <w:sz w:val="24"/>
          <w:szCs w:val="24"/>
          <w:lang w:val="es-419"/>
        </w:rPr>
        <w:t>Pacientes y método</w:t>
      </w:r>
      <w:r w:rsidRPr="00557263">
        <w:rPr>
          <w:rFonts w:ascii="Times New Roman" w:hAnsi="Times New Roman" w:cs="Times New Roman"/>
          <w:i/>
          <w:iCs/>
          <w:sz w:val="24"/>
          <w:szCs w:val="24"/>
          <w:lang w:val="es-419"/>
        </w:rPr>
        <w:t xml:space="preserve">: </w:t>
      </w:r>
      <w:r w:rsidR="39ED9CD7" w:rsidRPr="00557263">
        <w:rPr>
          <w:rFonts w:ascii="Times New Roman" w:hAnsi="Times New Roman" w:cs="Times New Roman"/>
          <w:i/>
          <w:iCs/>
          <w:sz w:val="24"/>
          <w:szCs w:val="24"/>
          <w:lang w:val="es-419"/>
        </w:rPr>
        <w:t>A</w:t>
      </w:r>
      <w:r w:rsidRPr="00557263">
        <w:rPr>
          <w:rFonts w:ascii="Times New Roman" w:hAnsi="Times New Roman" w:cs="Times New Roman"/>
          <w:i/>
          <w:iCs/>
          <w:sz w:val="24"/>
          <w:szCs w:val="24"/>
          <w:lang w:val="es-419"/>
        </w:rPr>
        <w:t xml:space="preserve">nálisis secundario de una cohorte prospectiva que incluyó a </w:t>
      </w:r>
      <w:r w:rsidR="39EDF073" w:rsidRPr="00557263">
        <w:rPr>
          <w:rFonts w:ascii="Times New Roman" w:hAnsi="Times New Roman" w:cs="Times New Roman"/>
          <w:i/>
          <w:iCs/>
          <w:sz w:val="24"/>
          <w:szCs w:val="24"/>
          <w:lang w:val="es-419"/>
        </w:rPr>
        <w:t xml:space="preserve">pacientes dados de alta de UCI entre octubre 2020 y abril 2021 </w:t>
      </w:r>
      <w:r w:rsidRPr="00557263">
        <w:rPr>
          <w:rFonts w:ascii="Times New Roman" w:hAnsi="Times New Roman" w:cs="Times New Roman"/>
          <w:i/>
          <w:iCs/>
          <w:sz w:val="24"/>
          <w:szCs w:val="24"/>
          <w:lang w:val="es-419"/>
        </w:rPr>
        <w:t xml:space="preserve">de 7 centros (públicos y privados) </w:t>
      </w:r>
      <w:r w:rsidR="39EDF073" w:rsidRPr="00557263">
        <w:rPr>
          <w:rFonts w:ascii="Times New Roman" w:hAnsi="Times New Roman" w:cs="Times New Roman"/>
          <w:i/>
          <w:iCs/>
          <w:sz w:val="24"/>
          <w:szCs w:val="24"/>
          <w:lang w:val="es-419"/>
        </w:rPr>
        <w:t>en</w:t>
      </w:r>
      <w:r w:rsidRPr="00557263">
        <w:rPr>
          <w:rFonts w:ascii="Times New Roman" w:hAnsi="Times New Roman" w:cs="Times New Roman"/>
          <w:i/>
          <w:iCs/>
          <w:sz w:val="24"/>
          <w:szCs w:val="24"/>
          <w:lang w:val="es-419"/>
        </w:rPr>
        <w:t xml:space="preserve"> Chile. Los pacientes fueron adultos que habían estado en</w:t>
      </w:r>
      <w:r w:rsidR="223AD2F3" w:rsidRPr="00557263">
        <w:rPr>
          <w:rFonts w:ascii="Times New Roman" w:hAnsi="Times New Roman" w:cs="Times New Roman"/>
          <w:i/>
          <w:iCs/>
          <w:sz w:val="24"/>
          <w:szCs w:val="24"/>
          <w:lang w:val="es-419"/>
        </w:rPr>
        <w:t xml:space="preserve"> ventilación mecánica (</w:t>
      </w:r>
      <w:r w:rsidRPr="00557263">
        <w:rPr>
          <w:rFonts w:ascii="Times New Roman" w:hAnsi="Times New Roman" w:cs="Times New Roman"/>
          <w:i/>
          <w:iCs/>
          <w:sz w:val="24"/>
          <w:szCs w:val="24"/>
          <w:lang w:val="es-419"/>
        </w:rPr>
        <w:t>VM</w:t>
      </w:r>
      <w:r w:rsidR="223AD2F3" w:rsidRPr="00557263">
        <w:rPr>
          <w:rFonts w:ascii="Times New Roman" w:hAnsi="Times New Roman" w:cs="Times New Roman"/>
          <w:i/>
          <w:iCs/>
          <w:sz w:val="24"/>
          <w:szCs w:val="24"/>
          <w:lang w:val="es-419"/>
        </w:rPr>
        <w:t>)</w:t>
      </w:r>
      <w:r w:rsidRPr="00557263">
        <w:rPr>
          <w:rFonts w:ascii="Times New Roman" w:hAnsi="Times New Roman" w:cs="Times New Roman"/>
          <w:i/>
          <w:iCs/>
          <w:sz w:val="24"/>
          <w:szCs w:val="24"/>
          <w:lang w:val="es-419"/>
        </w:rPr>
        <w:t xml:space="preserve"> al menos 48 horas y que </w:t>
      </w:r>
      <w:r w:rsidR="75BE4EAB" w:rsidRPr="00557263">
        <w:rPr>
          <w:rFonts w:ascii="Times New Roman" w:hAnsi="Times New Roman" w:cs="Times New Roman"/>
          <w:i/>
          <w:iCs/>
          <w:sz w:val="24"/>
          <w:szCs w:val="24"/>
          <w:lang w:val="es-419"/>
        </w:rPr>
        <w:t xml:space="preserve">caminaran de forma independiente </w:t>
      </w:r>
      <w:r w:rsidRPr="00557263">
        <w:rPr>
          <w:rFonts w:ascii="Times New Roman" w:hAnsi="Times New Roman" w:cs="Times New Roman"/>
          <w:i/>
          <w:iCs/>
          <w:sz w:val="24"/>
          <w:szCs w:val="24"/>
          <w:lang w:val="es-419"/>
        </w:rPr>
        <w:t>al menos 2 semanas antes de su ingreso a UCI.</w:t>
      </w:r>
      <w:r w:rsidR="251FD999" w:rsidRPr="00557263">
        <w:rPr>
          <w:rFonts w:ascii="Times New Roman" w:hAnsi="Times New Roman" w:cs="Times New Roman"/>
          <w:i/>
          <w:iCs/>
          <w:sz w:val="24"/>
          <w:szCs w:val="24"/>
          <w:lang w:val="es-419"/>
        </w:rPr>
        <w:t xml:space="preserve"> </w:t>
      </w:r>
      <w:r w:rsidR="75BE4EAB" w:rsidRPr="00557263">
        <w:rPr>
          <w:rFonts w:ascii="Times New Roman" w:hAnsi="Times New Roman" w:cs="Times New Roman"/>
          <w:i/>
          <w:iCs/>
          <w:sz w:val="24"/>
          <w:szCs w:val="24"/>
          <w:lang w:val="es-419"/>
        </w:rPr>
        <w:t xml:space="preserve">Se consideró </w:t>
      </w:r>
      <w:r w:rsidRPr="00557263">
        <w:rPr>
          <w:rFonts w:ascii="Times New Roman" w:hAnsi="Times New Roman" w:cs="Times New Roman"/>
          <w:i/>
          <w:iCs/>
          <w:sz w:val="24"/>
          <w:szCs w:val="24"/>
          <w:lang w:val="es-419"/>
        </w:rPr>
        <w:t xml:space="preserve">deterioro cognitivo </w:t>
      </w:r>
      <w:r w:rsidR="75BE4EAB" w:rsidRPr="00557263">
        <w:rPr>
          <w:rFonts w:ascii="Times New Roman" w:hAnsi="Times New Roman" w:cs="Times New Roman"/>
          <w:i/>
          <w:iCs/>
          <w:sz w:val="24"/>
          <w:szCs w:val="24"/>
          <w:lang w:val="es-419"/>
        </w:rPr>
        <w:t xml:space="preserve">un puntaje &lt;18 puntos en </w:t>
      </w:r>
      <w:r w:rsidRPr="00557263">
        <w:rPr>
          <w:rFonts w:ascii="Times New Roman" w:hAnsi="Times New Roman" w:cs="Times New Roman"/>
          <w:i/>
          <w:iCs/>
          <w:sz w:val="24"/>
          <w:szCs w:val="24"/>
          <w:lang w:val="es-419"/>
        </w:rPr>
        <w:t>el test MOCA-Blind. Se incluyeron como factores de riesgo (FR) la edad, sexo, fragilidad</w:t>
      </w:r>
      <w:r w:rsidR="39ED9CD7" w:rsidRPr="00557263">
        <w:rPr>
          <w:rFonts w:ascii="Times New Roman" w:hAnsi="Times New Roman" w:cs="Times New Roman"/>
          <w:i/>
          <w:iCs/>
          <w:sz w:val="24"/>
          <w:szCs w:val="24"/>
          <w:lang w:val="es-419"/>
        </w:rPr>
        <w:t xml:space="preserve"> clínica</w:t>
      </w:r>
      <w:r w:rsidRPr="00557263">
        <w:rPr>
          <w:rFonts w:ascii="Times New Roman" w:hAnsi="Times New Roman" w:cs="Times New Roman"/>
          <w:i/>
          <w:iCs/>
          <w:sz w:val="24"/>
          <w:szCs w:val="24"/>
          <w:lang w:val="es-419"/>
        </w:rPr>
        <w:t xml:space="preserve">, diagnóstico de ingreso, nivel educacional, </w:t>
      </w:r>
      <w:r w:rsidR="3FB22E20" w:rsidRPr="00557263">
        <w:rPr>
          <w:rFonts w:ascii="Times New Roman" w:hAnsi="Times New Roman" w:cs="Times New Roman"/>
          <w:i/>
          <w:iCs/>
          <w:sz w:val="24"/>
          <w:szCs w:val="24"/>
          <w:lang w:val="es-419"/>
        </w:rPr>
        <w:t>comorbilidades</w:t>
      </w:r>
      <w:r w:rsidR="75BE4EAB" w:rsidRPr="00557263">
        <w:rPr>
          <w:rFonts w:ascii="Times New Roman" w:hAnsi="Times New Roman" w:cs="Times New Roman"/>
          <w:i/>
          <w:iCs/>
          <w:sz w:val="24"/>
          <w:szCs w:val="24"/>
          <w:lang w:val="es-419"/>
        </w:rPr>
        <w:t xml:space="preserve"> y </w:t>
      </w:r>
      <w:r w:rsidRPr="00557263">
        <w:rPr>
          <w:rFonts w:ascii="Times New Roman" w:hAnsi="Times New Roman" w:cs="Times New Roman"/>
          <w:i/>
          <w:iCs/>
          <w:sz w:val="24"/>
          <w:szCs w:val="24"/>
          <w:lang w:val="es-419"/>
        </w:rPr>
        <w:t>el nivel de ocupación de camas según la demanda sanitaria del momento. El análisis de datos se realizó a través de una regresión logística múltiple</w:t>
      </w:r>
      <w:r w:rsidR="4FBC8D57" w:rsidRPr="00557263">
        <w:rPr>
          <w:rFonts w:ascii="Times New Roman" w:hAnsi="Times New Roman" w:cs="Times New Roman"/>
          <w:i/>
          <w:iCs/>
          <w:sz w:val="24"/>
          <w:szCs w:val="24"/>
          <w:lang w:val="es-419"/>
        </w:rPr>
        <w:t xml:space="preserve"> ajustada</w:t>
      </w:r>
      <w:r w:rsidR="279A208C" w:rsidRPr="00557263">
        <w:rPr>
          <w:rFonts w:ascii="Times New Roman" w:hAnsi="Times New Roman" w:cs="Times New Roman"/>
          <w:i/>
          <w:iCs/>
          <w:sz w:val="24"/>
          <w:szCs w:val="24"/>
          <w:lang w:val="es-419"/>
        </w:rPr>
        <w:t>. Los resultados se muestran</w:t>
      </w:r>
      <w:r w:rsidRPr="00557263">
        <w:rPr>
          <w:rFonts w:ascii="Times New Roman" w:hAnsi="Times New Roman" w:cs="Times New Roman"/>
          <w:i/>
          <w:iCs/>
          <w:sz w:val="24"/>
          <w:szCs w:val="24"/>
          <w:lang w:val="es-419"/>
        </w:rPr>
        <w:t xml:space="preserve"> en Odd</w:t>
      </w:r>
      <w:r w:rsidR="4546C6B3" w:rsidRPr="00557263">
        <w:rPr>
          <w:rFonts w:ascii="Times New Roman" w:hAnsi="Times New Roman" w:cs="Times New Roman"/>
          <w:i/>
          <w:iCs/>
          <w:sz w:val="24"/>
          <w:szCs w:val="24"/>
          <w:lang w:val="es-419"/>
        </w:rPr>
        <w:t>s</w:t>
      </w:r>
      <w:r w:rsidRPr="00557263">
        <w:rPr>
          <w:rFonts w:ascii="Times New Roman" w:hAnsi="Times New Roman" w:cs="Times New Roman"/>
          <w:i/>
          <w:iCs/>
          <w:sz w:val="24"/>
          <w:szCs w:val="24"/>
          <w:lang w:val="es-419"/>
        </w:rPr>
        <w:t xml:space="preserve"> Ratio (OR)</w:t>
      </w:r>
      <w:r w:rsidR="461C261C" w:rsidRPr="00557263">
        <w:rPr>
          <w:rFonts w:ascii="Times New Roman" w:hAnsi="Times New Roman" w:cs="Times New Roman"/>
          <w:i/>
          <w:iCs/>
          <w:sz w:val="24"/>
          <w:szCs w:val="24"/>
          <w:lang w:val="es-419"/>
        </w:rPr>
        <w:t xml:space="preserve"> e intervalo de confianza del 95% (IC95%)</w:t>
      </w:r>
      <w:r w:rsidRPr="00557263">
        <w:rPr>
          <w:rFonts w:ascii="Times New Roman" w:hAnsi="Times New Roman" w:cs="Times New Roman"/>
          <w:i/>
          <w:iCs/>
          <w:sz w:val="24"/>
          <w:szCs w:val="24"/>
          <w:lang w:val="es-419"/>
        </w:rPr>
        <w:t xml:space="preserve">. </w:t>
      </w:r>
    </w:p>
    <w:p w14:paraId="462B4401" w14:textId="171F3F02" w:rsidR="00AE27B5" w:rsidRPr="00557263" w:rsidRDefault="47BB8717" w:rsidP="0039189E">
      <w:pPr>
        <w:spacing w:line="360" w:lineRule="auto"/>
        <w:ind w:right="709"/>
        <w:jc w:val="both"/>
        <w:rPr>
          <w:rFonts w:ascii="Times New Roman" w:hAnsi="Times New Roman" w:cs="Times New Roman"/>
          <w:i/>
          <w:iCs/>
          <w:sz w:val="24"/>
          <w:szCs w:val="24"/>
          <w:lang w:val="es-419"/>
        </w:rPr>
      </w:pPr>
      <w:r w:rsidRPr="00557263">
        <w:rPr>
          <w:rFonts w:ascii="Times New Roman" w:hAnsi="Times New Roman" w:cs="Times New Roman"/>
          <w:b/>
          <w:bCs/>
          <w:i/>
          <w:iCs/>
          <w:sz w:val="24"/>
          <w:szCs w:val="24"/>
          <w:lang w:val="es-419"/>
        </w:rPr>
        <w:t>Resultados</w:t>
      </w:r>
      <w:r w:rsidRPr="00557263">
        <w:rPr>
          <w:rFonts w:ascii="Times New Roman" w:hAnsi="Times New Roman" w:cs="Times New Roman"/>
          <w:i/>
          <w:iCs/>
          <w:sz w:val="24"/>
          <w:szCs w:val="24"/>
          <w:lang w:val="es-419"/>
        </w:rPr>
        <w:t xml:space="preserve">: Se identificaron 1.317 pacientes, </w:t>
      </w:r>
      <w:r w:rsidR="279A208C" w:rsidRPr="00557263">
        <w:rPr>
          <w:rFonts w:ascii="Times New Roman" w:hAnsi="Times New Roman" w:cs="Times New Roman"/>
          <w:i/>
          <w:iCs/>
          <w:sz w:val="24"/>
          <w:szCs w:val="24"/>
          <w:lang w:val="es-419"/>
        </w:rPr>
        <w:t xml:space="preserve">405 </w:t>
      </w:r>
      <w:r w:rsidRPr="00557263">
        <w:rPr>
          <w:rFonts w:ascii="Times New Roman" w:hAnsi="Times New Roman" w:cs="Times New Roman"/>
          <w:i/>
          <w:iCs/>
          <w:sz w:val="24"/>
          <w:szCs w:val="24"/>
          <w:lang w:val="es-419"/>
        </w:rPr>
        <w:t xml:space="preserve">fueron elegibles al egreso de la UCI y </w:t>
      </w:r>
      <w:r w:rsidR="279A208C" w:rsidRPr="00557263">
        <w:rPr>
          <w:rFonts w:ascii="Times New Roman" w:hAnsi="Times New Roman" w:cs="Times New Roman"/>
          <w:i/>
          <w:iCs/>
          <w:sz w:val="24"/>
          <w:szCs w:val="24"/>
          <w:lang w:val="es-419"/>
        </w:rPr>
        <w:t xml:space="preserve">252 </w:t>
      </w:r>
      <w:r w:rsidRPr="00557263">
        <w:rPr>
          <w:rFonts w:ascii="Times New Roman" w:hAnsi="Times New Roman" w:cs="Times New Roman"/>
          <w:i/>
          <w:iCs/>
          <w:sz w:val="24"/>
          <w:szCs w:val="24"/>
          <w:lang w:val="es-419"/>
        </w:rPr>
        <w:t>evaluados al alta</w:t>
      </w:r>
      <w:r w:rsidR="4FBC8D57" w:rsidRPr="00557263">
        <w:rPr>
          <w:rFonts w:ascii="Times New Roman" w:hAnsi="Times New Roman" w:cs="Times New Roman"/>
          <w:i/>
          <w:iCs/>
          <w:sz w:val="24"/>
          <w:szCs w:val="24"/>
          <w:lang w:val="es-419"/>
        </w:rPr>
        <w:t>, m</w:t>
      </w:r>
      <w:r w:rsidRPr="00557263">
        <w:rPr>
          <w:rFonts w:ascii="Times New Roman" w:hAnsi="Times New Roman" w:cs="Times New Roman"/>
          <w:i/>
          <w:iCs/>
          <w:sz w:val="24"/>
          <w:szCs w:val="24"/>
          <w:lang w:val="es-419"/>
        </w:rPr>
        <w:t xml:space="preserve">ientras que 103 fueron evaluados a los 3 meses </w:t>
      </w:r>
      <w:r w:rsidR="7DADF2B6" w:rsidRPr="00557263">
        <w:rPr>
          <w:rFonts w:ascii="Times New Roman" w:hAnsi="Times New Roman" w:cs="Times New Roman"/>
          <w:i/>
          <w:iCs/>
          <w:sz w:val="24"/>
          <w:szCs w:val="24"/>
          <w:lang w:val="es-419"/>
        </w:rPr>
        <w:t>de su</w:t>
      </w:r>
      <w:r w:rsidRPr="00557263">
        <w:rPr>
          <w:rFonts w:ascii="Times New Roman" w:hAnsi="Times New Roman" w:cs="Times New Roman"/>
          <w:i/>
          <w:iCs/>
          <w:sz w:val="24"/>
          <w:szCs w:val="24"/>
          <w:lang w:val="es-419"/>
        </w:rPr>
        <w:t xml:space="preserve"> egreso de UCI. De estos, 34(3</w:t>
      </w:r>
      <w:r w:rsidR="782E595A" w:rsidRPr="00557263">
        <w:rPr>
          <w:rFonts w:ascii="Times New Roman" w:hAnsi="Times New Roman" w:cs="Times New Roman"/>
          <w:i/>
          <w:iCs/>
          <w:sz w:val="24"/>
          <w:szCs w:val="24"/>
          <w:lang w:val="es-419"/>
        </w:rPr>
        <w:t>3</w:t>
      </w:r>
      <w:r w:rsidRPr="00557263">
        <w:rPr>
          <w:rFonts w:ascii="Times New Roman" w:hAnsi="Times New Roman" w:cs="Times New Roman"/>
          <w:i/>
          <w:iCs/>
          <w:sz w:val="24"/>
          <w:szCs w:val="24"/>
          <w:lang w:val="es-419"/>
        </w:rPr>
        <w:t xml:space="preserve">%) correspondía a mujeres, la mediana (p25, p75) de edad fue </w:t>
      </w:r>
      <w:r w:rsidR="782E595A" w:rsidRPr="00557263">
        <w:rPr>
          <w:rFonts w:ascii="Times New Roman" w:hAnsi="Times New Roman" w:cs="Times New Roman"/>
          <w:i/>
          <w:iCs/>
          <w:sz w:val="24"/>
          <w:szCs w:val="24"/>
          <w:lang w:val="es-419"/>
        </w:rPr>
        <w:t>56</w:t>
      </w:r>
      <w:r w:rsidRPr="00557263">
        <w:rPr>
          <w:rFonts w:ascii="Times New Roman" w:hAnsi="Times New Roman" w:cs="Times New Roman"/>
          <w:i/>
          <w:iCs/>
          <w:sz w:val="24"/>
          <w:szCs w:val="24"/>
          <w:lang w:val="es-419"/>
        </w:rPr>
        <w:t xml:space="preserve">(47,65) años y </w:t>
      </w:r>
      <w:r w:rsidR="782E595A" w:rsidRPr="00557263">
        <w:rPr>
          <w:rFonts w:ascii="Times New Roman" w:hAnsi="Times New Roman" w:cs="Times New Roman"/>
          <w:i/>
          <w:iCs/>
          <w:sz w:val="24"/>
          <w:szCs w:val="24"/>
          <w:lang w:val="es-419"/>
        </w:rPr>
        <w:t>40</w:t>
      </w:r>
      <w:r w:rsidRPr="00557263">
        <w:rPr>
          <w:rFonts w:ascii="Times New Roman" w:hAnsi="Times New Roman" w:cs="Times New Roman"/>
          <w:i/>
          <w:iCs/>
          <w:sz w:val="24"/>
          <w:szCs w:val="24"/>
          <w:lang w:val="es-419"/>
        </w:rPr>
        <w:t>(3</w:t>
      </w:r>
      <w:r w:rsidR="782E595A" w:rsidRPr="00557263">
        <w:rPr>
          <w:rFonts w:ascii="Times New Roman" w:hAnsi="Times New Roman" w:cs="Times New Roman"/>
          <w:i/>
          <w:iCs/>
          <w:sz w:val="24"/>
          <w:szCs w:val="24"/>
          <w:lang w:val="es-419"/>
        </w:rPr>
        <w:t>8</w:t>
      </w:r>
      <w:r w:rsidRPr="00557263">
        <w:rPr>
          <w:rFonts w:ascii="Times New Roman" w:hAnsi="Times New Roman" w:cs="Times New Roman"/>
          <w:i/>
          <w:iCs/>
          <w:sz w:val="24"/>
          <w:szCs w:val="24"/>
          <w:lang w:val="es-419"/>
        </w:rPr>
        <w:t>%) presentó deterioro cognitivo</w:t>
      </w:r>
      <w:r w:rsidR="223AD2F3" w:rsidRPr="00557263">
        <w:rPr>
          <w:rFonts w:ascii="Times New Roman" w:hAnsi="Times New Roman" w:cs="Times New Roman"/>
          <w:i/>
          <w:iCs/>
          <w:sz w:val="24"/>
          <w:szCs w:val="24"/>
          <w:lang w:val="es-419"/>
        </w:rPr>
        <w:t xml:space="preserve"> a los 3 meses</w:t>
      </w:r>
      <w:r w:rsidRPr="00557263">
        <w:rPr>
          <w:rFonts w:ascii="Times New Roman" w:hAnsi="Times New Roman" w:cs="Times New Roman"/>
          <w:i/>
          <w:iCs/>
          <w:sz w:val="24"/>
          <w:szCs w:val="24"/>
          <w:lang w:val="es-419"/>
        </w:rPr>
        <w:t xml:space="preserve">. </w:t>
      </w:r>
      <w:r w:rsidR="022568FC" w:rsidRPr="00557263">
        <w:rPr>
          <w:rFonts w:ascii="Times New Roman" w:hAnsi="Times New Roman" w:cs="Times New Roman"/>
          <w:i/>
          <w:iCs/>
          <w:sz w:val="24"/>
          <w:szCs w:val="24"/>
          <w:lang w:val="es-419"/>
        </w:rPr>
        <w:t xml:space="preserve">Los pacientes </w:t>
      </w:r>
      <w:r w:rsidR="068D2B17" w:rsidRPr="00557263">
        <w:rPr>
          <w:rFonts w:ascii="Times New Roman" w:hAnsi="Times New Roman" w:cs="Times New Roman"/>
          <w:i/>
          <w:iCs/>
          <w:sz w:val="24"/>
          <w:szCs w:val="24"/>
          <w:lang w:val="es-419"/>
        </w:rPr>
        <w:t>con</w:t>
      </w:r>
      <w:r w:rsidR="022568FC" w:rsidRPr="00557263">
        <w:rPr>
          <w:rFonts w:ascii="Times New Roman" w:hAnsi="Times New Roman" w:cs="Times New Roman"/>
          <w:i/>
          <w:iCs/>
          <w:sz w:val="24"/>
          <w:szCs w:val="24"/>
          <w:lang w:val="es-419"/>
        </w:rPr>
        <w:t xml:space="preserve"> deterioro cognitivo tenían al menos una comorbilidad (OR 1.9 IC95% 1.0-3.3; p</w:t>
      </w:r>
      <w:r w:rsidR="006D1545">
        <w:rPr>
          <w:rFonts w:ascii="Times New Roman" w:hAnsi="Times New Roman" w:cs="Times New Roman"/>
          <w:i/>
          <w:iCs/>
          <w:sz w:val="24"/>
          <w:szCs w:val="24"/>
          <w:lang w:val="es-419"/>
        </w:rPr>
        <w:t>-</w:t>
      </w:r>
      <w:r w:rsidR="022568FC" w:rsidRPr="00557263">
        <w:rPr>
          <w:rFonts w:ascii="Times New Roman" w:hAnsi="Times New Roman" w:cs="Times New Roman"/>
          <w:i/>
          <w:iCs/>
          <w:sz w:val="24"/>
          <w:szCs w:val="24"/>
          <w:lang w:val="es-419"/>
        </w:rPr>
        <w:t>value =0.024), más probabilidad de tener fragilidad al ingreso (OR 6.8 IC95% 0.74-64; p</w:t>
      </w:r>
      <w:r w:rsidR="006D1545">
        <w:rPr>
          <w:rFonts w:ascii="Times New Roman" w:hAnsi="Times New Roman" w:cs="Times New Roman"/>
          <w:i/>
          <w:iCs/>
          <w:sz w:val="24"/>
          <w:szCs w:val="24"/>
          <w:lang w:val="es-419"/>
        </w:rPr>
        <w:t>-</w:t>
      </w:r>
      <w:r w:rsidR="022568FC" w:rsidRPr="00557263">
        <w:rPr>
          <w:rFonts w:ascii="Times New Roman" w:hAnsi="Times New Roman" w:cs="Times New Roman"/>
          <w:i/>
          <w:iCs/>
          <w:sz w:val="24"/>
          <w:szCs w:val="24"/>
          <w:lang w:val="es-419"/>
        </w:rPr>
        <w:t>value=0.09), menos de 8 años de educación (OR 15 IC95% 2 – 113; p-value &lt;0.009) y haber tenido deterioro cognitivo al alta de la UCI (OR 2.9 IC95% 1.1-7.6; p</w:t>
      </w:r>
      <w:r w:rsidR="006D1545">
        <w:rPr>
          <w:rFonts w:ascii="Times New Roman" w:hAnsi="Times New Roman" w:cs="Times New Roman"/>
          <w:i/>
          <w:iCs/>
          <w:sz w:val="24"/>
          <w:szCs w:val="24"/>
          <w:lang w:val="es-419"/>
        </w:rPr>
        <w:t>-</w:t>
      </w:r>
      <w:r w:rsidR="022568FC" w:rsidRPr="00557263">
        <w:rPr>
          <w:rFonts w:ascii="Times New Roman" w:hAnsi="Times New Roman" w:cs="Times New Roman"/>
          <w:i/>
          <w:iCs/>
          <w:sz w:val="24"/>
          <w:szCs w:val="24"/>
          <w:lang w:val="es-419"/>
        </w:rPr>
        <w:t xml:space="preserve">value=0.030). </w:t>
      </w:r>
      <w:r w:rsidR="37AE4261" w:rsidRPr="00557263">
        <w:rPr>
          <w:rFonts w:ascii="Times New Roman" w:hAnsi="Times New Roman" w:cs="Times New Roman"/>
          <w:i/>
          <w:iCs/>
          <w:sz w:val="24"/>
          <w:szCs w:val="24"/>
          <w:lang w:val="es-419"/>
        </w:rPr>
        <w:t>La duración de la</w:t>
      </w:r>
      <w:r w:rsidR="43AF6C23" w:rsidRPr="00557263">
        <w:rPr>
          <w:rFonts w:ascii="Times New Roman" w:hAnsi="Times New Roman" w:cs="Times New Roman"/>
          <w:i/>
          <w:iCs/>
          <w:sz w:val="24"/>
          <w:szCs w:val="24"/>
          <w:lang w:val="es-419"/>
        </w:rPr>
        <w:t xml:space="preserve"> estadía en UCI, </w:t>
      </w:r>
      <w:r w:rsidR="39ED9CD7" w:rsidRPr="00557263">
        <w:rPr>
          <w:rFonts w:ascii="Times New Roman" w:hAnsi="Times New Roman" w:cs="Times New Roman"/>
          <w:i/>
          <w:iCs/>
          <w:sz w:val="24"/>
          <w:szCs w:val="24"/>
          <w:lang w:val="es-419"/>
        </w:rPr>
        <w:t xml:space="preserve">la </w:t>
      </w:r>
      <w:r w:rsidR="43AF6C23" w:rsidRPr="00557263">
        <w:rPr>
          <w:rFonts w:ascii="Times New Roman" w:hAnsi="Times New Roman" w:cs="Times New Roman"/>
          <w:i/>
          <w:iCs/>
          <w:sz w:val="24"/>
          <w:szCs w:val="24"/>
          <w:lang w:val="es-419"/>
        </w:rPr>
        <w:t xml:space="preserve">VM, </w:t>
      </w:r>
      <w:r w:rsidR="37AE4261" w:rsidRPr="00557263">
        <w:rPr>
          <w:rFonts w:ascii="Times New Roman" w:hAnsi="Times New Roman" w:cs="Times New Roman"/>
          <w:i/>
          <w:iCs/>
          <w:sz w:val="24"/>
          <w:szCs w:val="24"/>
          <w:lang w:val="es-419"/>
        </w:rPr>
        <w:t xml:space="preserve">el </w:t>
      </w:r>
      <w:r w:rsidR="43AF6C23" w:rsidRPr="00557263">
        <w:rPr>
          <w:rFonts w:ascii="Times New Roman" w:hAnsi="Times New Roman" w:cs="Times New Roman"/>
          <w:i/>
          <w:iCs/>
          <w:sz w:val="24"/>
          <w:szCs w:val="24"/>
          <w:lang w:val="es-419"/>
        </w:rPr>
        <w:t>diagnóstico de ingreso</w:t>
      </w:r>
      <w:r w:rsidR="630485F4" w:rsidRPr="00557263">
        <w:rPr>
          <w:rFonts w:ascii="Times New Roman" w:hAnsi="Times New Roman" w:cs="Times New Roman"/>
          <w:i/>
          <w:iCs/>
          <w:sz w:val="24"/>
          <w:szCs w:val="24"/>
          <w:lang w:val="es-419"/>
        </w:rPr>
        <w:t>, tener COVID-19</w:t>
      </w:r>
      <w:r w:rsidR="43AF6C23" w:rsidRPr="00557263">
        <w:rPr>
          <w:rFonts w:ascii="Times New Roman" w:hAnsi="Times New Roman" w:cs="Times New Roman"/>
          <w:i/>
          <w:iCs/>
          <w:sz w:val="24"/>
          <w:szCs w:val="24"/>
          <w:lang w:val="es-419"/>
        </w:rPr>
        <w:t xml:space="preserve"> y </w:t>
      </w:r>
      <w:r w:rsidR="37AE4261" w:rsidRPr="00557263">
        <w:rPr>
          <w:rFonts w:ascii="Times New Roman" w:hAnsi="Times New Roman" w:cs="Times New Roman"/>
          <w:i/>
          <w:iCs/>
          <w:sz w:val="24"/>
          <w:szCs w:val="24"/>
          <w:lang w:val="es-419"/>
        </w:rPr>
        <w:t xml:space="preserve">el nivel de </w:t>
      </w:r>
      <w:r w:rsidR="43AF6C23" w:rsidRPr="00557263">
        <w:rPr>
          <w:rFonts w:ascii="Times New Roman" w:hAnsi="Times New Roman" w:cs="Times New Roman"/>
          <w:i/>
          <w:iCs/>
          <w:sz w:val="24"/>
          <w:szCs w:val="24"/>
          <w:lang w:val="es-419"/>
        </w:rPr>
        <w:t xml:space="preserve">ocupación de camas no estuvieron asociadas a </w:t>
      </w:r>
      <w:r w:rsidR="39ED9CD7" w:rsidRPr="00557263">
        <w:rPr>
          <w:rFonts w:ascii="Times New Roman" w:hAnsi="Times New Roman" w:cs="Times New Roman"/>
          <w:i/>
          <w:iCs/>
          <w:sz w:val="24"/>
          <w:szCs w:val="24"/>
          <w:lang w:val="es-419"/>
        </w:rPr>
        <w:t xml:space="preserve">la </w:t>
      </w:r>
      <w:r w:rsidR="461C261C" w:rsidRPr="00557263">
        <w:rPr>
          <w:rFonts w:ascii="Times New Roman" w:hAnsi="Times New Roman" w:cs="Times New Roman"/>
          <w:i/>
          <w:iCs/>
          <w:sz w:val="24"/>
          <w:szCs w:val="24"/>
          <w:lang w:val="es-419"/>
        </w:rPr>
        <w:t xml:space="preserve">probabilidad de </w:t>
      </w:r>
      <w:r w:rsidR="43AF6C23" w:rsidRPr="00557263">
        <w:rPr>
          <w:rFonts w:ascii="Times New Roman" w:hAnsi="Times New Roman" w:cs="Times New Roman"/>
          <w:i/>
          <w:iCs/>
          <w:sz w:val="24"/>
          <w:szCs w:val="24"/>
          <w:lang w:val="es-419"/>
        </w:rPr>
        <w:t xml:space="preserve">deterioro cognitivo a los 3 meses. </w:t>
      </w:r>
    </w:p>
    <w:p w14:paraId="10ADC72F" w14:textId="4A0564E3" w:rsidR="663CE6DF" w:rsidRPr="00557263" w:rsidRDefault="008848E8" w:rsidP="0039189E">
      <w:pPr>
        <w:spacing w:line="360" w:lineRule="auto"/>
        <w:ind w:right="709"/>
        <w:jc w:val="both"/>
        <w:rPr>
          <w:rFonts w:ascii="Times New Roman" w:hAnsi="Times New Roman" w:cs="Times New Roman"/>
          <w:i/>
          <w:iCs/>
          <w:sz w:val="24"/>
          <w:szCs w:val="24"/>
          <w:lang w:val="es-419"/>
        </w:rPr>
      </w:pPr>
      <w:r w:rsidRPr="00557263">
        <w:rPr>
          <w:rFonts w:ascii="Times New Roman" w:hAnsi="Times New Roman" w:cs="Times New Roman"/>
          <w:b/>
          <w:bCs/>
          <w:i/>
          <w:iCs/>
          <w:sz w:val="24"/>
          <w:szCs w:val="24"/>
          <w:lang w:val="es-419"/>
        </w:rPr>
        <w:t>Conclusión</w:t>
      </w:r>
      <w:r w:rsidRPr="00557263">
        <w:rPr>
          <w:rFonts w:ascii="Times New Roman" w:hAnsi="Times New Roman" w:cs="Times New Roman"/>
          <w:i/>
          <w:iCs/>
          <w:sz w:val="24"/>
          <w:szCs w:val="24"/>
          <w:lang w:val="es-419"/>
        </w:rPr>
        <w:t xml:space="preserve">: </w:t>
      </w:r>
      <w:r w:rsidR="00A21776" w:rsidRPr="00557263">
        <w:rPr>
          <w:rFonts w:ascii="Times New Roman" w:hAnsi="Times New Roman" w:cs="Times New Roman"/>
          <w:i/>
          <w:iCs/>
          <w:sz w:val="24"/>
          <w:szCs w:val="24"/>
          <w:lang w:val="es-419"/>
        </w:rPr>
        <w:t>Menos de 8 años de</w:t>
      </w:r>
      <w:r w:rsidRPr="00557263">
        <w:rPr>
          <w:rFonts w:ascii="Times New Roman" w:hAnsi="Times New Roman" w:cs="Times New Roman"/>
          <w:i/>
          <w:iCs/>
          <w:sz w:val="24"/>
          <w:szCs w:val="24"/>
          <w:lang w:val="es-419"/>
        </w:rPr>
        <w:t xml:space="preserve"> educación, fragilidad, más de una comorbilidad y deterioro cognitivo </w:t>
      </w:r>
      <w:r w:rsidR="00A21776" w:rsidRPr="00557263">
        <w:rPr>
          <w:rFonts w:ascii="Times New Roman" w:hAnsi="Times New Roman" w:cs="Times New Roman"/>
          <w:i/>
          <w:iCs/>
          <w:sz w:val="24"/>
          <w:szCs w:val="24"/>
          <w:lang w:val="es-419"/>
        </w:rPr>
        <w:t>al egreso de</w:t>
      </w:r>
      <w:r w:rsidRPr="00557263">
        <w:rPr>
          <w:rFonts w:ascii="Times New Roman" w:hAnsi="Times New Roman" w:cs="Times New Roman"/>
          <w:i/>
          <w:iCs/>
          <w:sz w:val="24"/>
          <w:szCs w:val="24"/>
          <w:lang w:val="es-419"/>
        </w:rPr>
        <w:t xml:space="preserve"> UCI se asociaron a deterioro cognitivo a los 3 meses</w:t>
      </w:r>
      <w:r w:rsidR="009F6DBE" w:rsidRPr="00557263">
        <w:rPr>
          <w:rFonts w:ascii="Times New Roman" w:hAnsi="Times New Roman" w:cs="Times New Roman"/>
          <w:i/>
          <w:iCs/>
          <w:sz w:val="24"/>
          <w:szCs w:val="24"/>
          <w:lang w:val="es-419"/>
        </w:rPr>
        <w:t>. Pacientes con estos factores de riesgo deberían ser priorizados para intervención preventiva antes del alta hospitalaria</w:t>
      </w:r>
      <w:r w:rsidR="003F1E0D" w:rsidRPr="00557263">
        <w:rPr>
          <w:rFonts w:ascii="Times New Roman" w:hAnsi="Times New Roman" w:cs="Times New Roman"/>
          <w:i/>
          <w:iCs/>
          <w:sz w:val="24"/>
          <w:szCs w:val="24"/>
          <w:lang w:val="es-419"/>
        </w:rPr>
        <w:t>.</w:t>
      </w:r>
    </w:p>
    <w:p w14:paraId="39928C86" w14:textId="122F9536" w:rsidR="00A97AE2" w:rsidRDefault="36EFD2A0" w:rsidP="0039189E">
      <w:pPr>
        <w:spacing w:line="360" w:lineRule="auto"/>
        <w:ind w:right="709"/>
        <w:jc w:val="both"/>
        <w:rPr>
          <w:rFonts w:ascii="Times New Roman" w:hAnsi="Times New Roman" w:cs="Times New Roman"/>
          <w:i/>
          <w:iCs/>
          <w:sz w:val="24"/>
          <w:szCs w:val="24"/>
          <w:lang w:val="en-US"/>
        </w:rPr>
      </w:pPr>
      <w:r w:rsidRPr="4A2AA5A2">
        <w:rPr>
          <w:rFonts w:ascii="Times New Roman" w:hAnsi="Times New Roman" w:cs="Times New Roman"/>
          <w:b/>
          <w:bCs/>
          <w:i/>
          <w:iCs/>
          <w:sz w:val="24"/>
          <w:szCs w:val="24"/>
          <w:lang w:val="en-US"/>
        </w:rPr>
        <w:t>Key words</w:t>
      </w:r>
      <w:r w:rsidR="00956077" w:rsidRPr="4A2AA5A2">
        <w:rPr>
          <w:lang w:val="en-GB"/>
        </w:rPr>
        <w:t xml:space="preserve"> </w:t>
      </w:r>
      <w:r w:rsidR="00956077" w:rsidRPr="4A2AA5A2">
        <w:rPr>
          <w:rFonts w:ascii="Times New Roman" w:hAnsi="Times New Roman" w:cs="Times New Roman"/>
          <w:b/>
          <w:bCs/>
          <w:i/>
          <w:iCs/>
          <w:sz w:val="24"/>
          <w:szCs w:val="24"/>
          <w:lang w:val="en-US"/>
        </w:rPr>
        <w:t>Post-Intensive care syndrome, COVID-19, Physical therapy modalities, follow-up studies, risk factors</w:t>
      </w:r>
      <w:r w:rsidRPr="4A2AA5A2">
        <w:rPr>
          <w:rFonts w:ascii="Times New Roman" w:hAnsi="Times New Roman" w:cs="Times New Roman"/>
          <w:i/>
          <w:iCs/>
          <w:sz w:val="24"/>
          <w:szCs w:val="24"/>
          <w:lang w:val="en-US"/>
        </w:rPr>
        <w:t>.</w:t>
      </w:r>
    </w:p>
    <w:p w14:paraId="295CD675" w14:textId="1F378F4A" w:rsidR="00F0407E" w:rsidRPr="00557263" w:rsidRDefault="00F0407E" w:rsidP="0039189E">
      <w:pPr>
        <w:spacing w:line="360" w:lineRule="auto"/>
        <w:ind w:right="709"/>
        <w:jc w:val="both"/>
        <w:rPr>
          <w:rFonts w:ascii="Times New Roman" w:hAnsi="Times New Roman" w:cs="Times New Roman"/>
          <w:b/>
          <w:bCs/>
          <w:i/>
          <w:iCs/>
          <w:sz w:val="24"/>
          <w:szCs w:val="24"/>
          <w:lang w:val="es-419"/>
        </w:rPr>
      </w:pPr>
      <w:r w:rsidRPr="00DA7DAC">
        <w:rPr>
          <w:rFonts w:ascii="Times New Roman" w:hAnsi="Times New Roman" w:cs="Times New Roman"/>
          <w:sz w:val="24"/>
          <w:szCs w:val="24"/>
        </w:rPr>
        <w:br w:type="page"/>
      </w:r>
      <w:r w:rsidRPr="00557263">
        <w:rPr>
          <w:rFonts w:ascii="Times New Roman" w:hAnsi="Times New Roman" w:cs="Times New Roman"/>
          <w:b/>
          <w:bCs/>
          <w:sz w:val="24"/>
          <w:szCs w:val="24"/>
          <w:lang w:val="es-419"/>
        </w:rPr>
        <w:lastRenderedPageBreak/>
        <w:t>INTRODUCCIÓN</w:t>
      </w:r>
    </w:p>
    <w:p w14:paraId="23555039" w14:textId="419D55E7" w:rsidR="20C5F27B" w:rsidRPr="00557263" w:rsidRDefault="20C5F27B" w:rsidP="0039189E">
      <w:pPr>
        <w:spacing w:line="360" w:lineRule="auto"/>
        <w:ind w:right="709" w:firstLine="708"/>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 xml:space="preserve">Los pacientes que sobreviven a la </w:t>
      </w:r>
      <w:r w:rsidR="35565D3B" w:rsidRPr="00557263">
        <w:rPr>
          <w:rFonts w:ascii="Times New Roman" w:hAnsi="Times New Roman" w:cs="Times New Roman"/>
          <w:sz w:val="24"/>
          <w:szCs w:val="24"/>
          <w:lang w:val="es-419"/>
        </w:rPr>
        <w:t>unidad de cuidados intensivos (</w:t>
      </w:r>
      <w:r w:rsidRPr="00557263">
        <w:rPr>
          <w:rFonts w:ascii="Times New Roman" w:hAnsi="Times New Roman" w:cs="Times New Roman"/>
          <w:sz w:val="24"/>
          <w:szCs w:val="24"/>
          <w:lang w:val="es-419"/>
        </w:rPr>
        <w:t>UCI</w:t>
      </w:r>
      <w:r w:rsidR="35565D3B" w:rsidRPr="00557263">
        <w:rPr>
          <w:rFonts w:ascii="Times New Roman" w:hAnsi="Times New Roman" w:cs="Times New Roman"/>
          <w:sz w:val="24"/>
          <w:szCs w:val="24"/>
          <w:lang w:val="es-419"/>
        </w:rPr>
        <w:t>)</w:t>
      </w:r>
      <w:r w:rsidRPr="00557263">
        <w:rPr>
          <w:rFonts w:ascii="Times New Roman" w:hAnsi="Times New Roman" w:cs="Times New Roman"/>
          <w:sz w:val="24"/>
          <w:szCs w:val="24"/>
          <w:lang w:val="es-419"/>
        </w:rPr>
        <w:t xml:space="preserve"> son propensos a desarrollar secuelas físicas, cognitivas y/o mentales</w:t>
      </w:r>
      <w:r w:rsidR="1FFD13F6" w:rsidRPr="00557263">
        <w:rPr>
          <w:rFonts w:ascii="Times New Roman" w:hAnsi="Times New Roman" w:cs="Times New Roman"/>
          <w:sz w:val="24"/>
          <w:szCs w:val="24"/>
          <w:lang w:val="es-419"/>
        </w:rPr>
        <w:t>.</w:t>
      </w:r>
      <w:r w:rsidRPr="00557263">
        <w:rPr>
          <w:rFonts w:ascii="Times New Roman" w:hAnsi="Times New Roman" w:cs="Times New Roman"/>
          <w:sz w:val="24"/>
          <w:szCs w:val="24"/>
        </w:rPr>
        <w:fldChar w:fldCharType="begin" w:fldLock="1"/>
      </w:r>
      <w:r w:rsidRPr="00557263">
        <w:rPr>
          <w:rFonts w:ascii="Times New Roman" w:hAnsi="Times New Roman" w:cs="Times New Roman"/>
          <w:sz w:val="24"/>
          <w:szCs w:val="24"/>
          <w:lang w:val="es-419"/>
        </w:rPr>
        <w:instrText>ADDIN CSL_CITATION {"citationItems":[{"id":"ITEM-1","itemData":{"DOI":"10.1371/journal.pone.0244564","ISBN":"1111111111","ISSN":"19326203","PMID":"33690614","abstract":"The post-intensive care syndrome (PICS) encompasses multiple, diverse conditions, such as physical disability, cognitive impairment, and depression. We sought to evaluate whether conditions within PICS have similar associations with mortality among survivors of critical illness. Materials and methods In this retrospective cohort study, we identified 248 critically ill patients with intensive care unit stay 72 hours, who underwent PICS evaluation. Patients with disability in activities of daily living, cognitive impairment, or depression before hospitalization were excluded. We defined PICS using established measures of physical disability (usual gait speed), cognitive impairment (Mini-Cog test), and depression (Patient Health Questionnaire-2) at hospital discharge. The endpoint was all-cause mortality. Results Patients had a median age of 69 years and Acute Physiology and Chronic Health Evaluation (APACHE) II score of 16. One hundred thirty-Two patients were classified as having PICS, and 19 patients died. 81/248 (34%) patients had physical disability, 42/248 (19%) had cognitive impairment, and 44/248 (23%) had depression. After adjusting for covariates on multivariable Cox regression analyses, PICS was significantly associated with all-cause mortality (hazard ratio [HR] 3.78, 95% confidence interval [CI] 1.02 13.95; P = 0.046). However, the association between PICS and all-cause mortality was related to physical disability and cognitive impairment (P = 0.001 and P = 0.027, respectively), while depression was not (P = 0.623). Conclusion While PICS as a syndrome has been useful in gaining attention to the sequelae of critical illness, its relationship with long-Term mortality is driven largely by physical disability and cognitive impairment and not depression.","author":[{"dropping-particle":"","family":"Yanagi","given":"Naoya","non-dropping-particle":"","parse-names":false,"suffix":""},{"dropping-particle":"","family":"Kamiya","given":"Kentaro","non-dropping-particle":"","parse-names":false,"suffix":""},{"dropping-particle":"","family":"Hamazaki","given":"Nobuaki","non-dropping-particle":"","parse-names":false,"suffix":""},{"dropping-particle":"","family":"Matsuzawa","given":"Ryota","non-dropping-particle":"","parse-names":false,"suffix":""},{"dropping-particle":"","family":"Nozaki","given":"Kohei","non-dropping-particle":"","parse-names":false,"suffix":""},{"dropping-particle":"","family":"Ichikawa","given":"Takafumi","non-dropping-particle":"","parse-names":false,"suffix":""},{"dropping-particle":"","family":"Valley","given":"Thomas S.","non-dropping-particle":"","parse-names":false,"suffix":""},{"dropping-particle":"","family":"Nakamura","given":"Takeshi","non-dropping-pa</w:instrText>
      </w:r>
      <w:r w:rsidRPr="00557263">
        <w:rPr>
          <w:rFonts w:ascii="Times New Roman" w:hAnsi="Times New Roman" w:cs="Times New Roman"/>
          <w:sz w:val="24"/>
          <w:szCs w:val="24"/>
        </w:rPr>
        <w:instrText>rticle":"","parse-names":false,"suffix":""},{"dropping-particle":"","family":"Yamashita","given":"Masashi","non-dropping-particle":"","parse-names":false,"suffix":""},{"dropping-particle":"","family":"Maekawa","given":"Emi","non-dropping-particle":"","parse-names":false,"suffix":""},{"dropping-particle":"","family":"Koike","given":"Tomotaka","non-dropping-particle":"","parse-names":false,"suffix":""},{"dropping-particle":"","family":"Yamaoka-Tojo","given":"Minako","non-dropping-particle":"","parse-names":false,"suffix":""},{"dropping-particle":"","family":"Arai","given":"Masayasu","non-dropping-particle":"","parse-names":false,"suffix":""},{"dropping-particle":"","family":"Matsunaga","given":"Atsuhiko","non-dropping-particle":"","parse-names":false,"suffix":""},{"dropping-particle":"","family":"Ako","given":"Junya","non-dropping-particle":"","parse-names":false,"suffix":""}],"container-title":"PLoS ONE","id":"ITEM-1","issue":"3 March","issued":{"date-parts":[["2021"]]},"page":"1-12","title":"Post-intensive care syndrome as a predictor of mortality in patients with critical illness: A cohort study","type":"article-journal","volume":"16"},"uris":["http://www.mendeley.com/documents/?uuid=5c046093-dfc0-4457-a481-93d81966f1f6"]}],"mendeley":{"formattedCitation":"(1)","plainTextFormattedCitation":"(1)","previouslyFormattedCitation":"(1)"},"properties":{"noteIndex":0},"schema":"https://github.com/citation-style-language/schema/raw/master/csl-citation.json"}</w:instrText>
      </w:r>
      <w:r w:rsidRPr="00557263">
        <w:rPr>
          <w:rFonts w:ascii="Times New Roman" w:hAnsi="Times New Roman" w:cs="Times New Roman"/>
          <w:sz w:val="24"/>
          <w:szCs w:val="24"/>
        </w:rPr>
        <w:fldChar w:fldCharType="separate"/>
      </w:r>
      <w:r w:rsidR="4C65BBD8" w:rsidRPr="00557263">
        <w:rPr>
          <w:rFonts w:ascii="Times New Roman" w:hAnsi="Times New Roman" w:cs="Times New Roman"/>
          <w:noProof/>
          <w:sz w:val="24"/>
          <w:szCs w:val="24"/>
        </w:rPr>
        <w:t>(1)</w:t>
      </w:r>
      <w:r w:rsidRPr="00557263">
        <w:rPr>
          <w:rFonts w:ascii="Times New Roman" w:hAnsi="Times New Roman" w:cs="Times New Roman"/>
          <w:sz w:val="24"/>
          <w:szCs w:val="24"/>
        </w:rPr>
        <w:fldChar w:fldCharType="end"/>
      </w:r>
      <w:r w:rsidRPr="00557263">
        <w:rPr>
          <w:rFonts w:ascii="Times New Roman" w:hAnsi="Times New Roman" w:cs="Times New Roman"/>
          <w:sz w:val="24"/>
          <w:szCs w:val="24"/>
        </w:rPr>
        <w:fldChar w:fldCharType="begin" w:fldLock="1"/>
      </w:r>
      <w:r w:rsidRPr="00557263">
        <w:rPr>
          <w:rFonts w:ascii="Times New Roman" w:hAnsi="Times New Roman" w:cs="Times New Roman"/>
          <w:sz w:val="24"/>
          <w:szCs w:val="24"/>
        </w:rPr>
        <w:instrText>ADDIN CSL_CITATION {"citationItems":[{"id":"ITEM-1","itemData":{"DOI":"10.1002/ams2.415","ISSN":"2052-8817","PMID":"31304024","abstract":"Expanding elderly populations are a major social challenge in advanced countries worldwide and have led to a rapid increase in the number of elderly patients in intensive care units (ICUs). Innovative advances in medical technology have enabled lifesaving of patients in ICUs, but there remain various problems to improve their long-term prognoses. Post-intensive care syndrome (PICS) refers to physical, cognition, and mental impairments that occur during ICU stay, after ICU discharge or hospital discharge, as well as the long-term prognosis of ICU patients. Its concept also applies to pediatric patients (PICS-p) and the mental status of their family (PICS-F). Intensive care unit-acquired weakness, a syndrome characterized by acute symmetrical limb muscle weakness after ICU admission, belongs to physical impairments in three domains of PICS. Prevention of PICS requires performance of the ABCDEFGH bundle, which incorporates the prevention of delirium, early rehabilitation, family intervention, and follow-up from the time of ICU admission to the time of discharge. Diary, nutrition, nursing care, and environmental management for healing are also important in the prevention of PICS. This review outlines the pathophysiology, prevention, and future directions of PICS.","author":[{"dropping-particle":"","family":"Inoue","given":"Shigeaki","non-dropping-particle":"","parse-names":false,"suffix":""},{"dropping-particle":"","family":"Hatakeyama","given":"Junji","non-dropping-particle":"","parse-names":false,"suffix":""},{"dropping-particle":"","family":"Kondo","given":"Yutaka","non-dropping-particle":"","parse-names":false,"suffix":""},{"dropping-particle":"","family":"Hifumi","given":"Toru","non-dropping-particle":"","parse-names":false,"suffix":""},{"dropping-particle":"","family":"Sakuramoto","given":"Hideaki","non-dropping-particle":"","parse-names":false,"suffix":""},{"dropping-particle":"","family":"Kawasaki","given":"Tatsuya","non-dropping-particle":"","parse-names":false,"suffix":""},{"dropping-particle":"","family":"Ta</w:instrText>
      </w:r>
      <w:r w:rsidRPr="00557263">
        <w:rPr>
          <w:rFonts w:ascii="Times New Roman" w:hAnsi="Times New Roman" w:cs="Times New Roman"/>
          <w:sz w:val="24"/>
          <w:szCs w:val="24"/>
          <w:lang w:val="es-419"/>
        </w:rPr>
        <w:instrText>ito","given":"Shunsuke","non-dropping-particle":"","parse-names":false,"suffix":""},{"dropping-particle":"","family":"Nakamura","given":"Kensuke","non-dropping-particle":"","parse-names":false,"suffix":""},{"dropping-particle":"","family":"Unoki","given":"Takeshi","non-dropping-particle":"","parse-names":false,"suffix":""},{"dropping-particle":"","family":"Kawai","given":"Yusuke","non-dropping-particle":"","parse-names":false,"suffix":""},{"dropping-particle":"","family":"Kenmotsu","given":"Yuji","non-dropping-particle":"","parse-names":false,"suffix":""},{"dropping-particle":"","family":"Saito","given":"Masafumi","non-dropping-particle":"","parse-names":false,"suffix":""},{"dropping-particle":"","family":"Yamakawa","given":"Kazuma","non-dropping-particle":"","parse-names":false,"suffix":""},{"dropping-particle":"","family":"Nishida","given":"Osamu","non-dropping-particle":"","parse-names":false,"suffix":""}],"container-title":"Acute Medicine &amp; Surgery","id":"ITEM-1","issue":"3","issued":{"date-parts":[["2019"]]},"page":"233-246","title":"Post‐intensive care syndrome: its pathophysiology, prevention, and future directions","type":"article-journal","volume":"6"},"uris":["http://www.mendeley.com/documents/?uuid=b13ab073-b806-4854-81e0-96088c411de5"]}],"mendeley":{"formattedCitation":"(2)","plainTextFormattedCitation":"(2)","previouslyFormattedCitation":"(2)"},"properties":{"noteIndex":0},"schema":"https://github.com/citation-style-language/schema/raw/master/csl-citation.json"}</w:instrText>
      </w:r>
      <w:r w:rsidRPr="00557263">
        <w:rPr>
          <w:rFonts w:ascii="Times New Roman" w:hAnsi="Times New Roman" w:cs="Times New Roman"/>
          <w:sz w:val="24"/>
          <w:szCs w:val="24"/>
        </w:rPr>
        <w:fldChar w:fldCharType="separate"/>
      </w:r>
      <w:r w:rsidR="7FD0626D" w:rsidRPr="00557263">
        <w:rPr>
          <w:rFonts w:ascii="Times New Roman" w:hAnsi="Times New Roman" w:cs="Times New Roman"/>
          <w:noProof/>
          <w:sz w:val="24"/>
          <w:szCs w:val="24"/>
          <w:lang w:val="es-419"/>
        </w:rPr>
        <w:t>(2)</w:t>
      </w:r>
      <w:r w:rsidRPr="00557263">
        <w:rPr>
          <w:rFonts w:ascii="Times New Roman" w:hAnsi="Times New Roman" w:cs="Times New Roman"/>
          <w:sz w:val="24"/>
          <w:szCs w:val="24"/>
        </w:rPr>
        <w:fldChar w:fldCharType="end"/>
      </w:r>
      <w:r w:rsidRPr="00557263">
        <w:rPr>
          <w:rFonts w:ascii="Times New Roman" w:hAnsi="Times New Roman" w:cs="Times New Roman"/>
          <w:sz w:val="24"/>
          <w:szCs w:val="24"/>
          <w:lang w:val="es-419"/>
        </w:rPr>
        <w:t xml:space="preserve"> El conjunto de estas secuelas se denomina síndrome post cuidados intensivos (PICS por su sigla en </w:t>
      </w:r>
      <w:r w:rsidR="288D9ED6" w:rsidRPr="00557263">
        <w:rPr>
          <w:rFonts w:ascii="Times New Roman" w:hAnsi="Times New Roman" w:cs="Times New Roman"/>
          <w:sz w:val="24"/>
          <w:szCs w:val="24"/>
          <w:lang w:val="es-419"/>
        </w:rPr>
        <w:t>inglés</w:t>
      </w:r>
      <w:r w:rsidR="6DBD5E53" w:rsidRPr="00557263">
        <w:rPr>
          <w:rFonts w:ascii="Times New Roman" w:hAnsi="Times New Roman" w:cs="Times New Roman"/>
          <w:sz w:val="24"/>
          <w:szCs w:val="24"/>
          <w:lang w:val="es-419"/>
        </w:rPr>
        <w:t>)</w:t>
      </w:r>
      <w:r w:rsidR="1C584D99" w:rsidRPr="00557263">
        <w:rPr>
          <w:rFonts w:ascii="Times New Roman" w:hAnsi="Times New Roman" w:cs="Times New Roman"/>
          <w:sz w:val="24"/>
          <w:szCs w:val="24"/>
          <w:lang w:val="es-419"/>
        </w:rPr>
        <w:t>.</w:t>
      </w:r>
      <w:r w:rsidRPr="00557263">
        <w:rPr>
          <w:rFonts w:ascii="Times New Roman" w:hAnsi="Times New Roman" w:cs="Times New Roman"/>
          <w:sz w:val="24"/>
          <w:szCs w:val="24"/>
          <w:lang w:val="es-419"/>
        </w:rPr>
        <w:fldChar w:fldCharType="begin" w:fldLock="1"/>
      </w:r>
      <w:r w:rsidRPr="00557263">
        <w:rPr>
          <w:rFonts w:ascii="Times New Roman" w:hAnsi="Times New Roman" w:cs="Times New Roman"/>
          <w:sz w:val="24"/>
          <w:szCs w:val="24"/>
          <w:lang w:val="es-419"/>
        </w:rPr>
        <w:instrText>ADDIN CSL_CITATION {"citationItems":[{"id":"ITEM-1","itemData":{"DOI":"10.1515/jtim-2016-0016","ISSN":"2450-131X","PMID":"28721340","abstract":"Survival of critically unwell patients has improved in the last decade due to advances in critical care medicine. Some of these survivors develop cognitive, psychiatric and /or physical disability after treatment in intensive care unit (ICU), which is now recognized as post intensive care syndrome (PICS). Given the limited awareness about PICS in the medical faculty this aspect is often overlooked which may lead to reduced quality of life and cause a lot of suffering of these patients and their families. Efforts should be directed towards preventing PICS by minimizing sedation and early mobilization during ICU.All critical care survivors should be evaluated for PICS and those having signs and symptoms of it should be managed by a multidisciplinary team which includes critical care physician, neuro-psychiatrist, physiotherapist and respiratory therapist, with the use of pharmacological and non-apharmacological interventions. This can be achieved through an organizational change and improvement, knowing the high rate of incidence of PICS and its adverse effects on the survivor’s life and daily activities and its effect on the survivor’s family.","author":[{"dropping-particle":"","family":"Rawal","given":"Gautam","non-dropping-particle":"","parse-names":false,"suffix":""},{"dropping-particle":"","family":"Yadav","given":"Sankalp","non-dropping-particle":"","parse-names":false,"suffix":""},{"dropping-particle":"","family":"Kumar","given":"Raj","non-dropping-particle":"","parse-names":false,"suffix":""}],"container-title":"Journal of Translational Internal Medicine","id":"ITEM-1","issue":"2","issued":{"date-parts":[["2017"]]},"page":"90-92","title":"Post-intensive care syndrome: An overview","type":"article-journal","volume":"5"},"uris":["http://www.mendeley.com/documents/?uuid=2c1ae186-f102-47fd-8c4e-0be0c8a9a1a7"]}],"mendeley":{"formattedCitation":"(3)","plainTextFormattedCitation":"(3)","previouslyFormattedCitation":"(3)"},"properties":{"noteIndex":0},"schema":"https://github.com/citation-style-language/schema/raw/master/csl-citation.json"}</w:instrText>
      </w:r>
      <w:r w:rsidRPr="00557263">
        <w:rPr>
          <w:rFonts w:ascii="Times New Roman" w:hAnsi="Times New Roman" w:cs="Times New Roman"/>
          <w:sz w:val="24"/>
          <w:szCs w:val="24"/>
          <w:lang w:val="es-419"/>
        </w:rPr>
        <w:fldChar w:fldCharType="separate"/>
      </w:r>
      <w:r w:rsidR="745F8EAE" w:rsidRPr="00557263">
        <w:rPr>
          <w:rFonts w:ascii="Times New Roman" w:hAnsi="Times New Roman" w:cs="Times New Roman"/>
          <w:noProof/>
          <w:sz w:val="24"/>
          <w:szCs w:val="24"/>
          <w:lang w:val="es-419"/>
        </w:rPr>
        <w:t>(3)</w:t>
      </w:r>
      <w:r w:rsidRPr="00557263">
        <w:rPr>
          <w:rFonts w:ascii="Times New Roman" w:hAnsi="Times New Roman" w:cs="Times New Roman"/>
          <w:sz w:val="24"/>
          <w:szCs w:val="24"/>
          <w:lang w:val="es-419"/>
        </w:rPr>
        <w:fldChar w:fldCharType="end"/>
      </w:r>
      <w:r w:rsidRPr="00557263">
        <w:rPr>
          <w:rFonts w:ascii="Times New Roman" w:hAnsi="Times New Roman" w:cs="Times New Roman"/>
          <w:sz w:val="24"/>
          <w:szCs w:val="24"/>
          <w:lang w:val="es-419"/>
        </w:rPr>
        <w:t xml:space="preserve"> </w:t>
      </w:r>
      <w:r w:rsidR="1F3EBC67" w:rsidRPr="00557263">
        <w:rPr>
          <w:rFonts w:ascii="Times New Roman" w:hAnsi="Times New Roman" w:cs="Times New Roman"/>
          <w:sz w:val="24"/>
          <w:szCs w:val="24"/>
          <w:lang w:val="es-419"/>
        </w:rPr>
        <w:t xml:space="preserve">Su prevalencia a los </w:t>
      </w:r>
      <w:r w:rsidR="15259EA9" w:rsidRPr="00557263">
        <w:rPr>
          <w:rFonts w:ascii="Times New Roman" w:hAnsi="Times New Roman" w:cs="Times New Roman"/>
          <w:sz w:val="24"/>
          <w:szCs w:val="24"/>
          <w:lang w:val="es-419"/>
        </w:rPr>
        <w:t>6 meses</w:t>
      </w:r>
      <w:r w:rsidRPr="00557263">
        <w:rPr>
          <w:rFonts w:ascii="Times New Roman" w:hAnsi="Times New Roman" w:cs="Times New Roman"/>
          <w:sz w:val="24"/>
          <w:szCs w:val="24"/>
          <w:lang w:val="es-419"/>
        </w:rPr>
        <w:t xml:space="preserve"> post UCI puede alcanzar el 40%</w:t>
      </w:r>
      <w:r w:rsidR="15259EA9" w:rsidRPr="00557263">
        <w:rPr>
          <w:rFonts w:ascii="Times New Roman" w:hAnsi="Times New Roman" w:cs="Times New Roman"/>
          <w:sz w:val="24"/>
          <w:szCs w:val="24"/>
          <w:lang w:val="es-419"/>
        </w:rPr>
        <w:t xml:space="preserve"> para el impacto físico</w:t>
      </w:r>
      <w:r w:rsidRPr="00557263">
        <w:rPr>
          <w:rFonts w:ascii="Times New Roman" w:hAnsi="Times New Roman" w:cs="Times New Roman"/>
          <w:sz w:val="24"/>
          <w:szCs w:val="24"/>
          <w:lang w:val="es-419"/>
        </w:rPr>
        <w:t xml:space="preserve">, mientras que para </w:t>
      </w:r>
      <w:r w:rsidR="5A420C37" w:rsidRPr="00557263">
        <w:rPr>
          <w:rFonts w:ascii="Times New Roman" w:hAnsi="Times New Roman" w:cs="Times New Roman"/>
          <w:sz w:val="24"/>
          <w:szCs w:val="24"/>
          <w:lang w:val="es-419"/>
        </w:rPr>
        <w:t xml:space="preserve">la ansiedad y depresión puede variar entre 13-60% </w:t>
      </w:r>
      <w:r w:rsidRPr="00557263">
        <w:rPr>
          <w:rFonts w:ascii="Times New Roman" w:hAnsi="Times New Roman" w:cs="Times New Roman"/>
          <w:sz w:val="24"/>
          <w:szCs w:val="24"/>
          <w:lang w:val="es-419"/>
        </w:rPr>
        <w:t xml:space="preserve">y para el estrés post traumático entre </w:t>
      </w:r>
      <w:r w:rsidR="5A420C37" w:rsidRPr="00557263">
        <w:rPr>
          <w:rFonts w:ascii="Times New Roman" w:hAnsi="Times New Roman" w:cs="Times New Roman"/>
          <w:sz w:val="24"/>
          <w:szCs w:val="24"/>
          <w:lang w:val="es-419"/>
        </w:rPr>
        <w:t>10</w:t>
      </w:r>
      <w:r w:rsidRPr="00557263">
        <w:rPr>
          <w:rFonts w:ascii="Times New Roman" w:hAnsi="Times New Roman" w:cs="Times New Roman"/>
          <w:sz w:val="24"/>
          <w:szCs w:val="24"/>
          <w:lang w:val="es-419"/>
        </w:rPr>
        <w:t xml:space="preserve"> a</w:t>
      </w:r>
      <w:r w:rsidR="5A420C37" w:rsidRPr="00557263">
        <w:rPr>
          <w:rFonts w:ascii="Times New Roman" w:hAnsi="Times New Roman" w:cs="Times New Roman"/>
          <w:sz w:val="24"/>
          <w:szCs w:val="24"/>
          <w:lang w:val="es-419"/>
        </w:rPr>
        <w:t xml:space="preserve"> 5</w:t>
      </w:r>
      <w:r w:rsidRPr="00557263">
        <w:rPr>
          <w:rFonts w:ascii="Times New Roman" w:hAnsi="Times New Roman" w:cs="Times New Roman"/>
          <w:sz w:val="24"/>
          <w:szCs w:val="24"/>
          <w:lang w:val="es-419"/>
        </w:rPr>
        <w:t>0%</w:t>
      </w:r>
      <w:r w:rsidR="1FFD13F6" w:rsidRPr="00557263">
        <w:rPr>
          <w:rFonts w:ascii="Times New Roman" w:hAnsi="Times New Roman" w:cs="Times New Roman"/>
          <w:sz w:val="24"/>
          <w:szCs w:val="24"/>
          <w:lang w:val="es-419"/>
        </w:rPr>
        <w:t>.</w:t>
      </w:r>
      <w:r w:rsidRPr="00557263">
        <w:rPr>
          <w:rFonts w:ascii="Times New Roman" w:hAnsi="Times New Roman" w:cs="Times New Roman"/>
          <w:sz w:val="24"/>
          <w:szCs w:val="24"/>
          <w:lang w:val="es-419"/>
        </w:rPr>
        <w:fldChar w:fldCharType="begin" w:fldLock="1"/>
      </w:r>
      <w:r w:rsidRPr="00557263">
        <w:rPr>
          <w:rFonts w:ascii="Times New Roman" w:hAnsi="Times New Roman" w:cs="Times New Roman"/>
          <w:sz w:val="24"/>
          <w:szCs w:val="24"/>
          <w:lang w:val="es-419"/>
        </w:rPr>
        <w:instrText>ADDIN CSL_CITATION {"citationItems":[{"id":"ITEM-1","itemData":{"DOI":"10.1016/j.ijnurstu.2020.103814","ISSN":"00207489","PMID":"33220570","abstract":"Objective: Post-intensive care syndrome is a term used to describe new or worsening multidimensional impairments in physical, psychological cognitive and social status arising from critical illness and persisting beyond hospital discharge. It is associated with high morbidity among patients discharged from intensive care units. However, due to its complexities, which encompass physical, psychological, cognitive and social impairments, the exact nature of this condition has not been fully conceptualized. The aim of this analysis therefore was to define the concept of post-intensive care syndrome. This conceptual clarity provides a general definition that is essential for practitioners and researchers to gain a comprehensive understanding of the syndrome and provide for accurate measurement of its incidence and prevalence. Design: The Walker and Avant approach to concept analysis guided this investigation. Data source: An electronic search of the literature using PubMed, CINHAL, PsycArticles, Academic search complete, Science Direct, MEDLINE and Health Source databases informed the analysis. The search included both quantitative and qualitative studies related to post-intensive care syndrome published in English between 2010 and 2020. Results: Of the 3948 articles identified, 24 ultimately met the inclusion criteria. Analysis identified the defining attributes of post-intensive care syndrome as: (1) new or worsening multidimensional impairments; (2) physical dysfunction; (3) psychological disorder; (4) cognitive impairment; (5) failed social reconstruction; and (6) persistent impaired multidimensional symptoms extending beyond intensive care and hospital discharge. Antecedents were divided into two categories: pre-existing and those related to the intensive care admission. Consequences were identified as both positive (for example the establishment of coping processes) and adverse (for example decreased quality of life and caregiver burden). Conclusion: Post-intensive care syndrome affects more than half of patients discharged from intensive care units. This operational definition and conceptual understanding of this syndrome will help improve understanding and inform the design of preventative strategies to improve long-term consequences of the syndrome. Future research and standardized instrument development will serve to better understand the scope and characteristics of this syndrome and inform the development of possible preventative interventions.","author":[{"dropping-particle":"","family":"Yuan","given":"Chu","non-dropping-particle":"","parse-names":false,"suffix":""},{"dropping-particle":"","family":"Timmins","given":"Fiona","non-dropping-particle":"","parse-names":false,"suffix":""},{"dropping-particle":"","family":"Thompson","given":"David R.","non-dropping-particle":"","parse-names":false,"suffix":""}],"container-title":"International Journal of Nursing Studies","id":"ITEM-1","issued":{"date-parts":[["2021"]]},"page":"103814","publisher":"Elsevier Ltd","title":"Post-intensive care syndrome: A concept analysis","type":"article-journal","volume":"114"},"uris":["http://www.mendeley.com/documents/?uuid=1f7eac6e-bc46-49fe-b115-a4cf947cdfdd"]},{"id":"ITEM-2","itemData":{"DOI":"10.1002/ams2.415","ISSN":"2052-8817","PMID":"31304024","abstract":"Expanding elderly populations are a major social challenge in advanced countries worldwide and have led to a rapid increase in the number of elderly patients in intensive care units (ICUs). Innovative advances in medical technology have enabled lifesaving of patients in ICUs, but there remain various problems to improve their long-term prognoses. Post-intensive care syndrome (PICS) refers to physical, cognition, and mental impairments that occur during ICU stay, after ICU discharge or hospital discharge, as well as the long-term prognosis of ICU patients. Its concept also applies to pediatric patients (PICS-p) and the mental status of their family (PICS-F). Intensive care unit-acquired weakness, a syndrome characterized by acute symmetrical limb muscle weakness after ICU admission, belongs to physical impairments in three domains of PICS. Prevention of PICS requires performance of the ABCDEFGH bundle, which incorporates the prevention of delirium, early rehabilitation, family intervention, and follow-up from the time of ICU admission to the time of discharge. Diary, nutrition, nursing care, and environmental management for healing are also important in the prevention of PICS. This review outlines the pathophysiology, prevention, and future directions of PICS.","author":[{"dropping-particle":"","family":"Inoue","given":"Shigeaki","non-dropping-particle":"","parse-names":false,"suffix":""},{"dropping-particle":"","family":"Hatakeyama","given":"Junji","non-dropping-particle":"","parse-names":false,"suffix":""},{"dropping-particle":"","family":"Kondo","given":"Yutaka","non-dropping-particle":"","parse-names":false,"suffix":""},{"dropping-particle":"","family":"Hifumi","given":"Toru","non-dropping-particle":"","parse-names":false,"suffix":""},{"dropping-particle":"","family":"Sakuramoto","given":"Hideaki","non-dropping-particle":"","parse-names":false,"suffix":""},{"dropping-particle":"","family":"Kawasaki","given":"Tatsuya","non-dropping-particle":"","parse-names":false,"suffix":""},{"dropping-particle":"","family":"Taito","given":"Shunsuke","non-dropping-particle":"","parse-names":false,"suffix":""},{"dropping-particle":"","family":"Nakamura","given":"Kensuke","non-dropping-particle":"","parse-names":false,"suffix":""},{"dropping-particle":"","family":"Unoki","given":"Takeshi","non-dropping-particle":"","parse-names":false,"suffix":""},{"dropping-particle":"","family":"Kawai","given":"Yusuke","non-dropping-particle":"","parse-names":false,"suffix":""},{"dropping-particle":"","family":"Kenmotsu","given":"Yuji","non-dropping-particle":"","parse-names":false,"suffix":""},{"dropping-particle":"","family":"Saito","given":"Masafumi","non-dropping-particle":"","parse-names":false,"suffix":""},{"dropping-particle":"","family":"Yamakawa","given":"Kazuma","non-dropping-particle":"","parse-names":false,"suffix":""},{"dropping-particle":"","family":"Nishida","given":"Osamu","non-dropping-particle":"","parse-names":false,"suffix":""}],"container-title":"Acute Medicine &amp; Surgery","id":"ITEM-2","issue":"3","issued":{"date-parts":[["2019"]]},"page":"233-246","title":"Post‐intensive care syndrome: its pathophysiology, prevention, and future directions","type":"article-journal","volume":"6"},"uris":["http://www.mendeley.com/documents/?uuid=cf1ec243-f40d-4375-b946-bd61b80540db"]}],"mendeley":{"formattedCitation":"(2,4)","plainTextFormattedCitation":"(2,4)","previouslyFormattedCitation":"(2,4)"},"properties":{"noteIndex":0},"schema":"https://github.com/citation-style-language/schema/raw/master/csl-citation.json"}</w:instrText>
      </w:r>
      <w:r w:rsidRPr="00557263">
        <w:rPr>
          <w:rFonts w:ascii="Times New Roman" w:hAnsi="Times New Roman" w:cs="Times New Roman"/>
          <w:sz w:val="24"/>
          <w:szCs w:val="24"/>
          <w:lang w:val="es-419"/>
        </w:rPr>
        <w:fldChar w:fldCharType="separate"/>
      </w:r>
      <w:r w:rsidR="6D4F87C4" w:rsidRPr="00557263">
        <w:rPr>
          <w:rFonts w:ascii="Times New Roman" w:hAnsi="Times New Roman" w:cs="Times New Roman"/>
          <w:noProof/>
          <w:sz w:val="24"/>
          <w:szCs w:val="24"/>
          <w:lang w:val="es-419"/>
        </w:rPr>
        <w:t>(2,4)</w:t>
      </w:r>
      <w:r w:rsidRPr="00557263">
        <w:rPr>
          <w:rFonts w:ascii="Times New Roman" w:hAnsi="Times New Roman" w:cs="Times New Roman"/>
          <w:sz w:val="24"/>
          <w:szCs w:val="24"/>
          <w:lang w:val="es-419"/>
        </w:rPr>
        <w:fldChar w:fldCharType="end"/>
      </w:r>
    </w:p>
    <w:p w14:paraId="799A39BB" w14:textId="5D4AF6F0" w:rsidR="26177757" w:rsidRPr="00557263" w:rsidRDefault="26177757" w:rsidP="0039189E">
      <w:pPr>
        <w:spacing w:line="360" w:lineRule="auto"/>
        <w:ind w:right="709"/>
        <w:jc w:val="both"/>
        <w:rPr>
          <w:rFonts w:ascii="Times New Roman" w:hAnsi="Times New Roman" w:cs="Times New Roman"/>
          <w:sz w:val="24"/>
          <w:szCs w:val="24"/>
        </w:rPr>
      </w:pPr>
      <w:r w:rsidRPr="4A2AA5A2">
        <w:rPr>
          <w:rFonts w:ascii="Times New Roman" w:eastAsia="Times New Roman" w:hAnsi="Times New Roman" w:cs="Times New Roman"/>
          <w:sz w:val="24"/>
          <w:szCs w:val="24"/>
          <w:lang w:val="es-419"/>
        </w:rPr>
        <w:t xml:space="preserve">La presencia de deterioro cognitivo muestra resultados variados en diferentes estudios. Algunas revisiones sistemáticas señalan que su prevalencia puede oscilar entre el 4% y el 64% en el periodo de 3 a 12 meses después del alta de UCI (5,6). Un estudio realizado por Pandharipande et al. en 2013 evaluó una muestra que presentaba delirium encontrando una prevalencia </w:t>
      </w:r>
      <w:r w:rsidR="005C1A18" w:rsidRPr="4A2AA5A2">
        <w:rPr>
          <w:rFonts w:ascii="Times New Roman" w:eastAsia="Times New Roman" w:hAnsi="Times New Roman" w:cs="Times New Roman"/>
          <w:sz w:val="24"/>
          <w:szCs w:val="24"/>
          <w:lang w:val="es-419"/>
        </w:rPr>
        <w:t>con la herramienta RBANS (</w:t>
      </w:r>
      <w:r w:rsidR="005C1A18" w:rsidRPr="4A2AA5A2">
        <w:rPr>
          <w:rFonts w:ascii="Times New Roman" w:eastAsia="Times New Roman" w:hAnsi="Times New Roman" w:cs="Times New Roman"/>
          <w:noProof/>
          <w:sz w:val="24"/>
          <w:szCs w:val="24"/>
          <w:lang w:val="es-419"/>
        </w:rPr>
        <w:t>Repeatable battery for assessment of neuropsychological status</w:t>
      </w:r>
      <w:r w:rsidR="005C1A18" w:rsidRPr="4A2AA5A2">
        <w:rPr>
          <w:rFonts w:ascii="Times New Roman" w:eastAsia="Times New Roman" w:hAnsi="Times New Roman" w:cs="Times New Roman"/>
          <w:sz w:val="24"/>
          <w:szCs w:val="24"/>
          <w:lang w:val="es-419"/>
        </w:rPr>
        <w:t xml:space="preserve">) </w:t>
      </w:r>
      <w:r w:rsidRPr="4A2AA5A2">
        <w:rPr>
          <w:rFonts w:ascii="Times New Roman" w:eastAsia="Times New Roman" w:hAnsi="Times New Roman" w:cs="Times New Roman"/>
          <w:sz w:val="24"/>
          <w:szCs w:val="24"/>
          <w:lang w:val="es-419"/>
        </w:rPr>
        <w:t>de 79% a los 3 meses y 71% a los 12 meses, respectivamente. En contraste, Collet et al. en 2021, utilizando el mismo instrumento a los 6 meses, encontraron que el deterioro cognitivo oscilaba entre el 36% y el 52%, sin encontrar diferencias significativas en relación a las causas de ingreso, aunque no consideraron delirium. Por otro lado, un estudio alemán realizado en 2021, que evaluó a los pacientes a través de entrevistas telefónicas, reportó una prevalencia de deterioro cognitivo del 34% a los 2 años (7). Estas variaciones se deben a diferencias en las causas de ingreso, morbilidad, instrumentos utilizados y momentos de evaluación, lo cual hace que no sea posible extrapolar estos resultados a los supervivientes de UCI durante una pandemia.</w:t>
      </w:r>
    </w:p>
    <w:p w14:paraId="6A5301F8" w14:textId="5149E21A" w:rsidR="003270CF" w:rsidRPr="00557263" w:rsidRDefault="1B28F463" w:rsidP="0039189E">
      <w:pPr>
        <w:spacing w:line="360" w:lineRule="auto"/>
        <w:ind w:right="709" w:firstLine="708"/>
        <w:jc w:val="both"/>
        <w:rPr>
          <w:rFonts w:ascii="Times New Roman" w:hAnsi="Times New Roman" w:cs="Times New Roman"/>
          <w:sz w:val="24"/>
          <w:szCs w:val="24"/>
          <w:lang w:val="es-419"/>
        </w:rPr>
      </w:pPr>
      <w:r w:rsidRPr="4A2AA5A2">
        <w:rPr>
          <w:rFonts w:ascii="Times New Roman" w:hAnsi="Times New Roman" w:cs="Times New Roman"/>
          <w:sz w:val="24"/>
          <w:szCs w:val="24"/>
          <w:lang w:val="es-419"/>
        </w:rPr>
        <w:t xml:space="preserve">La severidad del deterioro </w:t>
      </w:r>
      <w:r w:rsidR="00CD3FF0" w:rsidRPr="4A2AA5A2">
        <w:rPr>
          <w:rFonts w:ascii="Times New Roman" w:hAnsi="Times New Roman" w:cs="Times New Roman"/>
          <w:sz w:val="24"/>
          <w:szCs w:val="24"/>
          <w:lang w:val="es-419"/>
        </w:rPr>
        <w:t xml:space="preserve">cognitivo </w:t>
      </w:r>
      <w:r w:rsidRPr="4A2AA5A2">
        <w:rPr>
          <w:rFonts w:ascii="Times New Roman" w:hAnsi="Times New Roman" w:cs="Times New Roman"/>
          <w:sz w:val="24"/>
          <w:szCs w:val="24"/>
          <w:lang w:val="es-419"/>
        </w:rPr>
        <w:t xml:space="preserve">es </w:t>
      </w:r>
      <w:r w:rsidR="24BC0A22" w:rsidRPr="4A2AA5A2">
        <w:rPr>
          <w:rFonts w:ascii="Times New Roman" w:hAnsi="Times New Roman" w:cs="Times New Roman"/>
          <w:sz w:val="24"/>
          <w:szCs w:val="24"/>
          <w:lang w:val="es-419"/>
        </w:rPr>
        <w:t>significativa</w:t>
      </w:r>
      <w:r w:rsidR="5209C779" w:rsidRPr="4A2AA5A2">
        <w:rPr>
          <w:rFonts w:ascii="Times New Roman" w:hAnsi="Times New Roman" w:cs="Times New Roman"/>
          <w:sz w:val="24"/>
          <w:szCs w:val="24"/>
          <w:lang w:val="es-419"/>
        </w:rPr>
        <w:t>.</w:t>
      </w:r>
      <w:r w:rsidRPr="4A2AA5A2">
        <w:rPr>
          <w:rFonts w:ascii="Times New Roman" w:hAnsi="Times New Roman" w:cs="Times New Roman"/>
          <w:sz w:val="24"/>
          <w:szCs w:val="24"/>
          <w:lang w:val="es-419"/>
        </w:rPr>
        <w:t xml:space="preserve"> </w:t>
      </w:r>
      <w:r w:rsidR="5209C779" w:rsidRPr="4A2AA5A2">
        <w:rPr>
          <w:rFonts w:ascii="Times New Roman" w:hAnsi="Times New Roman" w:cs="Times New Roman"/>
          <w:sz w:val="24"/>
          <w:szCs w:val="24"/>
          <w:lang w:val="es-419"/>
        </w:rPr>
        <w:t>A</w:t>
      </w:r>
      <w:r w:rsidR="06C8528B" w:rsidRPr="4A2AA5A2">
        <w:rPr>
          <w:rFonts w:ascii="Times New Roman" w:hAnsi="Times New Roman" w:cs="Times New Roman"/>
          <w:sz w:val="24"/>
          <w:szCs w:val="24"/>
          <w:lang w:val="es-419"/>
        </w:rPr>
        <w:t xml:space="preserve">lgunos estudios han reportado que un 40% de los pacientes presenta deterioro cognitivo comparable a una lesión cerebral a los 3 meses post UCI, mientras un 26% </w:t>
      </w:r>
      <w:r w:rsidR="24BC0A22" w:rsidRPr="4A2AA5A2">
        <w:rPr>
          <w:rFonts w:ascii="Times New Roman" w:hAnsi="Times New Roman" w:cs="Times New Roman"/>
          <w:sz w:val="24"/>
          <w:szCs w:val="24"/>
          <w:lang w:val="es-419"/>
        </w:rPr>
        <w:t xml:space="preserve">presenta deterioro cognitivo </w:t>
      </w:r>
      <w:r w:rsidR="4300AAE3" w:rsidRPr="4A2AA5A2">
        <w:rPr>
          <w:rFonts w:ascii="Times New Roman" w:hAnsi="Times New Roman" w:cs="Times New Roman"/>
          <w:sz w:val="24"/>
          <w:szCs w:val="24"/>
          <w:lang w:val="es-419"/>
        </w:rPr>
        <w:t xml:space="preserve">comparable a </w:t>
      </w:r>
      <w:r w:rsidR="3CC9267F" w:rsidRPr="4A2AA5A2">
        <w:rPr>
          <w:rFonts w:ascii="Times New Roman" w:hAnsi="Times New Roman" w:cs="Times New Roman"/>
          <w:sz w:val="24"/>
          <w:szCs w:val="24"/>
          <w:lang w:val="es-419"/>
        </w:rPr>
        <w:t>tener enfermedad</w:t>
      </w:r>
      <w:r w:rsidR="06C8528B" w:rsidRPr="4A2AA5A2">
        <w:rPr>
          <w:rFonts w:ascii="Times New Roman" w:hAnsi="Times New Roman" w:cs="Times New Roman"/>
          <w:sz w:val="24"/>
          <w:szCs w:val="24"/>
          <w:lang w:val="es-419"/>
        </w:rPr>
        <w:t xml:space="preserve"> de Alzheimer.</w:t>
      </w:r>
      <w:r w:rsidRPr="4A2AA5A2">
        <w:rPr>
          <w:rFonts w:ascii="Times New Roman" w:hAnsi="Times New Roman" w:cs="Times New Roman"/>
          <w:sz w:val="24"/>
          <w:szCs w:val="24"/>
        </w:rPr>
        <w:fldChar w:fldCharType="begin" w:fldLock="1"/>
      </w:r>
      <w:r w:rsidRPr="4A2AA5A2">
        <w:rPr>
          <w:rFonts w:ascii="Times New Roman" w:hAnsi="Times New Roman" w:cs="Times New Roman"/>
          <w:sz w:val="24"/>
          <w:szCs w:val="24"/>
          <w:lang w:val="es-419"/>
        </w:rPr>
        <w:instrText>ADDIN CSL_CITATION {"citationItems":[{"id":"ITEM-1","itemData":{"DOI":"10.1056/nejmoa1301372","ISSN":"0028-4793","PMID":"24088092","abstract":"BACKGROUND Survivors of critical illness often have a prolonged and disabling form of cognitive impairment that remains inadequately characterized. METHODS We enrolled adults with respiratory failure or shock in the medical or surgical intensive care unit (ICU), evaluated them for in-hospital delirium, and assessed global cognition and executive function 3 and 12 months after discharge with the use of the Repeatable Battery for the Assessment of Neuropsychological Status (population age-adjusted mean [±SD] score, 100±15, with lower values indicating worse global cognition) and the Trail Making Test, Part B (population age-, sex-, and education-adjusted mean score, 50±10, with lower scores indicating worse executive function). Associations of the duration of delirium and the use of sedative or analgesic agents with the outcomes were assessed with the use of linear regression, with adjustment for potential confounders. RESULTS Of the 821 patients enrolled, 6% had cognitive impairment at baseline, and delirium developed in 74% during the hospital stay. At 3 months, 40% of the patients had global cognition scores that were 1.5 SD below the population means (similar to scores for patients with moderate traumatic brain injury), and 26% had scores 2 SD below the population means (similar to scores for patients with mild Alzheimer's disease). Deficits occurred in both older and younger patients and persisted, with 34% and 24% of all patients with assessments at 12 months that were similar to scores for patients with moderate traumatic brain injury and scores for patients with mild Alzheimer's disease, respectively. A longer duration of delirium was independently associated with worse global cognition at 3 and 12 months (P=0.001 and P=0.04, respectively) and worse executive function at 3 and 12 months (P=0.004 and P=0.007, respectively). Use of sedative or analgesic medications was not consistently associated with cognitive impairment at 3 and 12 months. CONCLUSIONS Patients in medical and surgical ICUs are at high risk for long-term cognitive impairment. A longer duration of delirium in the hospital was associated with worse global cognition and executive function scores at 3 and 12 months. (Funded by the National Institutes of Health and others; BRAIN-ICU ClinicalTrials.gov number, NCT00392795.).","author":[{"dropping-particle":"","family":"Pandharipande","given":"P.P.","non-dropping-particle":"","parse-names":false,"suffix":""},{"dropping-particle":"","family":"Girard","given":"T.D.","non-dropping-particle":"","parse-names":false,"suffix":""},{"dropping-particle":"","family":"Jackson","given":"J.C.","non-dropping-particle":"","parse-names":false,"suffix":""},{"dropping-particle":"","family":"Morandi","given":"A.","non-dropping-particle":"","parse-names":false,"suffix":""},{"dropping-particle":"","family":"Thompson","given":"J.L.","non-dropping-particle":"","parse-names":false,"suffix":""},{"dropping-particle":"","family":"Pun","given":"B.T.","non-dropping-particle":"","parse-names":false,"suffix":""},{"dropping-particle":"","family":"Brummel","given":"N.E.","non-dropping-particle":"","parse-names":false,"suffix":""},{"dropping-particle":"","family":"Hughes","given":"C.G.","non-dropping-particle":"","parse-names":false,"suffix":""},{"dropping-particle":"","family":"Vasilevskis","given":"E.E.","non-dropping-particle":"","parse-names":false,"suffix":""},{"dropping-particle":"","family":"Shintani","given":"A.K.","non-dropping-particle":"","parse-names":false,"suffix":""},{"dropping-particle":"","family":"Moons","given":"K.G.","non-dropping-particle":"","parse-names":false,"suffix":""},{"dropping-particle":"","family":"Geevarghese","given":"S.K.","non-dropping-particle":"","parse-names":false,"suffix":""},{"dropping-particle":"","family":"Canonico","given":"A.","non-dropping-particle":"","parse-names":false,"suffix":""},{"dropping-particle":"","family":"Hopkins","given":"R.O.","non-dropping-particle":"","parse-names":false,"suffix":""},{"dropping-particle":"","family":"Bernard","given":"G.R.","non-dropping-particle":"","parse-names":false,"suffix":""},{"dropping-particle":"","family":"Dittus","given":"R.S.","non-dropping-particle":"","parse-names":false,"suffix":""},{"dropping-particle":"","family":"Ely","given":"E.W.","non-dropping-particle":"","parse-names":false,"suffix":""}],"container-title":"New England Journal of Medicine","id":"ITEM-1","issue":"14","issued":{"date-parts":[["2013"]]},"page":"1306-1316","title":"Long-Term Cognitive Impairment after Critical Illness","type":"article-journal","volume":"369"},"uris":["http://www.mendeley.com/documents/?uuid=be8a1f09-ebf1-4046-811a-5223e2a6c621"]}],"mendeley":{"formattedCitation":"(5)","plainTextFormattedCitation":"(5)","previouslyFormattedCitation":"(5)"},"properties":{"noteIndex":0},"schema":"https://github.com/citation-style-language/schema/raw/master/csl-citation.json"}</w:instrText>
      </w:r>
      <w:r w:rsidRPr="4A2AA5A2">
        <w:rPr>
          <w:rFonts w:ascii="Times New Roman" w:hAnsi="Times New Roman" w:cs="Times New Roman"/>
          <w:sz w:val="24"/>
          <w:szCs w:val="24"/>
        </w:rPr>
        <w:fldChar w:fldCharType="separate"/>
      </w:r>
      <w:r w:rsidR="00105048" w:rsidRPr="4A2AA5A2">
        <w:rPr>
          <w:rFonts w:ascii="Times New Roman" w:hAnsi="Times New Roman" w:cs="Times New Roman"/>
          <w:noProof/>
          <w:sz w:val="24"/>
          <w:szCs w:val="24"/>
        </w:rPr>
        <w:t>(5)</w:t>
      </w:r>
      <w:r w:rsidRPr="4A2AA5A2">
        <w:rPr>
          <w:rFonts w:ascii="Times New Roman" w:hAnsi="Times New Roman" w:cs="Times New Roman"/>
          <w:sz w:val="24"/>
          <w:szCs w:val="24"/>
        </w:rPr>
        <w:fldChar w:fldCharType="end"/>
      </w:r>
      <w:r w:rsidRPr="4A2AA5A2">
        <w:rPr>
          <w:rFonts w:ascii="Times New Roman" w:hAnsi="Times New Roman" w:cs="Times New Roman"/>
          <w:sz w:val="24"/>
          <w:szCs w:val="24"/>
        </w:rPr>
        <w:fldChar w:fldCharType="begin" w:fldLock="1"/>
      </w:r>
      <w:r w:rsidRPr="4A2AA5A2">
        <w:rPr>
          <w:rFonts w:ascii="Times New Roman" w:hAnsi="Times New Roman" w:cs="Times New Roman"/>
          <w:sz w:val="24"/>
          <w:szCs w:val="24"/>
        </w:rPr>
        <w:instrText>ADDIN CSL_CITATION {"citationItems":[{"id":"ITEM-1","itemData":{"DOI":"10.1213/ANE.0000000000004066","ISBN":"0000000000","ISSN":"15267598","PMID":"30883422","abstract":"As critical illness survivorship increases, patients and health care providers are faced with management of long-term sequelae including cognitive and functional impairment. Longitudinal studies have demonstrated impairments persisting at least 1–5 years after hospitalization for critical illness. Cognitive domains impacted include memory, attention, and processing speed. Functional impairments include physical weakness, reduced endurance, and dependence on others for basic tasks of daily living such as bathing or feeding. In characterizing the trajectory of long-term recovery, multiple risk factors have been identified for subsequent impairment, including increased severity of illness and severe sepsis, prolonged mechanical ventilation, and delirium. Preadmission status including frailty, high level of preexisting comorbidities, and baseline cognitive dysfunction are also associated with impairment after critical illness. Development of cognitive and functional impairment is likely multifactorial, and multiple mechanistic theories have been proposed. Neuroinflammation, disruption of the blood–brain barrier, and structural alterations in the brain have all been observed in patients with long-term cognitive dysfunction. Systemic inflammation has also been associated with alterations in muscle integrity and function, which is associated with intensive care unit–acquired weakness and prolonged functional impairment. Efforts to ease the burden of long-term impairments include prevention strategies and rehabilitation interventions after discharge. Delirium is a well-established risk factor for long-term cognitive dysfunction, and using delirium-prevention strategies may be important for cognitive protection. Current evidence favors minimizing overall sedation exposure, careful selection of sedation agents including avoidance of benzodiazepines, and targeted sedation goals to avoid oversedation. Daily awakening and spontaneous breathing trials and early mobilization have shown benefit in both cognitive and functional outcomes. Multifactorial prevention bundles are useful tools in improving care provided to patients in the intensive care unit. Data regarding cognitive rehabilitation are limited, while studies on functional rehabilitation have conflicting results. Continued investigation and implementation of prevention strategies and rehabilitation interventions will hopefully improve the quality of life for the ever-increasing population of critical illness s…","author":[{"dropping-particle":"","family":"Rengel","given":"Kimberly F.","non-dropping-particle":"","parse-names":false,"suffix":""},{"dropping-particle":"","family":"Hayhurst","given":"Christina J.","non-dropping-particle":"","parse-names":false,"suffix":""},{"dropping-particle":"","family":"Pandharipande","given":"Pratik P.","non-dropping-particle":"","parse-names":false,"suffix":""},{"dropping-particle":"","family":"Hughes","given":"Christopher G.","non-dropping-particle":"","parse-names":false,"suffix":""}],"container-title":"Anesthesia and Analgesia","id":"ITEM-1","issue":"4","issued":{"date-parts":[["2019"]]},"page":"772-780","title":"Long-term Cognitive and Functional Impairments After Critical Illness","type":"article-journal","volume":"128"},"uris":["http://www.mendeley.com/documents/?uuid=b1a13627-9db5-4391-9ce7-e0d94d3a295b"]}],"mendeley":{"formattedCitation":"(6)","plainTextFormattedCitation":"(6)","previouslyFormattedCitation":"(6)"},"properties":{"noteIndex":0},"schema":"https://github.com/citation-style-language/schema/raw/master/csl-citation.json"}</w:instrText>
      </w:r>
      <w:r w:rsidRPr="4A2AA5A2">
        <w:rPr>
          <w:rFonts w:ascii="Times New Roman" w:hAnsi="Times New Roman" w:cs="Times New Roman"/>
          <w:sz w:val="24"/>
          <w:szCs w:val="24"/>
        </w:rPr>
        <w:fldChar w:fldCharType="separate"/>
      </w:r>
      <w:r w:rsidR="00105048" w:rsidRPr="4A2AA5A2">
        <w:rPr>
          <w:rFonts w:ascii="Times New Roman" w:hAnsi="Times New Roman" w:cs="Times New Roman"/>
          <w:noProof/>
          <w:sz w:val="24"/>
          <w:szCs w:val="24"/>
          <w:lang w:val="es-419"/>
        </w:rPr>
        <w:t>(6)</w:t>
      </w:r>
      <w:r w:rsidRPr="4A2AA5A2">
        <w:rPr>
          <w:rFonts w:ascii="Times New Roman" w:hAnsi="Times New Roman" w:cs="Times New Roman"/>
          <w:sz w:val="24"/>
          <w:szCs w:val="24"/>
        </w:rPr>
        <w:fldChar w:fldCharType="end"/>
      </w:r>
      <w:r w:rsidR="06C8528B" w:rsidRPr="4A2AA5A2">
        <w:rPr>
          <w:rFonts w:ascii="Times New Roman" w:hAnsi="Times New Roman" w:cs="Times New Roman"/>
          <w:sz w:val="24"/>
          <w:szCs w:val="24"/>
          <w:lang w:val="es-419"/>
        </w:rPr>
        <w:t xml:space="preserve"> </w:t>
      </w:r>
      <w:r w:rsidR="7F6A0D48" w:rsidRPr="4A2AA5A2">
        <w:rPr>
          <w:rFonts w:ascii="Times New Roman" w:hAnsi="Times New Roman" w:cs="Times New Roman"/>
          <w:sz w:val="24"/>
          <w:szCs w:val="24"/>
          <w:lang w:val="es-419"/>
        </w:rPr>
        <w:t xml:space="preserve">Además, aquellos </w:t>
      </w:r>
      <w:r w:rsidR="06C8528B" w:rsidRPr="4A2AA5A2">
        <w:rPr>
          <w:rFonts w:ascii="Times New Roman" w:hAnsi="Times New Roman" w:cs="Times New Roman"/>
          <w:sz w:val="24"/>
          <w:szCs w:val="24"/>
          <w:lang w:val="es-419"/>
        </w:rPr>
        <w:t xml:space="preserve">pacientes hospitalizados en </w:t>
      </w:r>
      <w:r w:rsidR="4820ACCB" w:rsidRPr="4A2AA5A2">
        <w:rPr>
          <w:rFonts w:ascii="Times New Roman" w:hAnsi="Times New Roman" w:cs="Times New Roman"/>
          <w:sz w:val="24"/>
          <w:szCs w:val="24"/>
          <w:lang w:val="es-419"/>
        </w:rPr>
        <w:t>unidades críticas</w:t>
      </w:r>
      <w:r w:rsidR="06C8528B" w:rsidRPr="4A2AA5A2">
        <w:rPr>
          <w:rFonts w:ascii="Times New Roman" w:hAnsi="Times New Roman" w:cs="Times New Roman"/>
          <w:sz w:val="24"/>
          <w:szCs w:val="24"/>
          <w:lang w:val="es-419"/>
        </w:rPr>
        <w:t xml:space="preserve"> presentan </w:t>
      </w:r>
      <w:r w:rsidR="00255E10" w:rsidRPr="4A2AA5A2">
        <w:rPr>
          <w:rFonts w:ascii="Times New Roman" w:hAnsi="Times New Roman" w:cs="Times New Roman"/>
          <w:sz w:val="24"/>
          <w:szCs w:val="24"/>
          <w:lang w:val="es-419"/>
        </w:rPr>
        <w:t>un puntaje más bajo</w:t>
      </w:r>
      <w:r w:rsidR="06C8528B" w:rsidRPr="4A2AA5A2">
        <w:rPr>
          <w:rFonts w:ascii="Times New Roman" w:hAnsi="Times New Roman" w:cs="Times New Roman"/>
          <w:sz w:val="24"/>
          <w:szCs w:val="24"/>
          <w:lang w:val="es-419"/>
        </w:rPr>
        <w:t xml:space="preserve"> en test de habilidad cognitiva, en comparación con sujetos de su misma edad hospitalizados por enfermedad no crítica, o que nunca han sido hospitalizados.</w:t>
      </w:r>
      <w:r w:rsidRPr="4A2AA5A2">
        <w:rPr>
          <w:rFonts w:ascii="Times New Roman" w:hAnsi="Times New Roman" w:cs="Times New Roman"/>
          <w:sz w:val="24"/>
          <w:szCs w:val="24"/>
        </w:rPr>
        <w:fldChar w:fldCharType="begin" w:fldLock="1"/>
      </w:r>
      <w:r w:rsidRPr="4A2AA5A2">
        <w:rPr>
          <w:rFonts w:ascii="Times New Roman" w:hAnsi="Times New Roman" w:cs="Times New Roman"/>
          <w:sz w:val="24"/>
          <w:szCs w:val="24"/>
          <w:lang w:val="es-419"/>
        </w:rPr>
        <w:instrText>ADDIN CSL_CITATION {"citationItems":[{"id":"ITEM-1","itemData":{"DOI":"10.1001/jama.2010.167.Association","ISBN":"6176321972","ISSN":"15378276","PMID":"1000000221","abstract":"With the effectiveness of therapeutic agents ever decreasing and the increased incidence of multi-drug resistant pathogens, there is a clear need for administration of more potent, potentially more toxic, drugs. Alternatively, biopharmaceuticals may hold potential but require specialised protection from premature in vivo degradation. Thus, a paralleled need for specialised drug delivery systems has arisen. Although cell-mediated drug delivery is not a completely novel concept, the few applications described to date are not yet ready for in vivo application, for various reasons such as drug-induced carrier cell death, limited control over the site and timing of drug release and/or drug degradation by the host immune system. Here, we present our hypothesis for a new drug delivery system, which aims to negate these limitations. We propose transport of nanoparticle-encapsulated drugs inside autologous macrophages polarised to M1 phenotype for high mobility and treated to induce transient phagosome maturation arrest. In addition, we propose a significant shift of existing paradigms in the study of host-microbe interactions, in order to study microbial host immune evasion and dissemination patterns for their therapeutic utilisation in the context of drug delivery. We describe a system in which microbial strategies may be adopted to facilitate absolute control over drug delivery, and without sacrificing the host carrier cells. We provide a comprehensive summary of the lessons we can learn from microbes in the context of drug delivery and discuss their feasibility for in vivo therapeutic application. We then describe our proposed “synthetic microbe drug delivery system” in detail. In our opinion, this multidisciplinary approach may hold the solution to effective, controlled drug delivery.","author":[{"dropping-particle":"","family":"Hoda Badr, Cindy L. Carmack, Deborah A. Kashy, Massimo Cristofanilli","given":"and Tracey A. Revenson","non-dropping-particle":"","parse-names":false,"suffix":""},{"dropping-particle":"","family":"Bull","given":"MRS","non-dropping-particle":"","parse-names":false,"suffix":""},{"dropping-particle":"","family":"Lostutter T.W., Lewis M.A.,Concronce JM., Neighbors C.","given":"Larimer M.E","non-dropping-particle":"","parse-names":false,"suffix":""}],"container-title":"Bone","id":"ITEM-1","issue":"1","issued":{"date-parts":[["2008"]]},"page":"1-7","title":"</w:instrText>
      </w:r>
      <w:r w:rsidRPr="4A2AA5A2">
        <w:rPr>
          <w:rFonts w:ascii="MS Gothic" w:eastAsia="MS Gothic" w:hAnsi="MS Gothic" w:cs="MS Gothic"/>
          <w:sz w:val="24"/>
          <w:szCs w:val="24"/>
          <w:lang w:val="es-419"/>
        </w:rPr>
        <w:instrText>基因的改</w:instrText>
      </w:r>
      <w:r w:rsidRPr="4A2AA5A2">
        <w:rPr>
          <w:rFonts w:ascii="Microsoft JhengHei" w:eastAsia="Microsoft JhengHei" w:hAnsi="Microsoft JhengHei" w:cs="Microsoft JhengHei"/>
          <w:sz w:val="24"/>
          <w:szCs w:val="24"/>
          <w:lang w:val="es-419"/>
        </w:rPr>
        <w:instrText>变</w:instrText>
      </w:r>
      <w:r w:rsidRPr="4A2AA5A2">
        <w:rPr>
          <w:rFonts w:ascii="Times New Roman" w:hAnsi="Times New Roman" w:cs="Times New Roman"/>
          <w:sz w:val="24"/>
          <w:szCs w:val="24"/>
          <w:lang w:val="es-419"/>
        </w:rPr>
        <w:instrText>NIH Public Access","type":"article-journal","volume":"23"},"uris":["http://www.mendeley.com/documents/?uuid=dc181ec6-31de-476c-bbae-a02c2494b378"]}],"mendeley":{"formattedCitation":"(7)","plainTextFormattedCitation":"(7)","previouslyFormattedCitation":"(7)"},"properties":{"noteIndex":0},"schema":"https://github.com/citation-style-language/schema/raw/master/csl-citation.json"}</w:instrText>
      </w:r>
      <w:r w:rsidRPr="4A2AA5A2">
        <w:rPr>
          <w:rFonts w:ascii="Times New Roman" w:hAnsi="Times New Roman" w:cs="Times New Roman"/>
          <w:sz w:val="24"/>
          <w:szCs w:val="24"/>
        </w:rPr>
        <w:fldChar w:fldCharType="separate"/>
      </w:r>
      <w:r w:rsidR="00105048" w:rsidRPr="4A2AA5A2">
        <w:rPr>
          <w:rFonts w:ascii="Times New Roman" w:hAnsi="Times New Roman" w:cs="Times New Roman"/>
          <w:noProof/>
          <w:sz w:val="24"/>
          <w:szCs w:val="24"/>
          <w:lang w:val="es-419"/>
        </w:rPr>
        <w:t>(7)</w:t>
      </w:r>
      <w:r w:rsidRPr="4A2AA5A2">
        <w:rPr>
          <w:rFonts w:ascii="Times New Roman" w:hAnsi="Times New Roman" w:cs="Times New Roman"/>
          <w:sz w:val="24"/>
          <w:szCs w:val="24"/>
        </w:rPr>
        <w:fldChar w:fldCharType="end"/>
      </w:r>
    </w:p>
    <w:p w14:paraId="1678F356" w14:textId="0219B87F" w:rsidR="00B05108" w:rsidRPr="00557263" w:rsidRDefault="39647C88" w:rsidP="0039189E">
      <w:pPr>
        <w:spacing w:line="360" w:lineRule="auto"/>
        <w:ind w:right="709" w:firstLine="708"/>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 xml:space="preserve">Por otra parte, </w:t>
      </w:r>
      <w:r w:rsidRPr="00AC4A57">
        <w:rPr>
          <w:rFonts w:ascii="Times New Roman" w:hAnsi="Times New Roman" w:cs="Times New Roman"/>
          <w:sz w:val="24"/>
          <w:szCs w:val="24"/>
          <w:highlight w:val="cyan"/>
          <w:lang w:val="es-419"/>
        </w:rPr>
        <w:t>el deterioro cognitivo también se relaciona con un aumento de la dependencia física después de la hospitalización</w:t>
      </w:r>
      <w:r w:rsidR="79A1D391" w:rsidRPr="00AC4A57">
        <w:rPr>
          <w:rFonts w:ascii="Times New Roman" w:hAnsi="Times New Roman" w:cs="Times New Roman"/>
          <w:sz w:val="24"/>
          <w:szCs w:val="24"/>
          <w:highlight w:val="cyan"/>
          <w:lang w:val="es-419"/>
        </w:rPr>
        <w:fldChar w:fldCharType="begin" w:fldLock="1"/>
      </w:r>
      <w:r w:rsidR="00105048" w:rsidRPr="00AC4A57">
        <w:rPr>
          <w:rFonts w:ascii="Times New Roman" w:hAnsi="Times New Roman" w:cs="Times New Roman"/>
          <w:sz w:val="24"/>
          <w:szCs w:val="24"/>
          <w:highlight w:val="cyan"/>
          <w:lang w:val="es-419"/>
        </w:rPr>
        <w:instrText>ADDIN CSL_CITATION {"citationItems":[{"id":"ITEM-1","itemData":{"DOI":"10.1056/nejmoa1301372","ISSN":"0028-4793","PMID":"24088092","abstract":"BACKGROUND Survivors of critical illness often have a prolonged and disabling form of cognitive impairment that remains inadequately characterized. METHODS We enrolled adults with respiratory failure or shock in the medical or surgical intensive care unit (ICU), evaluated them for in-hospital delirium, and assessed global cognition and executive function 3 and 12 months after discharge with the use of the Repeatable Battery for the Assessment of Neuropsychological Status (population age-adjusted mean [±SD] score, 100±15, with lower values indicating worse global cognition) and the Trail Making Test, Part B (population age-, sex-, and education-adjusted mean score, 50±10, with lower scores indicating worse executive function). Associations of the duration of delirium and the use of sedative or analgesic agents with the outcomes were assessed with the use of linear regression, with adjustment for potential confounders. RESULTS Of the 821 patients enrolled, 6% had cognitive impairment at baseline, and delirium developed in 74% during the hospital stay. At 3 months, 40% of the patients had global cognition scores that were 1.5 SD below the population means (similar to scores for patients with moderate traumatic brain injury), and 26% had scores 2 SD below the population means (similar to scores for patients with mild Alzheimer's disease). Deficits occurred in both older and younger patients and persisted, with 34% and 24% of all patients with assessments at 12 months that were similar to scores for patients with moderate traumatic brain injury and scores for patients with mild Alzheimer's disease, respectively. A longer duration of delirium was independently associated with worse global cognition at 3 and 12 months (P=0.001 and P=0.04, respectively) and worse executive function at 3 and 12 months (P=0.004 and P=0.007, respectively). Use of sedative or analgesic medications was not consistently associated with cognitive impairment at 3 and 12 months. CONCLUSIONS Patients in medical and surgical ICUs are at high risk for long-term cognitive impairment. A longer duration of delirium in the hospital was associated with worse global cognition and executive function scores at 3 and 12 months. (Funded by the National Institutes of Health and others; BRAIN-ICU ClinicalTrials.gov number, NCT00392795.).","author":[{"dropping-particle":"","family":"Pandharipande","given":"P.P.","non-dropping-particle":"","parse-names":false,"suffix":""},{"dropping-particle":"","family":"Girard","given":"T.D.","non-dropping-particle":"","parse-names":false,"suffix":""},{"dropping-particle":"","family":"Jackson","given":"J.C.","non-dropping-particle":"","parse-names":false,"suffix":""},{"dropping-particle":"","family":"Morandi","given":"A.","non-dropping-particle":"","parse-names":false,"suffix":""},{"dropping-particle":"","family":"Thompson","given":"J.L.","non-dropping-particle":"","parse-names":false,"suffix":""},{"dropping-particle":"","family":"Pun","given":"B.T.","non-dropping-particle":"","parse-names":false,"suffix":""},{"dropping-particle":"","family":"Brummel","given":"N.E.","non-dropping-particle":"","parse-names":false,"suffix":""},{"dropping-particle":"","family":"Hughes","given":"C.G.","non-dropping-particle":"","parse-names":false,"suffix":""},{"dropping-particle":"","family":"Vasilevskis","given":"E.E.","non-dropping-particle":"","parse-names":false,"suffix":""},{"dropping-particle":"","family":"Shintani","given":"A.K.","non-dropping-particle":"","parse-names":false,"suffix":""},{"dropping-particle":"","family":"Moons","given":"K.G.","non-dropping-particle":"","parse-names":false,"suffix":""},{"dropping-particle":"","family":"Geevarghese","given":"S.K.","non-dropping-particle":"","parse-names":false,"suffix":""},{"dropping-particle":"","family":"Canonico","given":"A.","non-dropping-particle":"","parse-names":false,"suffix":""},{"dropping-particle":"","family":"Hopkins","given":"R.O.","non-dropping-particle":"","parse-names":false,"suffix":""},{"dropping-particle":"","family":"Bernard","given":"G.R.","non-dropping-particle":"","parse-names":false,"suffix":""},{"dropping-particle":"","family":"Dittus","given":"R.S.","non-dropping-particle":"","parse-names":false,"suffix":""},{"dropping-particle":"","family":"Ely","given":"E.W.","non-dropping-particle":"","parse-names":false,"suffix":""}],"container-title":"New England Journal of Medicine","id":"ITEM-1","issue":"14","issued":{"date-parts":[["2013"]]},"page":"1306-1316","title":"Long-Term Cognitive Impairment after Critical Illness","type":"article-journal","volume":"369"},"uris":["http://www.mendeley.com/documents/?uuid=be8a1f09-ebf1-4046-811a-5223e2a6c621"]}],"mendeley":{"formattedCitation":"(5)","plainTextFormattedCitation":"(5)","previouslyFormattedCitation":"(5)"},"properties":{"noteIndex":0},"schema":"https://github.com/citation-style-language/schema/raw/master/csl-citation.json"}</w:instrText>
      </w:r>
      <w:r w:rsidR="79A1D391" w:rsidRPr="00AC4A57">
        <w:rPr>
          <w:rFonts w:ascii="Times New Roman" w:hAnsi="Times New Roman" w:cs="Times New Roman"/>
          <w:sz w:val="24"/>
          <w:szCs w:val="24"/>
          <w:highlight w:val="cyan"/>
          <w:lang w:val="es-419"/>
        </w:rPr>
        <w:fldChar w:fldCharType="separate"/>
      </w:r>
      <w:r w:rsidR="00105048" w:rsidRPr="00AC4A57">
        <w:rPr>
          <w:rFonts w:ascii="Times New Roman" w:hAnsi="Times New Roman" w:cs="Times New Roman"/>
          <w:noProof/>
          <w:sz w:val="24"/>
          <w:szCs w:val="24"/>
          <w:highlight w:val="cyan"/>
          <w:lang w:val="es-419"/>
        </w:rPr>
        <w:t>(5)</w:t>
      </w:r>
      <w:r w:rsidR="79A1D391" w:rsidRPr="00AC4A57">
        <w:rPr>
          <w:rFonts w:ascii="Times New Roman" w:hAnsi="Times New Roman" w:cs="Times New Roman"/>
          <w:sz w:val="24"/>
          <w:szCs w:val="24"/>
          <w:highlight w:val="cyan"/>
          <w:lang w:val="es-419"/>
        </w:rPr>
        <w:fldChar w:fldCharType="end"/>
      </w:r>
      <w:r w:rsidRPr="00557263">
        <w:rPr>
          <w:rFonts w:ascii="Times New Roman" w:hAnsi="Times New Roman" w:cs="Times New Roman"/>
          <w:sz w:val="24"/>
          <w:szCs w:val="24"/>
          <w:lang w:val="es-419"/>
        </w:rPr>
        <w:t xml:space="preserve"> y con un aumento de la mortalidad hasta 35% en quienes no egresaron a centros especializados</w:t>
      </w:r>
      <w:r w:rsidR="79A1D391" w:rsidRPr="00557263">
        <w:rPr>
          <w:rFonts w:ascii="Times New Roman" w:hAnsi="Times New Roman" w:cs="Times New Roman"/>
          <w:sz w:val="24"/>
          <w:szCs w:val="24"/>
        </w:rPr>
        <w:fldChar w:fldCharType="begin" w:fldLock="1"/>
      </w:r>
      <w:r w:rsidR="00105048">
        <w:rPr>
          <w:rFonts w:ascii="Times New Roman" w:hAnsi="Times New Roman" w:cs="Times New Roman"/>
          <w:sz w:val="24"/>
          <w:szCs w:val="24"/>
          <w:lang w:val="es-419"/>
        </w:rPr>
        <w:instrText>ADDIN CSL_CITATION {"citationItems":[{"id":"ITEM-1","itemData":{"DOI":"10.1097/CCM.0000000000002755","ISBN":"0000000000","ISSN":"15300293","PMID":"28991827","abstract":"Objective: Severe sepsis survivors frequently experience cognitive and physical functional impairment. The degree of impairment and its association with mortality is understudied, particularly among those discharged to a skilled nursing facility. Our objective was to quantify the cognitive and physical impairment among severe sepsis survivors discharged to a skilled nursing facility and to investigate the relationship between impairment and long-term mortality. Design: Retrospective cohort study. Setting: United States. Subjects: Random 5% sample of Medicare patients discharged following severe sepsis hospitalization, 2005-2009 (n = 135,370). Measurement and Main Results: Medicare data were linked with the Minimum Data Set; Minimum Data Set-Cognition Scale was used to assess cognitive function, and the Minimum Data Set activities of daily living hierarchical scale was used to assess functional dependence. Associations were evaluated using multivariable logistic regression, Kaplan-Meier curves, and Cox proportional hazards regression. Of 66,540 beneficiaries admitted to a skilled nursing facility following severe sepsis, 34% had severe or very severe cognitive impairment, and 72.5% had maximal, dependence, or total dependence in activities of daily living. Median survival was 19.4 months for those discharged to a skilled nursing facility without having been in a skilled nursing facility in the preceding 1 year and 10.4 months for those discharged to a skilled nursing facility who had spent time in a skilled nursing facility in the prior year. The adjusted hazard ratio for death was 3.1 for those with very severe cognitive impairment relative to those who were cognitively intact (95% CI, 2.9-3.2; p &lt; 0.001) and 4.3 for those with \"total dependence\" in activities of daily livings relative to those who were independent (95% CI, 3.8-5.0; p &lt; 0.001). Conclusions: Discharge to a skilled nursing facility following severe sepsis hospitalization among Medicare beneficiaries was associated with shorter survival, and cognitive impairment and activities of daily living dependence were each strongly associated with shortened survival. These findings can inform decision-making by patients and physicians and underscores high palliative care needs among sepsis survivors discharged to skilled nursing facility.","author":[{"dropping-particle":"","family":"Ehlenbach","given":"William J.","non-dropping-particle":"","parse-names":false,"suffix":""},{"dropping-particle":"","family":"Gilmore-Bykovskyi","given":"Andrea","non-dropping-particle":"","parse-names":false,"suffix":""},{"dropping-particle":"","family":"Repplinger","given":"Michael D.","non-dropping-particle":"","parse-names":false,"suffix":""},{"dropping-particle":"","family":"Westergaard","given":"Ryan P.","non-dropping-particle":"","parse-names":false,"suffix":""},{"dropping-particle":"","family":"Jacobs","given":"Elizabeth A.","non-dropping-particle":"","parse-names":false,"suffix":""},{"dropping-particle":"","family":"Kind","given":"Amy J.H.","non-dropping-particle":"","parse-names":false,"suffix":""},{"dropping-particle":"","family":"Smith","given":"Maureen","non-dropping-particle":"","parse-names":false,"suffix":""}],"container-title":"Critical Care Medicine","id":"ITEM-1","issue":"1","issued":{"date-parts":[["2018"]]},"page":"37-44","title":"Sepsis Survivors Admitted to Skilled Nursing Facilities: Cognitive Impairment, Activities of Daily Living Dependence, and Survival","type":"article-journal","volume":"46"},"uris":["http://www.mendeley.com/documents/?uuid=1b36435d-caf3-48f7-833e-e8b302d1384c"]}],"mendeley":{"formattedCitation":"(8)","plainTextFormattedCitation":"(8)","previouslyFormattedCitation":"(8)"},"properties":{"noteIndex":0},"schema":"https://github.com/citation-style-language/schema/raw/master/csl-citation.json"}</w:instrText>
      </w:r>
      <w:r w:rsidR="79A1D391" w:rsidRPr="00557263">
        <w:rPr>
          <w:rFonts w:ascii="Times New Roman" w:hAnsi="Times New Roman" w:cs="Times New Roman"/>
          <w:sz w:val="24"/>
          <w:szCs w:val="24"/>
        </w:rPr>
        <w:fldChar w:fldCharType="separate"/>
      </w:r>
      <w:r w:rsidR="00105048" w:rsidRPr="00105048">
        <w:rPr>
          <w:rFonts w:ascii="Times New Roman" w:hAnsi="Times New Roman" w:cs="Times New Roman"/>
          <w:noProof/>
          <w:sz w:val="24"/>
          <w:szCs w:val="24"/>
          <w:lang w:val="es-419"/>
        </w:rPr>
        <w:t>(8)</w:t>
      </w:r>
      <w:r w:rsidR="79A1D391" w:rsidRPr="00557263">
        <w:rPr>
          <w:rFonts w:ascii="Times New Roman" w:hAnsi="Times New Roman" w:cs="Times New Roman"/>
          <w:sz w:val="24"/>
          <w:szCs w:val="24"/>
        </w:rPr>
        <w:fldChar w:fldCharType="end"/>
      </w:r>
      <w:r w:rsidR="61132C35" w:rsidRPr="00557263">
        <w:rPr>
          <w:rFonts w:ascii="Times New Roman" w:hAnsi="Times New Roman" w:cs="Times New Roman"/>
          <w:sz w:val="24"/>
          <w:szCs w:val="24"/>
          <w:lang w:val="es-419"/>
        </w:rPr>
        <w:t>;</w:t>
      </w:r>
      <w:r w:rsidRPr="00557263">
        <w:rPr>
          <w:rFonts w:ascii="Times New Roman" w:hAnsi="Times New Roman" w:cs="Times New Roman"/>
          <w:sz w:val="24"/>
          <w:szCs w:val="24"/>
          <w:lang w:val="es-419"/>
        </w:rPr>
        <w:t xml:space="preserve"> </w:t>
      </w:r>
      <w:r w:rsidR="61132C35" w:rsidRPr="00557263">
        <w:rPr>
          <w:rFonts w:ascii="Times New Roman" w:hAnsi="Times New Roman" w:cs="Times New Roman"/>
          <w:sz w:val="24"/>
          <w:szCs w:val="24"/>
          <w:lang w:val="es-419"/>
        </w:rPr>
        <w:t>t</w:t>
      </w:r>
      <w:r w:rsidR="1942A06D" w:rsidRPr="00557263">
        <w:rPr>
          <w:rFonts w:ascii="Times New Roman" w:hAnsi="Times New Roman" w:cs="Times New Roman"/>
          <w:sz w:val="24"/>
          <w:szCs w:val="24"/>
          <w:lang w:val="es-419"/>
        </w:rPr>
        <w:t>raduciéndose</w:t>
      </w:r>
      <w:r w:rsidRPr="00557263">
        <w:rPr>
          <w:rFonts w:ascii="Times New Roman" w:hAnsi="Times New Roman" w:cs="Times New Roman"/>
          <w:sz w:val="24"/>
          <w:szCs w:val="24"/>
          <w:lang w:val="es-419"/>
        </w:rPr>
        <w:t xml:space="preserve"> en mayores costos para el sistema de salud y las familias de </w:t>
      </w:r>
      <w:r w:rsidR="378FE4B9" w:rsidRPr="00557263">
        <w:rPr>
          <w:rFonts w:ascii="Times New Roman" w:hAnsi="Times New Roman" w:cs="Times New Roman"/>
          <w:sz w:val="24"/>
          <w:szCs w:val="24"/>
          <w:lang w:val="es-419"/>
        </w:rPr>
        <w:t>los sobrevivientes a enfermedades críticas</w:t>
      </w:r>
      <w:r w:rsidRPr="00557263">
        <w:rPr>
          <w:rFonts w:ascii="Times New Roman" w:hAnsi="Times New Roman" w:cs="Times New Roman"/>
          <w:sz w:val="24"/>
          <w:szCs w:val="24"/>
          <w:lang w:val="es-419"/>
        </w:rPr>
        <w:t xml:space="preserve">. </w:t>
      </w:r>
      <w:r w:rsidR="79A1D391" w:rsidRPr="00557263">
        <w:rPr>
          <w:rFonts w:ascii="Times New Roman" w:hAnsi="Times New Roman" w:cs="Times New Roman"/>
          <w:sz w:val="24"/>
          <w:szCs w:val="24"/>
          <w:lang w:val="es-419"/>
        </w:rPr>
        <w:fldChar w:fldCharType="begin" w:fldLock="1"/>
      </w:r>
      <w:r w:rsidR="00105048">
        <w:rPr>
          <w:rFonts w:ascii="Times New Roman" w:hAnsi="Times New Roman" w:cs="Times New Roman"/>
          <w:sz w:val="24"/>
          <w:szCs w:val="24"/>
          <w:lang w:val="es-419"/>
        </w:rPr>
        <w:instrText>ADDIN CSL_CITATION {"citationItems":[{"id":"ITEM-1","itemData":{"DOI":"10.1097/CCM.0b013e3181e47be1.Delirium","author":[{"dropping-particle":"","family":"Girard","given":"Timothy D","non-dropping-particle":"","parse-names":false,"suffix":""},{"dropping-particle":"","family":"Jackson","given":"James C","non-dropping-particle":"","parse-names":false,"suffix":""},{"dropping-particle":"","family":"Pandharipande","given":"Pratik P","non-dropping-particle":"","parse-names":false,"suffix":""},{"dropping-particle":"","family":"Pun","given":"Brenda T","non-dropping-particle":"","parse-names":false,"suffix":""},{"dropping-particle":"","family":"Thompson","given":"Jennifer L","non-dropping-particle":"","parse-names":false,"suffix":""},{"dropping-particle":"","family":"Shintani","given":"Ayumi K","non-dropping-particle":"","parse-names":false,"suffix":""},{"dropping-particle":"","family":"Gordon","given":"Sharon M","non-dropping-particle":"","parse-names":false,"suffix":""},{"dropping-particle":"","family":"Canonico","given":"Angelo E","non-dropping-particle":"","parse-names":false,"suffix":""},{"dropping-particle":"","family":"Dittus","given":"Robert S","non-dropping-particle":"","parse-names":false,"suffix":""},{"dropping-particle":"","family":"Bernard","given":"Gordon R","non-dropping-particle":"","parse-names":false,"suffix":""},{"dropping-particle":"","family":"Ely","given":"E Wesley","non-dropping-particle":"","parse-names":false,"suffix":""}],"container-title":"Critical Care Medicine","id":"ITEM-1","issue":"7","issued":{"date-parts":[["2010"]]},"page":"1-8","title":"Survivors of Critical Illness","type":"article-journal","volume":"38"},"uris":["http://www.mendeley.com/documents/?uuid=dab60529-fdd0-4e9b-9bda-57b19d01a0cb"]}],"mendeley":{"formattedCitation":"(9)","plainTextFormattedCitation":"(9)","previouslyFormattedCitation":"(9)"},"properties":{"noteIndex":0},"schema":"https://github.com/citation-style-language/schema/raw/master/csl-citation.json"}</w:instrText>
      </w:r>
      <w:r w:rsidR="79A1D391" w:rsidRPr="00557263">
        <w:rPr>
          <w:rFonts w:ascii="Times New Roman" w:hAnsi="Times New Roman" w:cs="Times New Roman"/>
          <w:sz w:val="24"/>
          <w:szCs w:val="24"/>
          <w:lang w:val="es-419"/>
        </w:rPr>
        <w:fldChar w:fldCharType="separate"/>
      </w:r>
      <w:r w:rsidR="00105048" w:rsidRPr="00105048">
        <w:rPr>
          <w:rFonts w:ascii="Times New Roman" w:hAnsi="Times New Roman" w:cs="Times New Roman"/>
          <w:noProof/>
          <w:sz w:val="24"/>
          <w:szCs w:val="24"/>
          <w:lang w:val="es-419"/>
        </w:rPr>
        <w:t>(9)</w:t>
      </w:r>
      <w:r w:rsidR="79A1D391" w:rsidRPr="00557263">
        <w:rPr>
          <w:rFonts w:ascii="Times New Roman" w:hAnsi="Times New Roman" w:cs="Times New Roman"/>
          <w:sz w:val="24"/>
          <w:szCs w:val="24"/>
          <w:lang w:val="es-419"/>
        </w:rPr>
        <w:fldChar w:fldCharType="end"/>
      </w:r>
      <w:r w:rsidR="79A1D391" w:rsidRPr="00557263">
        <w:rPr>
          <w:rFonts w:ascii="Times New Roman" w:hAnsi="Times New Roman" w:cs="Times New Roman"/>
          <w:sz w:val="24"/>
          <w:szCs w:val="24"/>
          <w:lang w:val="es-419"/>
        </w:rPr>
        <w:fldChar w:fldCharType="begin" w:fldLock="1"/>
      </w:r>
      <w:r w:rsidR="00105048">
        <w:rPr>
          <w:rFonts w:ascii="Times New Roman" w:hAnsi="Times New Roman" w:cs="Times New Roman"/>
          <w:sz w:val="24"/>
          <w:szCs w:val="24"/>
          <w:lang w:val="es-419"/>
        </w:rPr>
        <w:instrText>ADDIN CSL_CITATION {"citationItems":[{"id":"ITEM-1","itemData":{"DOI":"10.1378/chest.130.3.869","ISSN":"00123692","PMID":"16963688","abstract":"Background: Until relatively recently, critical care practitioners have focused on the survival of their patients and not on long-term outcomes. The incidence of chronic neurocognitive dysfunction has been underestimated and underreported, and only recently has it been studied in critically ill patients. However, neurocognitive outcomes have been the subject of extensive investigation in other medical populations for many years. Methods: Review of the current literature regarding long-term neurocognitive outcomes following critical illness. Results: Data from studies to date indicate that critical illness can lead to significant neurocognitive impairments. The neurocognitive impairments persist for months and years, and may have important consequences for quality of life, the ability to return to work, overall functional ability, and substantial economic costs. The mechanisms of the neurocognitive impairments are not fully understood but likely include delirium, hypoxia, glucose dysregulation, metabolic derangements, inflammation, and the effects of sedatives and narcotics among other factors. The contributions of these factors may be particularly significant in patients with preexisting vulnerabilities for the development of cognitive impairments such as mild cognitive impairment, dementia, prior traumatic brain injury, or other comorbid disorders associated with neurocognitive impairments. Conclusions: Current research indicates that neurocognitive sequelae following critical illness are common, may be permanent, and are associated with impairments in daily function, decreased quality of life, and an inability to return to work. Research needs to be done to better understand the prevalence, nature, risk factors, and nuances of the neurocognitive impairments observed in ICU survivors.","author":[{"dropping-particle":"","family":"Hopkins","given":"Ramona O.","non-dropping-particle":"","parse-names":false,"suffix":""},{"dropping-particle":"","family":"Jackson","given":"James C.","non-dropping-particle":"","parse-names":false,"suffix":""}],"container-title":"Chest","id":"ITEM-1","issue":"3","issued":{"date-parts":[["2006"]]},"page":"869-878","publisher":"The American College of Chest Physicians","title":"Long-term neurocognitive function after critical illness","type":"article-journal","volume":"130"},"uris":["http://www.mendeley.com/documents/?uuid=2a0c5ddf-eba5-45c7-b615-4f33f3a915b1"]}],"mendeley":{"formattedCitation":"(10)","plainTextFormattedCitation":"(10)","previouslyFormattedCitation":"(10)"},"properties":{"noteIndex":0},"schema":"https://github.com/citation-style-language/schema/raw/master/csl-citation.json"}</w:instrText>
      </w:r>
      <w:r w:rsidR="79A1D391" w:rsidRPr="00557263">
        <w:rPr>
          <w:rFonts w:ascii="Times New Roman" w:hAnsi="Times New Roman" w:cs="Times New Roman"/>
          <w:sz w:val="24"/>
          <w:szCs w:val="24"/>
          <w:lang w:val="es-419"/>
        </w:rPr>
        <w:fldChar w:fldCharType="separate"/>
      </w:r>
      <w:r w:rsidR="00105048" w:rsidRPr="00105048">
        <w:rPr>
          <w:rFonts w:ascii="Times New Roman" w:hAnsi="Times New Roman" w:cs="Times New Roman"/>
          <w:noProof/>
          <w:sz w:val="24"/>
          <w:szCs w:val="24"/>
          <w:lang w:val="es-419"/>
        </w:rPr>
        <w:t>(10)</w:t>
      </w:r>
      <w:r w:rsidR="79A1D391" w:rsidRPr="00557263">
        <w:rPr>
          <w:rFonts w:ascii="Times New Roman" w:hAnsi="Times New Roman" w:cs="Times New Roman"/>
          <w:sz w:val="24"/>
          <w:szCs w:val="24"/>
          <w:lang w:val="es-419"/>
        </w:rPr>
        <w:fldChar w:fldCharType="end"/>
      </w:r>
    </w:p>
    <w:p w14:paraId="4472D34F" w14:textId="1EA72A71" w:rsidR="00C72881" w:rsidRPr="00557263" w:rsidRDefault="25F3D2AC" w:rsidP="0039189E">
      <w:pPr>
        <w:spacing w:line="360" w:lineRule="auto"/>
        <w:ind w:right="709" w:firstLine="708"/>
        <w:jc w:val="both"/>
        <w:rPr>
          <w:rFonts w:ascii="Times New Roman" w:hAnsi="Times New Roman" w:cs="Times New Roman"/>
          <w:color w:val="FF0000"/>
          <w:sz w:val="24"/>
          <w:szCs w:val="24"/>
          <w:lang w:val="es-419"/>
        </w:rPr>
      </w:pPr>
      <w:r w:rsidRPr="4A2AA5A2">
        <w:rPr>
          <w:rFonts w:ascii="Times New Roman" w:hAnsi="Times New Roman" w:cs="Times New Roman"/>
          <w:sz w:val="24"/>
          <w:szCs w:val="24"/>
          <w:lang w:val="es-419"/>
        </w:rPr>
        <w:lastRenderedPageBreak/>
        <w:t>La edad avanzada</w:t>
      </w:r>
      <w:r w:rsidRPr="4A2AA5A2">
        <w:rPr>
          <w:rFonts w:ascii="Times New Roman" w:hAnsi="Times New Roman" w:cs="Times New Roman"/>
          <w:sz w:val="24"/>
          <w:szCs w:val="24"/>
        </w:rPr>
        <w:fldChar w:fldCharType="begin" w:fldLock="1"/>
      </w:r>
      <w:r w:rsidRPr="4A2AA5A2">
        <w:rPr>
          <w:rFonts w:ascii="Times New Roman" w:hAnsi="Times New Roman" w:cs="Times New Roman"/>
          <w:sz w:val="24"/>
          <w:szCs w:val="24"/>
          <w:lang w:val="es-419"/>
        </w:rPr>
        <w:instrText>ADDIN CSL_CITATION {"citationItems":[{"id":"ITEM-1","itemData":{"DOI":"10.1001/jama.2010.167","ISSN":"15383598","PMID":"20179286","abstract":"Context: Studies suggest that many survivors of critical illness experience long-term cognitive impairment but have not included premorbid measures of cognitive functioning and have not evaluated risk for dementia associated with critical illness. Objectives: To determine whether decline in cognitive function was greater among older individuals who experienced acute care or critical illness hospitalizations relative to those not hospitalized and to determine whether the risk for incident dementia differed by these exposures. Design, Setting, and Participants: Analysis of data from a prospective cohort study from 1994 through 2007 comprising 2929 individuals 65 years old and older without dementia at baseline residing in the community in the Seattle area and belonging to the Group Health Cooperative. Participants with 2 or more study visits were included, and those who had a hospitalization for a diagnosis of primary brain injury were censored at the time of hospitalization. Individuals were screened with the Cognitive Abilities Screening Instrument (CASI) (score range, 0-100) every 2 years at follow-up visits, and those with a score less than 86 underwent a clinical examination for dementia. Main Outcome Measures: Score on the CASI at follow-up study visits and incident dementia diagnosed in study participants, adjusted for baseline cognitive scores, age, and other risk factors. Results: During a mean (SD) follow-up of 6.1 (3.2) years, 1601 participants had no hospitalization, 1287 had 1 or more noncritical illness hospitalizations, and 41 had 1 or more critical illness hospitalizations. The CASI score was assessed more than 45 days after discharge for 94.3% of participants. Adjusted CASI scores averaged 1.01 points lower for visits following acute care illness hospitalization compared with follow-up visits not following any hospitalization (95% confidence interval [CI], -1.33 to -0.70; P&lt;.001) and 2.14 points lower on average for visits following critical illness hospitalization (95% CI, -4.24 to -0.03; P=.047). There were 146 cases of dementia among those not hospitalized, 228 cases of dementia among those with 1 or more noncritical illness hospitalizations, and 5 cases of dementia among those with 1 or more critical illness hospitalizations. The adjusted hazard ratio for incident dementia was 1.4 following a noncritical illness hospitalization (95% CI, 1.1 to 1.7; P=.001) and 2.3 following a critical illness hospitalization (95% CI, 0.9 to 5.7; P=.09…","author":[{"dropping-particle":"","family":"Ehlenbach","given":"William J.","non-dropping-particle":"","parse-names":false,"suffix":""},{"dropping-particle":"","family":"Hough","given":"Catherine L.","non-dropping-particle":"","parse-names":false,"suffix":""},{"dropping-particle":"","family":"Crane","given":"Paul K.","non-dropping-particle":"","parse-names":false,"suffix":""},{"dropping-particle":"","family":"Haneuse","given":"Sebastien J.P.A.","non-dropping-particle":"","parse-names":false,"suffix":""},{"dropping-particle":"","family":"Carson","given":"Shannon S.","non-dropping-particle":"","parse-names":false,"suffix":""},{"dropping-particle":"","family":"Curtis","given":"J. Randall","non-dropping-particle":"","parse-names":false,"suffix":""},{"dropping-particle":"","family":"Larson","given":"Eric B.","non-dropping-particle":"","parse-names":false,"suffix":""}],"container-title":"Jama","id":"ITEM-1","issue":"8","issued":{"date-parts":[["2010"]]},"page":"763-770","title":"Association between acute care and critical illness hospitalization and cognitive function in older adults","type":"article-journal","volume":"303"},"uris":["http://www.mendeley.com/documents/?uuid=bdc5b16f-9329-420b-a719-bde0cb87c58e"]}],"mendeley":{"formattedCitation":"(11)","plainTextFormattedCitation":"(11)","previouslyFormattedCitation":"(11)"},"properties":{"noteIndex":0},"schema":"https://github.com/citation-style-language/schema/raw/master/csl-citation.json"}</w:instrText>
      </w:r>
      <w:r w:rsidRPr="4A2AA5A2">
        <w:rPr>
          <w:rFonts w:ascii="Times New Roman" w:hAnsi="Times New Roman" w:cs="Times New Roman"/>
          <w:sz w:val="24"/>
          <w:szCs w:val="24"/>
        </w:rPr>
        <w:fldChar w:fldCharType="separate"/>
      </w:r>
      <w:r w:rsidR="00105048" w:rsidRPr="4A2AA5A2">
        <w:rPr>
          <w:rFonts w:ascii="Times New Roman" w:hAnsi="Times New Roman" w:cs="Times New Roman"/>
          <w:noProof/>
          <w:sz w:val="24"/>
          <w:szCs w:val="24"/>
          <w:lang w:val="es-419"/>
        </w:rPr>
        <w:t>(11)</w:t>
      </w:r>
      <w:r w:rsidRPr="4A2AA5A2">
        <w:rPr>
          <w:rFonts w:ascii="Times New Roman" w:hAnsi="Times New Roman" w:cs="Times New Roman"/>
          <w:sz w:val="24"/>
          <w:szCs w:val="24"/>
        </w:rPr>
        <w:fldChar w:fldCharType="end"/>
      </w:r>
      <w:r w:rsidRPr="4A2AA5A2">
        <w:rPr>
          <w:rFonts w:ascii="Times New Roman" w:hAnsi="Times New Roman" w:cs="Times New Roman"/>
          <w:sz w:val="24"/>
          <w:szCs w:val="24"/>
          <w:lang w:val="es-419"/>
        </w:rPr>
        <w:t>, baja escolaridad, deterioro cognitivo previo, alto índice de comorbilidades (Índice de comorbilidad de Charlson</w:t>
      </w:r>
      <w:r w:rsidR="007F699E" w:rsidRPr="4A2AA5A2">
        <w:rPr>
          <w:rFonts w:ascii="Times New Roman" w:eastAsia="Symbol" w:hAnsi="Times New Roman" w:cs="Times New Roman"/>
          <w:sz w:val="24"/>
          <w:szCs w:val="24"/>
        </w:rPr>
        <w:t>&gt;</w:t>
      </w:r>
      <w:r w:rsidRPr="4A2AA5A2">
        <w:rPr>
          <w:rFonts w:ascii="Times New Roman" w:hAnsi="Times New Roman" w:cs="Times New Roman"/>
          <w:sz w:val="24"/>
          <w:szCs w:val="24"/>
          <w:lang w:val="es-419"/>
        </w:rPr>
        <w:t>3), mayor duración del delirum</w:t>
      </w:r>
      <w:r w:rsidRPr="4A2AA5A2">
        <w:rPr>
          <w:rFonts w:ascii="Times New Roman" w:hAnsi="Times New Roman" w:cs="Times New Roman"/>
          <w:sz w:val="24"/>
          <w:szCs w:val="24"/>
        </w:rPr>
        <w:fldChar w:fldCharType="begin" w:fldLock="1"/>
      </w:r>
      <w:r w:rsidRPr="4A2AA5A2">
        <w:rPr>
          <w:rFonts w:ascii="Times New Roman" w:hAnsi="Times New Roman" w:cs="Times New Roman"/>
          <w:sz w:val="24"/>
          <w:szCs w:val="24"/>
          <w:lang w:val="es-419"/>
        </w:rPr>
        <w:instrText>ADDIN CSL_CITATION {"citationItems":[{"id":"ITEM-1","itemData":{"DOI":"10.1001/jamaneurol.2020.2273","ISSN":"21686157","PMID":"32658246","abstract":"Importance: Delirium is associated with increased hospital costs, health care complications, and increased mortality. Long-term consequences of delirium on cognition have not been synthesized and quantified via meta-analysis. Objective: To determine if an episode of delirium was an independent risk factor for long-term cognitive decline, and if it was, whether it was causative or an epiphenomenon in already compromised individuals. Data Sources: A systematic search in PubMed, Cochrane, and Embase was conducted from January 1, 1965, to December 31, 2018. A systematic review guided by Preferred Reporting Items for Systematic Reviews and Meta-analyses was conducted. Search terms included delirium AND postoperative cognitive dysfunction; delirium and cognitive decline; delirium AND dementia; and delirium AND memory. Study Selection: Inclusion criteria for studies included contrast between groups with delirium and without delirium; an objective continuous or binary measure of cognitive outcome; a final time point of 3 or more months after the delirium episode. The electronic search was conducted according to established methodologies and was executed on October 17, 2018. Data Extraction and Synthesis: Three authors extracted data on individual characteristics, study design, and outcome, followed by a second independent check on outcome measures. Effect sizes were calculated as Hedges g. If necessary, binary outcomes were also converted to g. Only a single effect size was calculated for each study. Main Outcomes and Measures: The planned main outcome was magnitude of cognitive decline in Hedges g effect size in delirium groups when contrasted with groups that did not experience delirium. Results: Of 1583 articles, data subjected from the 24 studies (including 3562 patients who experienced delirium and 6987 controls who did not) were included in a random-effects meta-analysis for pooled effect estimates and random-effects meta-regressions to identify sources of study variance. One study was excluded as an outlier. There was a significant association between delirium and long-term cognitive decline, as the estimated effect size (Hedges g) for 23 studies was 0.45 (95% CI, 0.34-0.57; P &lt;.001). In all studies, the group that experienced delirium had worse cognition at the final time point. The I2measure of between-study variability in g was 0.81. A multivariable meta-regression suggested that duration of follow-up (longer with larger gs), number of covariates cont…","author":[{"dropping-particle":"","family":"Goldberg","given":"Terry E.","non-dropping-particle":"","parse-names":false,"suffix":""},{"dropping-particle":"","family":"Chen","given":"Chen","non-dropping-particle":"","parse-names":false,"suffix":""},{"dropping-particle":"","family":"Wang","given":"Yuanjia","non-dropping-particle":"","parse-names":false,"suffix":""},{"dropping-particle":"","family":"Jung","given":"Eunice","non-dropping-particle":"","parse-names":false,"suffix":""},{"dropping-particle":"","family":"Swanson","given":"Antoinette","non-dropping-particle":"","parse-names":false,"suffix":""},{"dropping-particle":"","family":"Ing","given":"Caleb","non-dropping-particle":"","parse-names":false,"suffix":""},{"dropping-particle":"","family":"Garcia","given":"Paul S.","non-dropping-particle":"","parse-names":false,"suffix":""},{"dropping-particle":"","family":"Whittington","given":"Robert A.","non-dropping-particle":"","parse-names":false,"suffix":""},{"dropping-particle":"","family":"Moitra","given":"Vivek","non-dropping-particle":"","parse-names":false,"suffix":""}],"container-title":"JAMA Neurology","id":"ITEM-1","issue":"11","issued":{"date-parts":[["2020"]]},"page":"1373-1381","title":"Association of delirium with long-term cognitive decline: A meta-analysis","type":"article-journal","volume":"77"},"uris":["http://www.mendeley.com/documents/?uuid=5c9ad181-6ae0-493e-a900-568cbdc7f907"]}],"mendeley":{"formattedCitation":"(12)","plainTextFormattedCitation":"(12)","previouslyFormattedCitation":"(12)"},"properties":{"noteIndex":0},"schema":"https://github.com/citation-style-language/schema/raw/master/csl-citation.json"}</w:instrText>
      </w:r>
      <w:r w:rsidRPr="4A2AA5A2">
        <w:rPr>
          <w:rFonts w:ascii="Times New Roman" w:hAnsi="Times New Roman" w:cs="Times New Roman"/>
          <w:sz w:val="24"/>
          <w:szCs w:val="24"/>
        </w:rPr>
        <w:fldChar w:fldCharType="separate"/>
      </w:r>
      <w:r w:rsidR="00105048" w:rsidRPr="4A2AA5A2">
        <w:rPr>
          <w:rFonts w:ascii="Times New Roman" w:hAnsi="Times New Roman" w:cs="Times New Roman"/>
          <w:noProof/>
          <w:sz w:val="24"/>
          <w:szCs w:val="24"/>
          <w:lang w:val="es-419"/>
        </w:rPr>
        <w:t>(12)</w:t>
      </w:r>
      <w:r w:rsidRPr="4A2AA5A2">
        <w:rPr>
          <w:rFonts w:ascii="Times New Roman" w:hAnsi="Times New Roman" w:cs="Times New Roman"/>
          <w:sz w:val="24"/>
          <w:szCs w:val="24"/>
        </w:rPr>
        <w:fldChar w:fldCharType="end"/>
      </w:r>
      <w:r w:rsidRPr="4A2AA5A2">
        <w:rPr>
          <w:rFonts w:ascii="Times New Roman" w:hAnsi="Times New Roman" w:cs="Times New Roman"/>
          <w:sz w:val="24"/>
          <w:szCs w:val="24"/>
          <w:lang w:val="es-419"/>
        </w:rPr>
        <w:t xml:space="preserve">, más días de ventilación mecánica (VM), sepsis severa y presentar hipoxemia </w:t>
      </w:r>
      <w:r w:rsidRPr="4A2AA5A2">
        <w:rPr>
          <w:rFonts w:ascii="Times New Roman" w:hAnsi="Times New Roman" w:cs="Times New Roman"/>
          <w:sz w:val="24"/>
          <w:szCs w:val="24"/>
        </w:rPr>
        <w:fldChar w:fldCharType="begin" w:fldLock="1"/>
      </w:r>
      <w:r w:rsidRPr="4A2AA5A2">
        <w:rPr>
          <w:rFonts w:ascii="Times New Roman" w:hAnsi="Times New Roman" w:cs="Times New Roman"/>
          <w:sz w:val="24"/>
          <w:szCs w:val="24"/>
          <w:lang w:val="es-419"/>
        </w:rPr>
        <w:instrText>ADDIN CSL_CITATION {"citationItems":[{"id":"ITEM-1","itemData":{"DOI":"10.1097/MCC.0000000000000527","ISBN":"0000000000000","ISSN":"15317072","PMID":"30036191","abstract":"Purpose of review There is an increasing realization in the critical care community that persistent cognitive impairment is a common and disabling complication after ICU care. In this review, we discuss the best available information on the magnitude of the problem, its possible mechanisms, risk factors, management strategies and prognosis. Recent findings Estimates of the incidence of persistent cognitive impairment after critical illness vary widely across studies but the most solid prospective information indicates that it may occur in 20–40% of patients discharged from the ICU. From the available evidence, it is difficult to discriminate between de novo cognitive impairment and exacerbation of preexistent cognitive decline. The pathogenesis is multifactorial but inflammatory mechanisms causing derangements of endothelial function and blood–brain barrier integrity might play an important role. Brain atrophy and white matter tract disruption can be structural correlates of the cognitive decline. Prolonged delirium in the ICU is the strongest risk factor for the development of subsequent persistent cognitive impairment. Management strategies are currently limited to those designed to prevent and improve delirium. Cognitive trajectories may vary but a substantial proportion of patients with cognitive impairment 3 months after ICU discharge are still cognitively impaired at 12 months. Summary Persistent cognitive impairment is a major complication of critical illness. Our knowledge of this problem remains incomplete. Collaborative research is indispensable to improve our understanding of this disabling sequel and to identify ways to prevent it.","author":[{"dropping-particle":"","family":"Sakusic","given":"Amra","non-dropping-particle":"","parse-names":false,"suffix":""},{"dropping-particle":"","family":"Rabinstein","given":"Alejandro A.","non-dropping-particle":"","parse-names":false,"suffix":""}],"container-title":"Current Opinion in Critical Care","id":"ITEM-1","issue":"5","issued":{"date-parts":[["2018"]]},"page":"410-414","title":"Cognitive outcomes after critical illness","type":"article-journal","volume":"24"},"uris":["http://www.mendeley.com/documents/?uuid=a890c097-7be6-4893-9421-05fa24e7c901"]},{"id":"ITEM-2","itemData":{"DOI":"10.1213/ANE.0000000000004066","ISBN":"0000000000","ISSN":"15267598","PMID":"30883422","abstract":"As critical illness survivorship increases, patients and health care providers are faced with management of long-term sequelae including cognitive and functional impairment. Longitudinal studies have demonstrated impairments persisting at least 1–5 years after hospitalization for critical illness. Cognitive domains impacted include memory, attention, and processing speed. Functional impairments include physical weakness, reduced endurance, and dependence on others for basic tasks of daily living such as bathing or feeding. In characterizing the trajectory of long-term recovery, multiple risk factors have been identified for subsequent impairment, including increased severity of illness and severe sepsis, prolonged mechanical ventilation, and delirium. Preadmission status including frailty, high level of preexisting comorbidities, and baseline cognitive dysfunction are also associated with impairment after critical illness. Development of cognitive and functional impairment is likely multifactorial, and multiple mechanistic theories have been proposed. Neuroinflammation, disruption of the blood–brain barrier, and structural alterations in the brain have all been observed in patients with long-term cognitive dysfunction. Systemic inflammation has also been associated with alterations in muscle integrity and function, which is associated with intensive care unit–acquired weakness and prolonged functional impairment. Efforts to ease the burden of long-term impairments include prevention strategies and rehabilitation interventions after discharge. Delirium is a well-established risk factor for long-term cognitive dysfunction, and using delirium-prevention strategies may be important for cognitive protection. Current evidence favors minimizing overall sedation exposure, careful selection of sedation agents including avoidance of benzodiazepines, and targeted sedation goals to avoid oversedation. Daily awakening and spontaneous breathing trials and early mobilization have shown benefit in both cognitive and functional outcomes. Multifactorial prevention bundles are useful tools in improving care provided to patients in the intensive care unit. Data regarding cognitive rehabilitation are limited, while studies on functional rehabilitation have conflicting results. Continued investigation and implementation of prevention strategies and rehabilitation interventions will hopefully improve the quality of life for the ever-increasing population of critical illness s…","author":[{"dropping-particle":"","family":"Rengel","given":"Kimberly F.","non-dropping-particle":"","parse-names":false,"suffix":""},{"dropping-particle":"","family":"Hayhurst","given":"Christina J.","non-dropping-particle":"","parse-names":false,"suffix":""},{"dropping-particle":"","family":"Pandharipande","given":"Pratik P.","non-dropping-particle":"","parse-names":false,"suffix":""},{"dropping-particle":"","family":"Hughes","given":"Christopher G.","non-dropping-particle":"","parse-names":false,"suffix":""}],"container-title":"Anesthesia and Analgesia","id":"ITEM-2","issue":"4","issued":{"date-parts":[["2019"]]},"page":"772-780","title":"Long-term Cognitive and Functional Impairments After Critical Illness","type":"article-journal","volume":"128"},"uris":["http://www.mendeley.com/documents/?uuid=b1a13627-9db5-4391-9ce7-e0d94d3a295b"]},{"id":"ITEM-3","itemData":{"DOI":"10.1001/jamaneurol.2020.2273","ISSN":"21686157","PMID":"32658246","abstract":"Importance: Delirium is associated with increased hospital costs, health care complications, and increased mortality. Long-term consequences of delirium on cognition have not been synthesized and quantified via meta-analysis. Objective: To determine if an episode of delirium was an independent risk factor for long-term cognitive decline, and if it was, whether it was causative or an epiphenomenon in already compromised individuals. Data Sources: A systematic search in PubMed, Cochrane, and Embase was conducted from January 1, 1965, to December 31, 2018. A systematic review guided by Preferred Reporting Items for Systematic Reviews and Meta-analyses was conducted. Search terms included delirium AND postoperative cognitive dysfunction; delirium and cognitive decline; delirium AND dementia; and delirium AND memory. Study Selection: Inclusion criteria for studies included contrast between groups with delirium and without delirium; an objective continuous or binary measure of cognitive outcome; a final time point of 3 or more months after the delirium episode. The electronic search was conducted according to established methodologies and was executed on October 17, 2018. Data Extraction and Synthesis: Three authors extracted data on individual characteristics, study design, and outcome, followed by a second independent check on outcome measures. Effect sizes were calculated as Hedges g. If necessary, binary outcomes were also converted to g. Only a single effect size was calculated for each study. Main Outcomes and Measures: The planned main outcome was magnitude of cognitive decline in Hedges g effect size in delirium groups when contrasted with groups that did not experience delirium. Results: Of 1583 articles, data subjected from the 24 studies (including 3562 patients who experienced delirium and 6987 controls who did not) were included in a random-effects meta-analysis for pooled effect estimates and random-effects meta-regressions to identify sources of study variance. One study was excluded as an outlier. There was a significant association between delirium and long-term cognitive decline, as the estimated effect size (Hedges g) for 23 studies was 0.45 (95% CI, 0.34-0.57; P &lt;.001). In all studies, the group that experienced delirium had worse cognition at the final time point. The I2measure of between-study variability in g was 0.81. A multivariable meta-regression suggested that duration of follow-up (longer with larger gs), number of covariates cont…","author":[{"dropping-particle":"","family":"Goldberg","given":"Terry E.","non-dropping-particle":"","parse-names":false,"suffix":""},{"dropping-particle":"","family":"Chen","given":"Chen","non-dropping-particle":"","parse-names":false,"suffix":""},{"dropping-particle":"","family":"Wang","given":"Yuanjia","non-dropping-particle":"","parse-names":false,"suffix":""},{"dropping-particle":"","family":"Jung","given":"Eunice","non-dropping-particle":"","parse-names":false,"suffix":""},{"dropping-particle":"","family":"Swanson","given":"Antoinette","non-dropping-particle":"","parse-names":false,"suffix":""},{"dropping-particle":"","family":"Ing","given":"Caleb","non-dropping-particle":"","parse-names":false,"suffix":""},{"dropping-particle":"","family":"Garcia","given":"Paul S.","non-dropping-particle":"","parse-names":false,"suffix":""},{"dropping-particle":"","family":"Whittington","given":"Robert A.","non-dropping-particle":"","parse-names":false,"suffix":""},{"dropping-particle":"","family":"Moitra","given":"Vivek","non-dropping-particle":"","parse-names":false,"suffix":""}],"container-title":"JAMA Neurology","id":"ITEM-3","issue":"11","issued":{"date-parts":[["2020"]]},"page":"1373-1381","title":"Association of delirium with long-term cognitive decline: A meta-analysis","type":"article-journal","volume":"77"},"uris":["http://www.mendeley.com/documents/?uuid=5c9ad181-6ae0-493e-a900-568cbdc7f907"]}],"mendeley":{"formattedCitation":"(6,12,13)","plainTextFormattedCitation":"(6,12,13)","previouslyFormattedCitation":"(6,12,13)"},"properties":{"noteIndex":0},"schema":"https://github.com/citation-style-language/schema/raw/master/csl-citation.json"}</w:instrText>
      </w:r>
      <w:r w:rsidRPr="4A2AA5A2">
        <w:rPr>
          <w:rFonts w:ascii="Times New Roman" w:hAnsi="Times New Roman" w:cs="Times New Roman"/>
          <w:sz w:val="24"/>
          <w:szCs w:val="24"/>
        </w:rPr>
        <w:fldChar w:fldCharType="separate"/>
      </w:r>
      <w:r w:rsidR="00105048" w:rsidRPr="4A2AA5A2">
        <w:rPr>
          <w:rFonts w:ascii="Times New Roman" w:hAnsi="Times New Roman" w:cs="Times New Roman"/>
          <w:noProof/>
          <w:sz w:val="24"/>
          <w:szCs w:val="24"/>
          <w:lang w:val="es-419"/>
        </w:rPr>
        <w:t>(6,12,13)</w:t>
      </w:r>
      <w:r w:rsidRPr="4A2AA5A2">
        <w:rPr>
          <w:rFonts w:ascii="Times New Roman" w:hAnsi="Times New Roman" w:cs="Times New Roman"/>
          <w:sz w:val="24"/>
          <w:szCs w:val="24"/>
        </w:rPr>
        <w:fldChar w:fldCharType="end"/>
      </w:r>
      <w:r w:rsidRPr="4A2AA5A2">
        <w:rPr>
          <w:rFonts w:ascii="Times New Roman" w:hAnsi="Times New Roman" w:cs="Times New Roman"/>
          <w:sz w:val="24"/>
          <w:szCs w:val="24"/>
          <w:lang w:val="es-419"/>
        </w:rPr>
        <w:t xml:space="preserve"> se han identificado como </w:t>
      </w:r>
      <w:r w:rsidR="78242315" w:rsidRPr="4A2AA5A2">
        <w:rPr>
          <w:rFonts w:ascii="Times New Roman" w:hAnsi="Times New Roman" w:cs="Times New Roman"/>
          <w:sz w:val="24"/>
          <w:szCs w:val="24"/>
          <w:lang w:val="es-419"/>
        </w:rPr>
        <w:t xml:space="preserve">factores de riesgo de presentar deterioro cognitivo a corto y mediano </w:t>
      </w:r>
      <w:r w:rsidR="213B2DD6" w:rsidRPr="4A2AA5A2">
        <w:rPr>
          <w:rFonts w:ascii="Times New Roman" w:hAnsi="Times New Roman" w:cs="Times New Roman"/>
          <w:sz w:val="24"/>
          <w:szCs w:val="24"/>
          <w:lang w:val="es-419"/>
        </w:rPr>
        <w:t>p</w:t>
      </w:r>
      <w:r w:rsidR="78242315" w:rsidRPr="4A2AA5A2">
        <w:rPr>
          <w:rFonts w:ascii="Times New Roman" w:hAnsi="Times New Roman" w:cs="Times New Roman"/>
          <w:sz w:val="24"/>
          <w:szCs w:val="24"/>
          <w:lang w:val="es-419"/>
        </w:rPr>
        <w:t>lazo</w:t>
      </w:r>
      <w:r w:rsidRPr="4A2AA5A2">
        <w:rPr>
          <w:rFonts w:ascii="Times New Roman" w:hAnsi="Times New Roman" w:cs="Times New Roman"/>
          <w:sz w:val="24"/>
          <w:szCs w:val="24"/>
          <w:lang w:val="es-419"/>
        </w:rPr>
        <w:t>.</w:t>
      </w:r>
      <w:r w:rsidR="4766323B" w:rsidRPr="4A2AA5A2">
        <w:rPr>
          <w:rFonts w:ascii="Times New Roman" w:hAnsi="Times New Roman" w:cs="Times New Roman"/>
          <w:sz w:val="24"/>
          <w:szCs w:val="24"/>
          <w:lang w:val="es-419"/>
        </w:rPr>
        <w:t xml:space="preserve"> </w:t>
      </w:r>
      <w:r w:rsidRPr="4A2AA5A2">
        <w:rPr>
          <w:rFonts w:ascii="Times New Roman" w:hAnsi="Times New Roman" w:cs="Times New Roman"/>
          <w:sz w:val="24"/>
          <w:szCs w:val="24"/>
          <w:lang w:val="es-419"/>
        </w:rPr>
        <w:t>A pesar de que existen factores de riesgo de deterioro cognitivo establecidos</w:t>
      </w:r>
      <w:r w:rsidR="3311E5BE" w:rsidRPr="4A2AA5A2">
        <w:rPr>
          <w:rFonts w:ascii="Times New Roman" w:hAnsi="Times New Roman" w:cs="Times New Roman"/>
          <w:sz w:val="24"/>
          <w:szCs w:val="24"/>
          <w:lang w:val="es-419"/>
        </w:rPr>
        <w:t xml:space="preserve">, </w:t>
      </w:r>
      <w:r w:rsidR="139A4D43" w:rsidRPr="4A2AA5A2">
        <w:rPr>
          <w:rFonts w:ascii="Times New Roman" w:hAnsi="Times New Roman" w:cs="Times New Roman"/>
          <w:sz w:val="24"/>
          <w:szCs w:val="24"/>
          <w:lang w:val="es-419"/>
        </w:rPr>
        <w:t>l</w:t>
      </w:r>
      <w:r w:rsidR="1D236BD7" w:rsidRPr="4A2AA5A2">
        <w:rPr>
          <w:rFonts w:ascii="Times New Roman" w:hAnsi="Times New Roman" w:cs="Times New Roman"/>
          <w:sz w:val="24"/>
          <w:szCs w:val="24"/>
          <w:lang w:val="es-419"/>
        </w:rPr>
        <w:t>a pandemia por COVID-19 agrega elementos</w:t>
      </w:r>
      <w:r w:rsidR="42AE6BED" w:rsidRPr="4A2AA5A2">
        <w:rPr>
          <w:rFonts w:ascii="Times New Roman" w:hAnsi="Times New Roman" w:cs="Times New Roman"/>
          <w:sz w:val="24"/>
          <w:szCs w:val="24"/>
          <w:lang w:val="es-419"/>
        </w:rPr>
        <w:t xml:space="preserve"> nuevos</w:t>
      </w:r>
      <w:r w:rsidR="1D236BD7" w:rsidRPr="4A2AA5A2">
        <w:rPr>
          <w:rFonts w:ascii="Times New Roman" w:hAnsi="Times New Roman" w:cs="Times New Roman"/>
          <w:sz w:val="24"/>
          <w:szCs w:val="24"/>
          <w:lang w:val="es-419"/>
        </w:rPr>
        <w:t>. Por un lado, las características de la enfermedad y por otro, la presión al sistema sanitario, la forma de atención</w:t>
      </w:r>
      <w:r w:rsidR="50B26C9B" w:rsidRPr="4A2AA5A2">
        <w:rPr>
          <w:rFonts w:ascii="Times New Roman" w:hAnsi="Times New Roman" w:cs="Times New Roman"/>
          <w:sz w:val="24"/>
          <w:szCs w:val="24"/>
          <w:lang w:val="es-419"/>
        </w:rPr>
        <w:t xml:space="preserve">, </w:t>
      </w:r>
      <w:r w:rsidR="60007FAF" w:rsidRPr="4A2AA5A2">
        <w:rPr>
          <w:rFonts w:ascii="Times New Roman" w:hAnsi="Times New Roman" w:cs="Times New Roman"/>
          <w:sz w:val="24"/>
          <w:szCs w:val="24"/>
          <w:lang w:val="es-419"/>
        </w:rPr>
        <w:t xml:space="preserve">los </w:t>
      </w:r>
      <w:r w:rsidR="50B26C9B" w:rsidRPr="4A2AA5A2">
        <w:rPr>
          <w:rFonts w:ascii="Times New Roman" w:hAnsi="Times New Roman" w:cs="Times New Roman"/>
          <w:sz w:val="24"/>
          <w:szCs w:val="24"/>
          <w:lang w:val="es-419"/>
        </w:rPr>
        <w:t xml:space="preserve">recursos y su disponibilidad, </w:t>
      </w:r>
      <w:r w:rsidR="60007FAF" w:rsidRPr="4A2AA5A2">
        <w:rPr>
          <w:rFonts w:ascii="Times New Roman" w:hAnsi="Times New Roman" w:cs="Times New Roman"/>
          <w:sz w:val="24"/>
          <w:szCs w:val="24"/>
          <w:lang w:val="es-419"/>
        </w:rPr>
        <w:t xml:space="preserve">el </w:t>
      </w:r>
      <w:r w:rsidR="50B26C9B" w:rsidRPr="4A2AA5A2">
        <w:rPr>
          <w:rFonts w:ascii="Times New Roman" w:hAnsi="Times New Roman" w:cs="Times New Roman"/>
          <w:sz w:val="24"/>
          <w:szCs w:val="24"/>
          <w:lang w:val="es-419"/>
        </w:rPr>
        <w:t>entrenamiento</w:t>
      </w:r>
      <w:r w:rsidR="60007FAF" w:rsidRPr="4A2AA5A2">
        <w:rPr>
          <w:rFonts w:ascii="Times New Roman" w:hAnsi="Times New Roman" w:cs="Times New Roman"/>
          <w:sz w:val="24"/>
          <w:szCs w:val="24"/>
          <w:lang w:val="es-419"/>
        </w:rPr>
        <w:t xml:space="preserve"> del personal</w:t>
      </w:r>
      <w:r w:rsidR="1D236BD7" w:rsidRPr="4A2AA5A2">
        <w:rPr>
          <w:rFonts w:ascii="Times New Roman" w:hAnsi="Times New Roman" w:cs="Times New Roman"/>
          <w:sz w:val="24"/>
          <w:szCs w:val="24"/>
          <w:lang w:val="es-419"/>
        </w:rPr>
        <w:t xml:space="preserve"> y </w:t>
      </w:r>
      <w:r w:rsidR="60007FAF" w:rsidRPr="4A2AA5A2">
        <w:rPr>
          <w:rFonts w:ascii="Times New Roman" w:hAnsi="Times New Roman" w:cs="Times New Roman"/>
          <w:sz w:val="24"/>
          <w:szCs w:val="24"/>
          <w:lang w:val="es-419"/>
        </w:rPr>
        <w:t xml:space="preserve">la </w:t>
      </w:r>
      <w:r w:rsidR="1D236BD7" w:rsidRPr="4A2AA5A2">
        <w:rPr>
          <w:rFonts w:ascii="Times New Roman" w:hAnsi="Times New Roman" w:cs="Times New Roman"/>
          <w:sz w:val="24"/>
          <w:szCs w:val="24"/>
          <w:lang w:val="es-419"/>
        </w:rPr>
        <w:t>organización de las unidades de paciente crítico para cubrir una pandemia</w:t>
      </w:r>
      <w:r w:rsidR="50B26C9B" w:rsidRPr="4A2AA5A2">
        <w:rPr>
          <w:rFonts w:ascii="Times New Roman" w:hAnsi="Times New Roman" w:cs="Times New Roman"/>
          <w:sz w:val="24"/>
          <w:szCs w:val="24"/>
          <w:lang w:val="es-419"/>
        </w:rPr>
        <w:t xml:space="preserve">. </w:t>
      </w:r>
      <w:r w:rsidRPr="4A2AA5A2">
        <w:rPr>
          <w:rFonts w:ascii="Times New Roman" w:hAnsi="Times New Roman" w:cs="Times New Roman"/>
          <w:sz w:val="24"/>
          <w:szCs w:val="24"/>
          <w:lang w:val="es-419"/>
        </w:rPr>
        <w:fldChar w:fldCharType="begin" w:fldLock="1"/>
      </w:r>
      <w:r w:rsidRPr="4A2AA5A2">
        <w:rPr>
          <w:rFonts w:ascii="Times New Roman" w:hAnsi="Times New Roman" w:cs="Times New Roman"/>
          <w:sz w:val="24"/>
          <w:szCs w:val="24"/>
          <w:lang w:val="es-419"/>
        </w:rPr>
        <w:instrText>ADDIN CSL_CITATION {"citationItems":[{"id":"ITEM-1","itemData":{"DOI":"10.3390/ijerph191610332","ISSN":"16604601","PMID":"36011970","abstract":"The COVID-19 pandemic has exposed gaps and areas of need in health systems worldwide. This work aims to map the evidence on COVID-19-related healthcare needs of adult patients, their family members, and the professionals involved in their care during the first year of the pandemic. We searched the databases MEDLINE, Embase, and Web of Science. Two reviewers independently screened titles and abstracts and assessed full texts for eligibility. Disagreements were resolved by consensus. Descriptive data were extracted and inductive qualitative content analysis was used to generate codes and derive overarching themes. Thirty-six studies met inclusion criteria, with the majority reporting needs from the perspective of professionals (35/36). Professionals’ needs were grouped into three main clusters (basic, occupational, and psycho-socio-emotional needs); patients’ needs into four (basic, healthcare, psycho-socio-emotional, and other support needs); and family members’ needs into two (psycho-socio-emotional and communication needs). Transversal needs across subgroups were also identified and grouped into three main clusters (public safety, information and communication, and coordination and support needs). This evidence map provides valuable insight on COVID-19-related healthcare needs. More research is needed to assess first-person perspectives of patients and their families, examine whether needs differ by country or region, and evaluate how needs have evolved over time.","author":[{"dropping-particle":"","family":"Aparicio Betancourt","given":"Mariana","non-dropping-particle":"","parse-names":false,"suffix":""},{"dropping-particle":"","family":"Duarte-Díaz","given":"Andrea","non-dropping-particle":"","parse-names":false,"suffix":""},{"dropping-particle":"","family":"Vall-Roqué","given":"Helena","non-dropping-particle":"","parse-names":false,"suffix":""},{"dropping-particle":"","family":"Seils","given":"Laura","non-dropping-particle":"","parse-names":false,"suffix":""},{"dropping-particle":"","family":"Orrego","given":"Carola","non-dropping-particle":"","parse-names":false,"suffix":""},{"dropping-particle":"","family":"Perestelo-Pérez","given":"Lilisbeth","non-dropping-particle":"","parse-names":false,"suffix":""},{"dropping-particle":"","family":"Barrio-Cortes","given":"Jaime","non-dropping-particle":"","parse-names":false,"suffix":""},{"dropping-particle":"","family":"Beca-Martínez","given":"María Teresa","non-dropping-particle":"","parse-names":false,"suffix":""},{"dropping-particle":"","family":"Molina Serrano","given":"Almudena","non-dropping-particle":"","parse-names":false,"suffix":""},{"dropping-particle":"","family":"Bermejo-Caja","given":"Carlos Jesús","non-dropping-particle":"","parse-names":false,"suffix":""},{"dropping-particle":"","family":"González-González","given":"Ana Isabel","non-dropping-particle":"","parse-names":false,"suffix":""}],"container-title":"International Journal of Environmental Research and Public Health","id":"ITEM-1","issue":"16","issued":{"date-parts":[["2022"]]},"page":"1-23","title":"Global Healthcare Needs Related to COVID-19: An Evidence Map of the First Year of the Pandemic","type":"article-journal","volume":"19"},"uris":["http://www.mendeley.com/documents/?uuid=cf830a63-9369-45ac-9780-37e6acbcec3c"]}],"mendeley":{"formattedCitation":"(14)","plainTextFormattedCitation":"(14)","previouslyFormattedCitation":"(14)"},"properties":{"noteIndex":0},"schema":"https://github.com/citation-style-language/schema/raw/master/csl-citation.json"}</w:instrText>
      </w:r>
      <w:r w:rsidRPr="4A2AA5A2">
        <w:rPr>
          <w:rFonts w:ascii="Times New Roman" w:hAnsi="Times New Roman" w:cs="Times New Roman"/>
          <w:sz w:val="24"/>
          <w:szCs w:val="24"/>
          <w:lang w:val="es-419"/>
        </w:rPr>
        <w:fldChar w:fldCharType="separate"/>
      </w:r>
      <w:r w:rsidR="00105048" w:rsidRPr="4A2AA5A2">
        <w:rPr>
          <w:rFonts w:ascii="Times New Roman" w:hAnsi="Times New Roman" w:cs="Times New Roman"/>
          <w:noProof/>
          <w:sz w:val="24"/>
          <w:szCs w:val="24"/>
        </w:rPr>
        <w:t>(14)</w:t>
      </w:r>
      <w:r w:rsidRPr="4A2AA5A2">
        <w:rPr>
          <w:rFonts w:ascii="Times New Roman" w:hAnsi="Times New Roman" w:cs="Times New Roman"/>
          <w:sz w:val="24"/>
          <w:szCs w:val="24"/>
          <w:lang w:val="es-419"/>
        </w:rPr>
        <w:fldChar w:fldCharType="end"/>
      </w:r>
      <w:r w:rsidRPr="4A2AA5A2">
        <w:rPr>
          <w:rFonts w:ascii="Times New Roman" w:hAnsi="Times New Roman" w:cs="Times New Roman"/>
          <w:sz w:val="24"/>
          <w:szCs w:val="24"/>
          <w:lang w:val="es-419"/>
        </w:rPr>
        <w:fldChar w:fldCharType="begin" w:fldLock="1"/>
      </w:r>
      <w:r w:rsidRPr="4A2AA5A2">
        <w:rPr>
          <w:rFonts w:ascii="Times New Roman" w:hAnsi="Times New Roman" w:cs="Times New Roman"/>
          <w:sz w:val="24"/>
          <w:szCs w:val="24"/>
          <w:lang w:val="es-419"/>
        </w:rPr>
        <w:instrText>ADDIN CSL_CITATION {"citationItems":[{"id":"ITEM-1","itemData":{"DOI":"10.1186/s13054-020-02882-x","ISSN":"1466609X","PMID":"32345343","abstract":"The novel coronavirus, SARS-CoV-2-causing Coronavirus Disease 19 (COVID-19), emerged as a public health threat in December 2019 and was declared a pandemic by the World Health Organization in March 2020. Delirium, a dangerous untoward prognostic development, serves as a barometer of systemic injury in critical illness. The early reports of 25% encephalopathy from China are likely a gross underestimation, which we know occurs whenever delirium is not monitored with a valid tool. Indeed, patients with COVID-19 are at accelerated risk for delirium due to at least seven factors including (1) direct central nervous system (CNS) invasion, (2) induction of CNS inflammatory mediators, (3) secondary effect of other organ system failure, (4) effect of sedative strategies, (5) prolonged mechanical ventilation time, (6) immobilization, and (7) other needed but unfortunate environmental factors including social isolation and quarantine without family. Given early insights into the pathobiology of the virus, as well as the emerging interventions utilized to treat the critically ill patients, delirium prevention and management will prove exceedingly challenging, especially in the intensive care unit (ICU). The main focus during the COVID-19 pandemic lies within organizational issues, i.e., lack of ventilators, shortage of personal protection equipment, resource allocation, prioritization of limited mechanical ventilation options, and end-of-life care. However, the standard of care for ICU patients, including delirium management, must remain the highest quality possible with an eye towards long-term survival and minimization of issues related to post-intensive care syndrome (PICS). This article discusses how ICU professionals (e.g., physicians, nurses, physiotherapists, pharmacologists) can use our knowledge and resources to limit the burden of delirium on patients by reducing modifiable risk factors despite the imposed heavy workload and difficult clinical challenges posed by the pandemic.","author":[{"dropping-particle":"","family":"Kotfis","given":"Katarzyna","non-dropping-particle":"","parse-names":false,"suffix":""},{"dropping-particle":"","family":"Williams Roberson","given":"Shawniqua","non-dropping-particle":"","parse-names":false,"suffix":""},{"dropping-particle":"","family":"Wilson","given":"Jo Ellen","non-dropping-particle":"","parse-names":false,"suffix":""},{"dropping-particle":"","family":"Dabrowski","given":"Wojciech","non-dropping-particle":"","parse-names":false,"suffix":""},{"dropping-particle":"","family":"Pun","given":"Brenda T.","non-dropping-particle":"","parse-names":false,"suffix":""},{"dropping-particle":"","family":"Ely","given":"E. Wesley","non-dropping-particle":"","parse-names":false,"suffix":""}],"container-title":"Critical Care","id":"ITEM-1","issue":"1","issued":{"date-parts":[["2020"]]},"page":"1-9","publisher":"Critical Care","title":"COVID-19: ICU delirium management during SARS-CoV-2 pandemic","type":"article-journal","volume":"24"},"uris":["http://www.mendeley.com/documents/?uuid=e3e03c0a-1823-4ab2-acef-0e768894bcea"]}],"mendeley":{"formattedCitation":"(15)","plainTextFormattedCitation":"(15)","previouslyFormattedCitation":"(15)"},"properties":{"noteIndex":0},"schema":"https://github.com/citation-style-language/schema/raw/master/csl-citation.json"}</w:instrText>
      </w:r>
      <w:r w:rsidRPr="4A2AA5A2">
        <w:rPr>
          <w:rFonts w:ascii="Times New Roman" w:hAnsi="Times New Roman" w:cs="Times New Roman"/>
          <w:sz w:val="24"/>
          <w:szCs w:val="24"/>
          <w:lang w:val="es-419"/>
        </w:rPr>
        <w:fldChar w:fldCharType="separate"/>
      </w:r>
      <w:r w:rsidR="00105048" w:rsidRPr="4A2AA5A2">
        <w:rPr>
          <w:rFonts w:ascii="Times New Roman" w:hAnsi="Times New Roman" w:cs="Times New Roman"/>
          <w:noProof/>
          <w:sz w:val="24"/>
          <w:szCs w:val="24"/>
          <w:lang w:val="es-419"/>
        </w:rPr>
        <w:t>(15)</w:t>
      </w:r>
      <w:r w:rsidRPr="4A2AA5A2">
        <w:rPr>
          <w:rFonts w:ascii="Times New Roman" w:hAnsi="Times New Roman" w:cs="Times New Roman"/>
          <w:sz w:val="24"/>
          <w:szCs w:val="24"/>
          <w:lang w:val="es-419"/>
        </w:rPr>
        <w:fldChar w:fldCharType="end"/>
      </w:r>
      <w:r w:rsidR="14E0C29A" w:rsidRPr="4A2AA5A2">
        <w:rPr>
          <w:rFonts w:ascii="Times New Roman" w:hAnsi="Times New Roman" w:cs="Times New Roman"/>
          <w:sz w:val="24"/>
          <w:szCs w:val="24"/>
          <w:lang w:val="es-419"/>
        </w:rPr>
        <w:t xml:space="preserve">  </w:t>
      </w:r>
    </w:p>
    <w:p w14:paraId="1C03C397" w14:textId="52F70683" w:rsidR="007512AC" w:rsidRPr="00557263" w:rsidRDefault="0040160F" w:rsidP="0039189E">
      <w:pPr>
        <w:spacing w:line="360" w:lineRule="auto"/>
        <w:ind w:right="709" w:firstLine="708"/>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Los factores de riesgos propios de la enfermedad</w:t>
      </w:r>
      <w:r w:rsidR="007433DA" w:rsidRPr="00557263">
        <w:rPr>
          <w:rFonts w:ascii="Times New Roman" w:hAnsi="Times New Roman" w:cs="Times New Roman"/>
          <w:sz w:val="24"/>
          <w:szCs w:val="24"/>
          <w:lang w:val="es-419"/>
        </w:rPr>
        <w:t xml:space="preserve"> por COVID-19</w:t>
      </w:r>
      <w:r w:rsidRPr="00557263">
        <w:rPr>
          <w:rFonts w:ascii="Times New Roman" w:hAnsi="Times New Roman" w:cs="Times New Roman"/>
          <w:sz w:val="24"/>
          <w:szCs w:val="24"/>
          <w:lang w:val="es-419"/>
        </w:rPr>
        <w:t xml:space="preserve"> están </w:t>
      </w:r>
      <w:r w:rsidR="00C378EC" w:rsidRPr="00557263">
        <w:rPr>
          <w:rFonts w:ascii="Times New Roman" w:hAnsi="Times New Roman" w:cs="Times New Roman"/>
          <w:sz w:val="24"/>
          <w:szCs w:val="24"/>
          <w:lang w:val="es-419"/>
        </w:rPr>
        <w:t>relacionados con</w:t>
      </w:r>
      <w:r w:rsidRPr="00557263">
        <w:rPr>
          <w:rFonts w:ascii="Times New Roman" w:hAnsi="Times New Roman" w:cs="Times New Roman"/>
          <w:sz w:val="24"/>
          <w:szCs w:val="24"/>
          <w:lang w:val="es-419"/>
        </w:rPr>
        <w:t xml:space="preserve"> la fisiopatología de la </w:t>
      </w:r>
      <w:r w:rsidR="3A684CAF" w:rsidRPr="00557263">
        <w:rPr>
          <w:rFonts w:ascii="Times New Roman" w:hAnsi="Times New Roman" w:cs="Times New Roman"/>
          <w:sz w:val="24"/>
          <w:szCs w:val="24"/>
          <w:lang w:val="es-419"/>
        </w:rPr>
        <w:t>insuficiencia</w:t>
      </w:r>
      <w:r w:rsidRPr="00557263">
        <w:rPr>
          <w:rFonts w:ascii="Times New Roman" w:hAnsi="Times New Roman" w:cs="Times New Roman"/>
          <w:sz w:val="24"/>
          <w:szCs w:val="24"/>
          <w:lang w:val="es-419"/>
        </w:rPr>
        <w:t xml:space="preserve"> respiratoria </w:t>
      </w:r>
      <w:r w:rsidR="009C1C74" w:rsidRPr="00557263">
        <w:rPr>
          <w:rFonts w:ascii="Times New Roman" w:hAnsi="Times New Roman" w:cs="Times New Roman"/>
          <w:sz w:val="24"/>
          <w:szCs w:val="24"/>
          <w:lang w:val="es-419"/>
        </w:rPr>
        <w:t xml:space="preserve">aguda (IRAg) </w:t>
      </w:r>
      <w:r w:rsidR="00CB79B0" w:rsidRPr="00557263">
        <w:rPr>
          <w:rFonts w:ascii="Times New Roman" w:hAnsi="Times New Roman" w:cs="Times New Roman"/>
          <w:sz w:val="24"/>
          <w:szCs w:val="24"/>
          <w:lang w:val="es-419"/>
        </w:rPr>
        <w:t>y la</w:t>
      </w:r>
      <w:r w:rsidR="00CA2377" w:rsidRPr="00557263">
        <w:rPr>
          <w:rFonts w:ascii="Times New Roman" w:hAnsi="Times New Roman" w:cs="Times New Roman"/>
          <w:sz w:val="24"/>
          <w:szCs w:val="24"/>
          <w:lang w:val="es-419"/>
        </w:rPr>
        <w:t xml:space="preserve"> </w:t>
      </w:r>
      <w:r w:rsidR="00124449" w:rsidRPr="00557263">
        <w:rPr>
          <w:rFonts w:ascii="Times New Roman" w:hAnsi="Times New Roman" w:cs="Times New Roman"/>
          <w:sz w:val="24"/>
          <w:szCs w:val="24"/>
          <w:lang w:val="es-419"/>
        </w:rPr>
        <w:t>“</w:t>
      </w:r>
      <w:r w:rsidR="00CA2377" w:rsidRPr="00557263">
        <w:rPr>
          <w:rFonts w:ascii="Times New Roman" w:hAnsi="Times New Roman" w:cs="Times New Roman"/>
          <w:sz w:val="24"/>
          <w:szCs w:val="24"/>
          <w:lang w:val="es-419"/>
        </w:rPr>
        <w:t>hipoxemia silente</w:t>
      </w:r>
      <w:r w:rsidR="00124449" w:rsidRPr="00557263">
        <w:rPr>
          <w:rFonts w:ascii="Times New Roman" w:hAnsi="Times New Roman" w:cs="Times New Roman"/>
          <w:sz w:val="24"/>
          <w:szCs w:val="24"/>
          <w:lang w:val="es-419"/>
        </w:rPr>
        <w:t>”</w:t>
      </w:r>
      <w:r w:rsidRPr="00557263">
        <w:rPr>
          <w:rFonts w:ascii="Times New Roman" w:hAnsi="Times New Roman" w:cs="Times New Roman"/>
          <w:sz w:val="24"/>
          <w:szCs w:val="24"/>
        </w:rPr>
        <w:fldChar w:fldCharType="begin" w:fldLock="1"/>
      </w:r>
      <w:r w:rsidR="00105048">
        <w:rPr>
          <w:rFonts w:ascii="Times New Roman" w:hAnsi="Times New Roman" w:cs="Times New Roman"/>
          <w:sz w:val="24"/>
          <w:szCs w:val="24"/>
          <w:lang w:val="es-419"/>
        </w:rPr>
        <w:instrText>ADDIN CSL_CITATION {"citationItems":[{"id":"ITEM-1","itemData":{"DOI":"10.1186/s12931-020-01462-5","ISSN":"1465993X","PMID":"32723327","abstract":"The novel coronavirus disease 2019 (COVID-19) pandemic is a global crisis, challenging healthcare systems worldwide. Many patients present with a remarkable disconnect in rest between profound hypoxemia yet without proportional signs of respiratory distress (i.e. happy hypoxemia) and rapid deterioration can occur. This particular clinical presentation in COVID-19 patients contrasts with the experience of physicians usually treating critically ill patients in respiratory failure and ensuring timely referral to the intensive care unit can, therefore, be challenging. A thorough understanding of the pathophysiological determinants of respiratory drive and hypoxemia may promote a more complete comprehension of a patient's clinical presentation and management. Preserved oxygen saturation despite low partial pressure of oxygen in arterial blood samples occur, due to leftward shift of the oxyhemoglobin dissociation curve induced by hypoxemia-driven hyperventilation as well as possible direct viral interactions with hemoglobin. Ventilation-perfusion mismatch, ranging from shunts to alveolar dead space ventilation, is the central hallmark and offers various therapeutic targets.","author":[{"dropping-particle":"","family":"Dhont","given":"Sebastiaan","non-dropping-particle":"","parse-names":false,"suffix":""},{"dropping-particle":"","family":"Derom","given":"Eric","non-dropping-particle":"","parse-names":false,"suffix":""},{"dropping-particle":"","family":"Braeckel","given":"Eva","non-dropping-particle":"Van","parse-names":false,"suffix":""},{"dropping-particle":"","family":"Depuydt","given":"Pieter","non-dropping-particle":"","parse-names":false,"suffix":""},{"dropping-particle":"","family":"Lambrecht","given":"Bart N.","non-dropping-particle":"","parse-names":false,"suffix":""}],"container-title":"Respiratory Research","id":"ITEM-1","issue":"1","issued":{"date-parts":[["2020"]]},"page":"1-9","publisher":"Respiratory Research","title":"The pathophysiology of 'happy' hypoxemia in COVID-19","type":"article-journal","volume":"21"},"uris":["http://www.mendeley.com/documents/?uuid=f5ba3729-5f79-4d9d-830e-44a3e0b6d793"]}],"mendeley":{"formattedCitation":"(16)","plainTextFormattedCitation":"(16)","previouslyFormattedCitation":"(16)"},"properties":{"noteIndex":0},"schema":"https://github.com/citation-style-language/schema/raw/master/csl-citation.json"}</w:instrText>
      </w:r>
      <w:r w:rsidRPr="00557263">
        <w:rPr>
          <w:rFonts w:ascii="Times New Roman" w:hAnsi="Times New Roman" w:cs="Times New Roman"/>
          <w:sz w:val="24"/>
          <w:szCs w:val="24"/>
        </w:rPr>
        <w:fldChar w:fldCharType="separate"/>
      </w:r>
      <w:r w:rsidR="00105048" w:rsidRPr="00105048">
        <w:rPr>
          <w:rFonts w:ascii="Times New Roman" w:hAnsi="Times New Roman" w:cs="Times New Roman"/>
          <w:noProof/>
          <w:sz w:val="24"/>
          <w:szCs w:val="24"/>
          <w:lang w:val="es-419"/>
        </w:rPr>
        <w:t>(16)</w:t>
      </w:r>
      <w:r w:rsidRPr="00557263">
        <w:rPr>
          <w:rFonts w:ascii="Times New Roman" w:hAnsi="Times New Roman" w:cs="Times New Roman"/>
          <w:sz w:val="24"/>
          <w:szCs w:val="24"/>
        </w:rPr>
        <w:fldChar w:fldCharType="end"/>
      </w:r>
      <w:r w:rsidR="00CB79B0" w:rsidRPr="00557263">
        <w:rPr>
          <w:rFonts w:ascii="Times New Roman" w:hAnsi="Times New Roman" w:cs="Times New Roman"/>
          <w:sz w:val="24"/>
          <w:szCs w:val="24"/>
          <w:lang w:val="es-419"/>
        </w:rPr>
        <w:t>,</w:t>
      </w:r>
      <w:r w:rsidR="00CA2377" w:rsidRPr="00557263">
        <w:rPr>
          <w:rFonts w:ascii="Times New Roman" w:hAnsi="Times New Roman" w:cs="Times New Roman"/>
          <w:sz w:val="24"/>
          <w:szCs w:val="24"/>
          <w:lang w:val="es-419"/>
        </w:rPr>
        <w:t xml:space="preserve"> que</w:t>
      </w:r>
      <w:r w:rsidR="00124449" w:rsidRPr="00557263">
        <w:rPr>
          <w:rFonts w:ascii="Times New Roman" w:hAnsi="Times New Roman" w:cs="Times New Roman"/>
          <w:sz w:val="24"/>
          <w:szCs w:val="24"/>
          <w:lang w:val="es-419"/>
        </w:rPr>
        <w:t xml:space="preserve"> consiste en </w:t>
      </w:r>
      <w:r w:rsidR="003E17C3" w:rsidRPr="00557263">
        <w:rPr>
          <w:rFonts w:ascii="Times New Roman" w:hAnsi="Times New Roman" w:cs="Times New Roman"/>
          <w:sz w:val="24"/>
          <w:szCs w:val="24"/>
          <w:lang w:val="es-419"/>
        </w:rPr>
        <w:t>una</w:t>
      </w:r>
      <w:r w:rsidR="00124449" w:rsidRPr="00557263">
        <w:rPr>
          <w:rFonts w:ascii="Times New Roman" w:hAnsi="Times New Roman" w:cs="Times New Roman"/>
          <w:sz w:val="24"/>
          <w:szCs w:val="24"/>
          <w:lang w:val="es-419"/>
        </w:rPr>
        <w:t xml:space="preserve"> disminución de</w:t>
      </w:r>
      <w:r w:rsidR="00FB5686" w:rsidRPr="00557263">
        <w:rPr>
          <w:rFonts w:ascii="Times New Roman" w:hAnsi="Times New Roman" w:cs="Times New Roman"/>
          <w:sz w:val="24"/>
          <w:szCs w:val="24"/>
          <w:lang w:val="es-419"/>
        </w:rPr>
        <w:t>l</w:t>
      </w:r>
      <w:r w:rsidR="00124449" w:rsidRPr="00557263">
        <w:rPr>
          <w:rFonts w:ascii="Times New Roman" w:hAnsi="Times New Roman" w:cs="Times New Roman"/>
          <w:sz w:val="24"/>
          <w:szCs w:val="24"/>
          <w:lang w:val="es-419"/>
        </w:rPr>
        <w:t xml:space="preserve"> oxígeno en sangre sin una respuesta clínica concordante y que</w:t>
      </w:r>
      <w:r w:rsidR="00CA2377" w:rsidRPr="00557263">
        <w:rPr>
          <w:rFonts w:ascii="Times New Roman" w:hAnsi="Times New Roman" w:cs="Times New Roman"/>
          <w:sz w:val="24"/>
          <w:szCs w:val="24"/>
          <w:lang w:val="es-419"/>
        </w:rPr>
        <w:t xml:space="preserve"> pudiese tener un impacto en el deterioro cognitivo a mediano-largo plazo</w:t>
      </w:r>
      <w:r w:rsidR="00724C8C" w:rsidRPr="00557263">
        <w:rPr>
          <w:rFonts w:ascii="Times New Roman" w:hAnsi="Times New Roman" w:cs="Times New Roman"/>
          <w:sz w:val="24"/>
          <w:szCs w:val="24"/>
          <w:lang w:val="es-419"/>
        </w:rPr>
        <w:t xml:space="preserve">. Además, </w:t>
      </w:r>
      <w:r w:rsidR="007512AC" w:rsidRPr="00557263">
        <w:rPr>
          <w:rFonts w:ascii="Times New Roman" w:hAnsi="Times New Roman" w:cs="Times New Roman"/>
          <w:sz w:val="24"/>
          <w:szCs w:val="24"/>
          <w:lang w:val="es-419"/>
        </w:rPr>
        <w:t>evoluciona con facilidad a un</w:t>
      </w:r>
      <w:r w:rsidR="0094418F" w:rsidRPr="00557263">
        <w:rPr>
          <w:rFonts w:ascii="Times New Roman" w:hAnsi="Times New Roman" w:cs="Times New Roman"/>
          <w:sz w:val="24"/>
          <w:szCs w:val="24"/>
          <w:lang w:val="es-419"/>
        </w:rPr>
        <w:t xml:space="preserve"> síndrome de distrés respiratorio agudo (SDRA) y sus riesgos asociados </w:t>
      </w:r>
      <w:r w:rsidR="00724C8C" w:rsidRPr="00557263">
        <w:rPr>
          <w:rFonts w:ascii="Times New Roman" w:hAnsi="Times New Roman" w:cs="Times New Roman"/>
          <w:sz w:val="24"/>
          <w:szCs w:val="24"/>
          <w:lang w:val="es-419"/>
        </w:rPr>
        <w:t>como</w:t>
      </w:r>
      <w:r w:rsidR="0094418F" w:rsidRPr="00557263">
        <w:rPr>
          <w:rFonts w:ascii="Times New Roman" w:hAnsi="Times New Roman" w:cs="Times New Roman"/>
          <w:sz w:val="24"/>
          <w:szCs w:val="24"/>
          <w:lang w:val="es-419"/>
        </w:rPr>
        <w:t xml:space="preserve"> la inflamación</w:t>
      </w:r>
      <w:r w:rsidR="00913501" w:rsidRPr="00557263">
        <w:rPr>
          <w:rFonts w:ascii="Times New Roman" w:hAnsi="Times New Roman" w:cs="Times New Roman"/>
          <w:sz w:val="24"/>
          <w:szCs w:val="24"/>
          <w:lang w:val="es-419"/>
        </w:rPr>
        <w:t>, alteración de la microcirculación</w:t>
      </w:r>
      <w:r w:rsidR="0094418F" w:rsidRPr="00557263">
        <w:rPr>
          <w:rFonts w:ascii="Times New Roman" w:hAnsi="Times New Roman" w:cs="Times New Roman"/>
          <w:sz w:val="24"/>
          <w:szCs w:val="24"/>
          <w:lang w:val="es-419"/>
        </w:rPr>
        <w:t xml:space="preserve"> y edema</w:t>
      </w:r>
      <w:r w:rsidR="00CA2377" w:rsidRPr="00557263">
        <w:rPr>
          <w:rFonts w:ascii="Times New Roman" w:hAnsi="Times New Roman" w:cs="Times New Roman"/>
          <w:sz w:val="24"/>
          <w:szCs w:val="24"/>
          <w:lang w:val="es-419"/>
        </w:rPr>
        <w:t>.</w:t>
      </w:r>
      <w:r w:rsidRPr="00557263">
        <w:rPr>
          <w:rFonts w:ascii="Times New Roman" w:hAnsi="Times New Roman" w:cs="Times New Roman"/>
          <w:sz w:val="24"/>
          <w:szCs w:val="24"/>
        </w:rPr>
        <w:fldChar w:fldCharType="begin" w:fldLock="1"/>
      </w:r>
      <w:r w:rsidR="00105048">
        <w:rPr>
          <w:rFonts w:ascii="Times New Roman" w:hAnsi="Times New Roman" w:cs="Times New Roman"/>
          <w:sz w:val="24"/>
          <w:szCs w:val="24"/>
          <w:lang w:val="es-419"/>
        </w:rPr>
        <w:instrText>ADDIN CSL_CITATION {"citationItems":[{"id":"ITEM-1","itemData":{"DOI":"10.1186/s13054-019-2626-z","ISSN":"1466609X","PMID":"31718695","abstract":"Acute respiratory distress syndrome (ARDS) survivors experience a high prevalence of cognitive impairment with concomitantly impaired functional status and quality of life, often persisting months after hospital discharge. In this review, we explore the pathophysiological mechanisms underlying cognitive impairment following ARDS, the interrelations between mechanisms and risk factors, and interventions that may mitigate the risk of cognitive impairment. Risk factors for cognitive decline following ARDS include pre-existing cognitive impairment, neurological injury, delirium, mechanical ventilation, prolonged exposure to sedating medications, sepsis, systemic inflammation, and environmental factors in the intensive care unit, which can co-occur synergistically in various combinations. Detection and characterization of pre-existing cognitive impairment imparts challenges in clinical management and longitudinal outcome study enrollment. Patients with brain injury who experience ARDS constitute a distinct population with a particular combination of risk factors and pathophysiological mechanisms: Considerations raised by brain injury include neurogenic pulmonary edema, differences in sympathetic activation and cholinergic transmission, effects of positive end-expiratory pressure on cerebral microcirculation and intracranial pressure, and sensitivity to vasopressor use and volume status. The blood-brain barrier represents a physiological interface at which multiple mechanisms of cognitive impairment interact, as acute blood-brain barrier weakening from mechanical ventilation and systemic inflammation can compound existing chronic blood-brain barrier dysfunction from Alzheimer's-type pathophysiology, rendering the brain vulnerable to both amyloid-beta accumulation and cytokine-mediated hippocampal damage. Although some contributory elements, such as the presenting brain injury or pre-existing cognitive impairment, may be irreversible, interventions such as minimizing mechanical ventilation tidal volume, minimizing duration of exposure to sedating medications, maintaining hemodynamic stability, optimizing fluid balance, and implementing bundles to enhance patient care help dramatically to reduce duration of delirium and may help prevent acquisition of long-term cognitive impairment.","author":[{"dropping-particle":"","family":"Sasannejad","given":"Cina","non-dropping-particle":"","parse-names":false,"suffix":""},{"dropping-particle":"","family":"Ely","given":"E. Wesley","non-dropping-particle":"","parse-names":false,"suffix":""},{"dropping-particle":"","family":"Lahiri","given":"Shouri","non-dropping-particle":"","parse-names":false,"suffix":""}],"container-title":"Critical Care","id":"ITEM-1","issue":"1","issued":{"date-parts":[["2019"]]},"page":"1-12","publisher":"Critical Care","title":"Long-term cognitive impairment after acute respiratory distress syndrome: A review of clinical impact and pathophysiological mechanisms","type":"article-journal","volume":"23"},"uris":["http://www.mendeley.com/documents/?uuid=8067714c-bc48-4ca1-b057-33cb372f1c04"]}],"mendeley":{"formattedCitation":"(17)","plainTextFormattedCitation":"(17)","previouslyFormattedCitation":"(17)"},"properties":{"noteIndex":0},"schema":"https://github.com/citation-style-language/schema/raw/master/csl-citation.json"}</w:instrText>
      </w:r>
      <w:r w:rsidRPr="00557263">
        <w:rPr>
          <w:rFonts w:ascii="Times New Roman" w:hAnsi="Times New Roman" w:cs="Times New Roman"/>
          <w:sz w:val="24"/>
          <w:szCs w:val="24"/>
        </w:rPr>
        <w:fldChar w:fldCharType="separate"/>
      </w:r>
      <w:r w:rsidR="00105048" w:rsidRPr="00105048">
        <w:rPr>
          <w:rFonts w:ascii="Times New Roman" w:hAnsi="Times New Roman" w:cs="Times New Roman"/>
          <w:noProof/>
          <w:sz w:val="24"/>
          <w:szCs w:val="24"/>
          <w:lang w:val="es-419"/>
        </w:rPr>
        <w:t>(17)</w:t>
      </w:r>
      <w:r w:rsidRPr="00557263">
        <w:rPr>
          <w:rFonts w:ascii="Times New Roman" w:hAnsi="Times New Roman" w:cs="Times New Roman"/>
          <w:sz w:val="24"/>
          <w:szCs w:val="24"/>
        </w:rPr>
        <w:fldChar w:fldCharType="end"/>
      </w:r>
      <w:r w:rsidR="00CA2377" w:rsidRPr="00557263">
        <w:rPr>
          <w:rFonts w:ascii="Times New Roman" w:hAnsi="Times New Roman" w:cs="Times New Roman"/>
          <w:sz w:val="24"/>
          <w:szCs w:val="24"/>
          <w:lang w:val="es-419"/>
        </w:rPr>
        <w:t xml:space="preserve"> </w:t>
      </w:r>
    </w:p>
    <w:p w14:paraId="1DBDFB5F" w14:textId="3C585FA7" w:rsidR="0062080A" w:rsidRPr="00557263" w:rsidRDefault="007433DA" w:rsidP="0039189E">
      <w:pPr>
        <w:spacing w:line="360" w:lineRule="auto"/>
        <w:ind w:right="709" w:firstLine="708"/>
        <w:jc w:val="both"/>
        <w:rPr>
          <w:rFonts w:ascii="Times New Roman" w:hAnsi="Times New Roman" w:cs="Times New Roman"/>
          <w:sz w:val="24"/>
          <w:szCs w:val="24"/>
          <w:lang w:val="es-419"/>
        </w:rPr>
      </w:pPr>
      <w:r w:rsidRPr="4A2AA5A2">
        <w:rPr>
          <w:rFonts w:ascii="Times New Roman" w:hAnsi="Times New Roman" w:cs="Times New Roman"/>
          <w:sz w:val="24"/>
          <w:szCs w:val="24"/>
          <w:lang w:val="es-419"/>
        </w:rPr>
        <w:t xml:space="preserve">En relación a la presión al sistema sanitario, </w:t>
      </w:r>
      <w:r w:rsidR="0EF1F22A" w:rsidRPr="4A2AA5A2">
        <w:rPr>
          <w:rFonts w:ascii="Times New Roman" w:hAnsi="Times New Roman" w:cs="Times New Roman"/>
          <w:sz w:val="24"/>
          <w:szCs w:val="24"/>
          <w:lang w:val="es-419"/>
        </w:rPr>
        <w:t xml:space="preserve">la pandemia por COVID-19 </w:t>
      </w:r>
      <w:r w:rsidRPr="4A2AA5A2">
        <w:rPr>
          <w:rFonts w:ascii="Times New Roman" w:hAnsi="Times New Roman" w:cs="Times New Roman"/>
          <w:sz w:val="24"/>
          <w:szCs w:val="24"/>
          <w:lang w:val="es-419"/>
        </w:rPr>
        <w:t>llevó a un aumento</w:t>
      </w:r>
      <w:r w:rsidR="0EF1F22A" w:rsidRPr="4A2AA5A2">
        <w:rPr>
          <w:rFonts w:ascii="Times New Roman" w:hAnsi="Times New Roman" w:cs="Times New Roman"/>
          <w:sz w:val="24"/>
          <w:szCs w:val="24"/>
          <w:lang w:val="es-419"/>
        </w:rPr>
        <w:t xml:space="preserve"> en la ocupación de camas UCI </w:t>
      </w:r>
      <w:r w:rsidRPr="4A2AA5A2">
        <w:rPr>
          <w:rFonts w:ascii="Times New Roman" w:hAnsi="Times New Roman" w:cs="Times New Roman"/>
          <w:sz w:val="24"/>
          <w:szCs w:val="24"/>
        </w:rPr>
        <w:fldChar w:fldCharType="begin" w:fldLock="1"/>
      </w:r>
      <w:r w:rsidRPr="4A2AA5A2">
        <w:rPr>
          <w:rFonts w:ascii="Times New Roman" w:hAnsi="Times New Roman" w:cs="Times New Roman"/>
          <w:sz w:val="24"/>
          <w:szCs w:val="24"/>
          <w:lang w:val="es-419"/>
        </w:rPr>
        <w:instrText>ADDIN CSL_CITATION {"citationItems":[{"id":"ITEM-1","itemData":{"abstract":"A proportion of patients with coronavirus disease 2019 (COVID-19) can become critically ill due to either the development of acute respiratory distress syndrome (ARDS) or complications of the disease itself.\n\nThis topic will discuss the epidemiology, clinical features, and prognosis of adult patients who become critically ill with COVID-19. General clinical features of patients with COVID-19 and management of the critically ill nonintubated and intubated patient with COVID-19 are discussed separately. (See \"COVID-19: Clinical features\" and \"COVID-19: Management of the intubated adult\" and \"COVID-19: Respiratory care of the nonintubated hypoxemic adult (supplemental oxygen, noninvasive ventilation, and intubation)\".) (Related Pathway(s): COVID-19: Anticoagulation in adults with COVID-19.)","author":[{"dropping-particle":"","family":"Anesi","given":"George L","non-dropping-particle":"","parse-names":false,"suffix":""}],"container-title":"Up","id":"ITEM-1","issued":{"date-parts":[["2021"]]},"page":"8-17","title":"COVID-19: Epidemiology, clinical features, and prognosis of the critically ill adult","type":"article-journal"},"uris":["http://www.mendeley.com/documents/?uuid=800a6240-ae66-415e-b9f0-6684ac3e6930"]}],"mendeley":{"formattedCitation":"(18)","plainTextFormattedCitation":"(18)","previouslyFormattedCitation":"(18)"},"properties":{"noteIndex":0},"schema":"https://github.com/citation-style-language/schema/raw/master/csl-citation.json"}</w:instrText>
      </w:r>
      <w:r w:rsidRPr="4A2AA5A2">
        <w:rPr>
          <w:rFonts w:ascii="Times New Roman" w:hAnsi="Times New Roman" w:cs="Times New Roman"/>
          <w:sz w:val="24"/>
          <w:szCs w:val="24"/>
        </w:rPr>
        <w:fldChar w:fldCharType="separate"/>
      </w:r>
      <w:r w:rsidR="00105048" w:rsidRPr="4A2AA5A2">
        <w:rPr>
          <w:rFonts w:ascii="Times New Roman" w:hAnsi="Times New Roman" w:cs="Times New Roman"/>
          <w:noProof/>
          <w:sz w:val="24"/>
          <w:szCs w:val="24"/>
          <w:lang w:val="es-419"/>
        </w:rPr>
        <w:t>(18)</w:t>
      </w:r>
      <w:r w:rsidRPr="4A2AA5A2">
        <w:rPr>
          <w:rFonts w:ascii="Times New Roman" w:hAnsi="Times New Roman" w:cs="Times New Roman"/>
          <w:sz w:val="24"/>
          <w:szCs w:val="24"/>
        </w:rPr>
        <w:fldChar w:fldCharType="end"/>
      </w:r>
      <w:r w:rsidR="0EF1F22A" w:rsidRPr="4A2AA5A2">
        <w:rPr>
          <w:rFonts w:ascii="Times New Roman" w:hAnsi="Times New Roman" w:cs="Times New Roman"/>
          <w:sz w:val="24"/>
          <w:szCs w:val="24"/>
          <w:lang w:val="es-419"/>
        </w:rPr>
        <w:t>, lo que podría generar un</w:t>
      </w:r>
      <w:r w:rsidR="454C1B64" w:rsidRPr="4A2AA5A2">
        <w:rPr>
          <w:rFonts w:ascii="Times New Roman" w:hAnsi="Times New Roman" w:cs="Times New Roman"/>
          <w:sz w:val="24"/>
          <w:szCs w:val="24"/>
          <w:lang w:val="es-419"/>
        </w:rPr>
        <w:t xml:space="preserve">a elevación </w:t>
      </w:r>
      <w:r w:rsidR="0EF1F22A" w:rsidRPr="4A2AA5A2">
        <w:rPr>
          <w:rFonts w:ascii="Times New Roman" w:hAnsi="Times New Roman" w:cs="Times New Roman"/>
          <w:sz w:val="24"/>
          <w:szCs w:val="24"/>
          <w:lang w:val="es-419"/>
        </w:rPr>
        <w:t>en la prevalencia de PICS</w:t>
      </w:r>
      <w:r w:rsidR="2245D288" w:rsidRPr="4A2AA5A2">
        <w:rPr>
          <w:rFonts w:ascii="Times New Roman" w:hAnsi="Times New Roman" w:cs="Times New Roman"/>
          <w:sz w:val="24"/>
          <w:szCs w:val="24"/>
          <w:lang w:val="es-419"/>
        </w:rPr>
        <w:t xml:space="preserve"> debido a </w:t>
      </w:r>
      <w:r w:rsidR="454C1B64" w:rsidRPr="4A2AA5A2">
        <w:rPr>
          <w:rFonts w:ascii="Times New Roman" w:hAnsi="Times New Roman" w:cs="Times New Roman"/>
          <w:sz w:val="24"/>
          <w:szCs w:val="24"/>
          <w:lang w:val="es-419"/>
        </w:rPr>
        <w:t>mayor</w:t>
      </w:r>
      <w:r w:rsidR="2245D288" w:rsidRPr="4A2AA5A2">
        <w:rPr>
          <w:rFonts w:ascii="Times New Roman" w:hAnsi="Times New Roman" w:cs="Times New Roman"/>
          <w:sz w:val="24"/>
          <w:szCs w:val="24"/>
          <w:lang w:val="es-419"/>
        </w:rPr>
        <w:t xml:space="preserve"> número de pacientes que ingresan a UCI y la sobrecarga asistencial</w:t>
      </w:r>
      <w:r w:rsidR="0EF1F22A" w:rsidRPr="4A2AA5A2">
        <w:rPr>
          <w:rFonts w:ascii="Times New Roman" w:hAnsi="Times New Roman" w:cs="Times New Roman"/>
          <w:sz w:val="24"/>
          <w:szCs w:val="24"/>
          <w:lang w:val="es-419"/>
        </w:rPr>
        <w:t xml:space="preserve">. Algunos estudios de seguimiento han reportado que los sobrevivientes por COVID-19 poseen resultados similares en deterioro cognitivo a los esperados en sobrevivientes ingresados por otras causas </w:t>
      </w:r>
      <w:r w:rsidRPr="4A2AA5A2">
        <w:rPr>
          <w:rFonts w:ascii="Times New Roman" w:hAnsi="Times New Roman" w:cs="Times New Roman"/>
          <w:sz w:val="24"/>
          <w:szCs w:val="24"/>
        </w:rPr>
        <w:fldChar w:fldCharType="begin" w:fldLock="1"/>
      </w:r>
      <w:r w:rsidRPr="4A2AA5A2">
        <w:rPr>
          <w:rFonts w:ascii="Times New Roman" w:hAnsi="Times New Roman" w:cs="Times New Roman"/>
          <w:sz w:val="24"/>
          <w:szCs w:val="24"/>
          <w:lang w:val="es-419"/>
        </w:rPr>
        <w:instrText>ADDIN CSL_CITATION {"citationItems":[{"id":"ITEM-1","itemData":{"DOI":"10.1186/s13054-021-03794-0","ISBN":"1305402103","ISSN":"1466609X","PMID":"34749756","abstract":"BACKGROUND: There are few reports of new functional impairment following critical illness from COVID-19. We aimed to describe the incidence of death or new disability, functional impairment and changes in health-related quality of life of patients after COVID-19 critical illness at 6 months. METHODS: In a nationally representative, multicenter, prospective cohort study of COVID-19 critical illness, we determined the prevalence of death or new disability at 6 months, the primary outcome. We measured mortality, new disability and return to work with changes in the World Health Organization Disability Assessment Schedule 2.0 12L (WHODAS) and health status with the EQ5D-5LTM. RESULTS: Of 274 eligible patients, 212 were enrolled from 30 hospitals. The median age was 61 (51-70) years, and 124 (58.5%) patients were male. At 6 months, 43/160 (26.9%) patients died and 42/108 (38.9%) responding survivors reported new disability. Compared to pre-illness, the WHODAS percentage score worsened (mean difference (MD), 10.40% [95% CI 7.06-13.77]; p &lt; 0.001). Thirteen (11.4%) survivors had not returned to work due to poor health. There was a decrease in the EQ-5D-5LTM utility score (MD, - 0.19 [- 0.28 to - 0.10]; p &lt; 0.001). At 6 months, 82 of 115 (71.3%) patients reported persistent symptoms. The independent predictors of death or new disability were higher severity of illness and increased frailty. CONCLUSIONS: At six months after COVID-19 critical illness, death and new disability was substantial. Over a third of survivors had new disability, which was widespread across all areas of functioning. Clinical trial registration NCT04401254 May 26, 2020.","author":[{"dropping-particle":"","family":"Hodgson","given":"Carol L.","non-dropping-particle":"","parse-names":false,"suffix":""},{"dropping-particle":"","family":"Higgins","given":"Alisa M.","non-dropping-particle":"","parse-names":false,"suffix":""},{"dropping-particle":"","family":"Bailey","given":"Michael J.","non-dropping-particle":"","parse-names":false,"suffix":""},{"dropping-particle":"","family":"Mather","given":"Anne M.","non-dropping-particle":"","parse-names":false,"suffix":""},{"dropping-particle":"","family":"Beach","given":"Lisa","non-dropping-particle":"","parse-names":false,"suffix":""},{"dropping-particle":"","family":"Bellomo","given":"Rinaldo","non-dropping-particle":"","parse-names":false,"suffix":""},{"dropping-particle":"","family":"Bissett","given":"Bernie","non-dropping-particle":"","parse-names":false,"suffix":""},{"dropping-particle":"","family":"Boden","given":"Ianthe J.","non-dropping-particle":"","parse-names":false,"suffix":""},{"dropping-particle":"","family":"Bradley","given":"Scott","non-dropping-particle":"","parse-names":false,"suffix":""},{"dropping-particle":"","family":"Burrell","given":"Aidan","non-dropping-particle":"","parse-names":false,"suffix":""},{"dropping-particle":"","family":"Cooper","given":"D. James","non-dropping-particle":"","parse-names":false,"suffix":""},{"dropping-particle":"","family":"Fulcher","given":"Bentley J.","non-dropping-particle":"","parse-names":false,"suffix":""},{"dropping-particle":"","family":"Haines","given":"Kimberley J.","non-dropping-particle":"","parse-names":false,"suffix":""},{"dropping-particle":"","family":"Hopkins","given":"Jack","non-dropping-particle":"","parse-names":false,"suffix":""},{"dropping-particle":"","family":"Jones","given":"Alice Y.M.","non-dropping-particle":"","parse-names":false,"suffix":""},{"dropping-particle":"","family":"Lane","given":"Stuart","non-dropping-particle":"","parse-names":false,"suffix":""},{"dropping-particle":"","family":"Lawrence","given":"Drew","non-dropping-particle":"","parse-names":false,"suffix":""},{"dropping-particle":"","family":"Lee","given":"Lisa","non-dropping-particle":"van der","parse-names":false,"suffix":""},{"dropping-particle":"","family":"Liacos","given":"Jennifer","non-dropping-particle":"","parse-names":false,"suffix":""},{"dropping-particle":"","family":"Linke","given":"Natalie J.","non-dropping-particle":"","parse-names":false,"suffix":""},{"dropping-particle":"","family":"Gomes","given":"Lonni Marques","non-dropping-particle":"","parse-names":false,"suffix":""},{"dropping-particle":"","family":"Nickels","given":"Marc","non-dropping-particle":"","parse-names":false,"suffix":""},{"dropping-particle":"","family":"Ntoumenopoulos","given":"George","non-dropping-particle":"","parse-names":false,"suffix":""},{"dropping-particle":"","family":"Myles","given":"Paul S.","non-dropping-particle":"","parse-names":false,"suffix":""},{"dropping-particle":"","family":"Patman","given":"Shane","non-dropping-particle":"","parse-names":false,"suffix":""},{"dropping-particle":"","family":"Paton","given":"Michelle","non-dropping-particle":"","parse-names":false,"suffix":""},{"dropping-particle":"","family":"Pound","given":"Gemma","non-dropping-particle":"","parse-names":false,"suffix":""},{"dropping-particle":"","family":"Rai","given":"Sumeet","non-dropping-particle":"","parse-names":false,"suffix":""},{"dropping-particle":"","family":"Rix","given":"Alana","non-dropping-particle":"","parse-names":false,"suffix":""},{"dropping-particle":"","family":"Rollinson","given":"Thomas C.","non-dropping-particle":"","parse-names":false,"suffix":""},{"dropping-particle":"","family":"Sivasuthan","given":"Janani","non-dropping-particle":"","parse-names":false,"suffix":""},{"dropping-particle":"","family":"Tipping","given":"Claire J.","non-dropping-particle":"","parse-names":false,"suffix":""},{"dropping-particle":"","family":"Thomas","given":"Peter","non-dropping-particle":"","parse-names":false,"suffix":""},{"dropping-particle":"","family":"Trapani","given":"Tony","non-dropping-particle":"","parse-names":false,"suffix":""},{"dropping-particle":"","family":"Udy","given":"Andrew A.","non-dropping-particle":"","parse-names":false,"suffix":""},{"dropping-particle":"","family":"Whitehead","given":"Christina","non-dropping-particle":"","parse-names":false,"suffix":""},{"dropping-particle":"","family":"Hodgson","given":"Isabelle T.","non-dropping-particle":"","parse-names":false,"suffix":""},{"dropping-particle":"","family":"Anderson","given":"Shannah","non-dropping-particle":"","parse-names":false,"suffix":""},{"dropping-particle":"","family":"Neto","given":"Ary Serpa","non-dropping-particle":"","parse-names":false,"suffix":""}],"container-title":"Critical care (London, England)","id":"ITEM-1","issue":"1","issued":{"date-parts":[["2021"]]},"page":"382","title":"The impact of COVID-19 critical illness on new disability, functional outcomes and return to work at 6 months: a prospective cohort study","type":"article-journal","volume":"25"},"uris":["http://www.mendeley.com/documents/?uuid=8244f59a-bf6d-4c1b-b655-944c64baaf6d"]},{"id":"ITEM-2","itemData":{"DOI":"10.1002/jmv.26368","ISSN":"10969071","PMID":"32729939","abstract":"Background: There is currently very limited information on the nature and prevalence of post-COVID-19 symptoms after hospital discharge. Methods: A purposive sample of 100 survivors discharged from a large University hospital were assessed 4 to 8 weeks after discharge by a multidisciplinary team of rehabilitation professionals using a specialist telephone screening tool designed to capture symptoms and impact on daily life. EQ-5D-5L telephone version was also completed. Results: Participants were between 29 and 71 days (mean 48 days) postdischarge from hospital. Thirty-two participants required treatment in intensive care unit (ICU group) and 68 were managed in hospital wards without needing ICU care (ward group). New illness-related fatigue was the most common reported symptom by 72% participants in ICU group and 60.3% in ward group. The next most common symptoms were breathlessness (65.6% in ICU group and 42.6% in ward group) and psychological distress (46.9% in ICU group and 23.5% in ward group). There was a clinically significant drop in EQ5D in 68.8% in ICU group and in 45.6% in ward group. Conclusions: This is the first study from the United Kingdom reporting on postdischarge symptoms. We recommend planning rehabilitation services to manage these symptoms appropriately and maximize the functional return of COVID-19 survivors.","author":[{"dropping-particle":"","family":"Halpin","given":"Stephen J.","non-dropping-particle":"","parse-names":false,"suffix":""},{"dropping-particle":"","family":"McIvor","given":"Claire","non-dropping-particle":"","parse-names":false,"suffix":""},{"dropping-particle":"","family":"Whyatt","given":"Gemma","non-dropping-particle":"","parse-names":false,"suffix":""},{"dropping-particle":"","family":"Adams","given":"Anastasia","non-dropping-particle":"","parse-names":false,"suffix":""},{"dropping-particle":"","family":"Harvey","given":"Olivia","non-dropping-particle":"","parse-names":false,"suffix":""},{"dropping-particle":"","family":"McLean","given":"Lyndsay","non-dropping-particle":"","parse-names":false,"suffix":""},{"dropping-particle":"","family":"Walshaw","given":"Christopher","non-dropping-particle":"","parse-names":false,"suffix":""},{"dropping-particle":"","family":"Kemp","given":"Steven","non-dropping-particle":"","parse-names":false,"suffix":""},{"dropping-particle":"","family":"Corrado","given":"Joanna","non-dropping-particle":"","parse-names":false,"suffix":""},{"dropping-particle":"","family":"Singh","given":"Rajinder","non-dropping-particle":"","parse-names":false,"suffix":""},{"dropping-particle":"","family":"Collins","given":"Tamsin","non-dropping-particle":"","parse-names":false,"suffix":""},{"dropping-particle":"","family":"O'Connor","given":"Rory J.","non-dropping-particle":"","parse-names":false,"suffix":""},{"dropping-particle":"","family":"Sivan","given":"Manoj","non-dropping-particle":"","parse-names":false,"suffix":""}],"container-title":"Journal of Medical Virology","id":"ITEM-2","issue":"2","issued":{"date-parts":[["2021"]]},"page":"1013-1022","title":"Postdischarge symptoms and rehabilitation needs in survivors of COVID-19 infection: A cross-sectional evaluation","type":"article-journal","volume":"93"},"uris":["http://www.mendeley.com/documents/?uuid=80bf318a-7130-4ac3-9545-68737618ceab"]},{"id":"ITEM-3","itemData":{"DOI":"10.1186/s13613-021-00910-9","ISBN":"1361302100","ISSN":"21105820","PMID":"34324073","abstract":"Purpose: Many patients with coronavirus disease 2019 (COVID-19) required critical care. Mid-term outcomes of the survivors need to be assessed. The objective of this single-center cohort study was to describe their physical, cognitive, psychological, and biological outcomes at 3 months following intensive care unit (ICU)-discharge (M3). Patients and methods: All COVID-19 adults who survived an ICU stay ≥ 7 days and attended the M3 consultation at our multidisciplinary follow-up clinic were involved. They benefited from a standardized assessment, addressing health-related quality of life (EQ-5D-3L), sleep disorders (PSQI), and the three principal components of post-intensive care syndrome (PICS): physical status (Barthel index, handgrip and quadriceps strength), mental health disorders (HADS and IES-R), and cognitive impairment (MoCA). Biological parameters referred to C-reactive protein and creatinine. Results: Among the 92 patients admitted to our ICU for COVID-19, 42 survived a prolonged ICU stay and 32 (80%) attended the M3 follow-up visit. Their median age was 62 [49–68] years, 72% were male, and nearly half received inpatient rehabilitation following ICU discharge. At M3, 87.5% (28/32) had not regained their baseline level of daily activities. Only 6.2% (2/32) fully recovered, and had normal scores for the three MoCA, IES-R and Barthel scores. The main observed disorders were PSQI &gt; 5 (75%, 24/32), MoCA &lt; 26 (44%, 14/32), Barthel &lt; 100 (31%, 10/32) and IES-R ≥ 33 (28%, 9/32). Combined disorders were observed in 13/32 (40.6%) of the patients. The EQ-5D-3L visual scale was rated at 71 [61–80]. A quarter of patients (8/32) demonstrated a persistent inflammation based on CRP blood level (9.3 [6.8–17.7] mg/L). Conclusion: The burden of severe COVID-19 and prolonged ICU stay was considerable in the present cohort after 3 months, affecting both functional status and biological parameters. These data are an argument on the need for closed follow-up for critically ill COVID-19 survivors.","author":[{"dropping-particle":"","family":"Rousseau","given":"Anne Françoise","non-dropping-particle":"","parse-names":false,"suffix":""},{"dropping-particle":"","family":"Minguet","given":"Pauline","non-dropping-particle":"","parse-names":false,"suffix":""},{"dropping-particle":"","family":"Colson","given":"Camille","non-dropping-particle":"","parse-names":false,"suffix":""},{"dropping-particle":"","family":"Kellens","given":"Isabelle","non-dropping-particle":"","parse-names":false,"suffix":""},{"dropping-particle":"","family":"Chaabane","given":"Sourour","non-dropping-particle":"","parse-names":false,"suffix":""},{"dropping-particle":"","family":"Delanaye","given":"Pierre","non-dropping-particle":"","parse-names":false,"suffix":""},{"dropping-particle":"","family":"Cavalier","given":"Etienne","non-dropping-particle":"","parse-names":false,"suffix":""},{"dropping-particle":"","family":"Chase","given":"J. Geoffrey","non-dropping-particle":"","parse-names":false,"suffix":""},{"dropping-particle":"","family":"Lambermont","given":"Bernard","non-dropping-particle":"","parse-names":false,"suffix":""},{"dropping-particle":"","family":"Misset","given":"Benoit","non-dropping-particle":"","parse-names":false,"suffix":""}],"container-title":"Annals of Intensive Care","id":"ITEM-3","issue":"1","issued":{"date-parts":[["2021"]]},"title":"Post-intensive care syndrome after a critical COVID-19: cohort study from a Belgian follow-up clinic","type":"article-journal","volume":"11"},"uris":["http://www.mendeley.com/documents/?uuid=82e8ac0e-f7e5-422f-a2f3-f1092656ec75"]},{"id":"ITEM-4","itemData":{"DOI":"10.1164/rccm.202110-2335oc","ISBN":"2021102335","ISSN":"1073-449X","abstract":"RATIONALE: The outcomes of survivors of critical illness due to COVID-19 compared to non-COVID are yet to be established. OBJECTIVE: We aimed to compare new disability at 6-months in mechanically ventilated patients admitted to Australian intensive care units (ICUs) with COVID-19 compared to non-COVID-19. METHODS: We included COVID-19 and non-COVID-19 critically ill patients from two prospective observational studies. Patients were eligible if they were adult (age &amp;#8805;18 years) with over 24 hours of mechanical ventilation. MEASUREMENTS: Demographic, intervention and hospital outcome data were obtained from electronic medical records. Survivors were contacted by telephone for functional outcomes with trained outcome assessors using the World Health Organization Disability Assessment Schedule 2.0. MAIN RESULTS: Between 6 March 2020 and 21 April 2021, 120 critically ill patients with COVID-19 and between August 2017 and January 2019, 199 critically ill patients without COVID-19 fulfilled the inclusion criteria. Patients with COVID-19 were older (62 (55-71) vs 58 (44-69), p=0.019) with a lower APACHE II (17 (13-20) vs 19 (15-23), p=0.011). While duration of ventilation was longer in patients with COVID-19 compared to without COVID-19 (12 days (5-19) vs 4.8 (2.3-8.8), p &lt;0.001), 180-day mortality was similar between the groups (39/120 (32.5%) vs 70/199 (35.2%), p=0.715). The incidence of death or new disability at 180 days was similar (58/93 (62.4%) versus 99/150 (66/0%), p=0.583). CONCLUSION: At 6-months there was no difference in new disability for patients requiring mechanical ventilation for acute respiratory failure due to COVID-19 compared to non-COVID-19. This article is open access and distributed under the terms of the Creative Commons Attribution Non-Commercial No Derivatives License 4.0 (http://creativecommons.org/licenses/by-nc-nd/4.0/).","author":[{"dropping-particle":"","family":"Hodgson","given":"Carol L.","non-dropping-particle":"","parse-names":false,"suffix":""},{"dropping-particle":"","family":"Higgins","given":"Alisa M","non-dropping-particle":"","parse-names":false,"suffix":""},{"dropping-particle":"","family":"Bailey","given":"Michael J.","non-dropping-particle":"","parse-names":false,"suffix":""},{"dropping-particle":"","family":"Mather","given":"Anne M.","non-dropping-particle":"","parse-names":false,"suffix":""},{"dropping-particle":"","family":"Beach","given":"Lisa","non-dropping-particle":"","parse-names":false,"suffix":""},{"dropping-particle":"","family":"Bellomo","given":"Rinaldo","non-dropping-particle":"","parse-names":false,"suffix":""},{"dropping-particle":"","family":"Bissett","given":"Bernie","non-dropping-particle":"","parse-names":false,"suffix":""},{"dropping-particle":"","family":"Boden","given":"Ianthe J.","non-dropping-particle":"","parse-names":false,"suffix":""},{"dropping-particle":"","family":"Bradley","given":"Scott","non-dropping-particle":"","parse-names":false,"suffix":""},{"dropping-particle":"","family":"Burrell","given":"Aidan","non-dropping-particle":"","parse-names":false,"suffix":""},{"dropping-particle":"","family":"Cooper","given":"D. James","non-dropping-particle":"","parse-names":false,"suffix":""},{"dropping-particle":"","family":"Fulcher","given":"Bentley J.","non-dropping-particle":"","parse-names":false,"suffix":""},{"dropping-particle":"","family":"Haines","given":"Kimberley J","non-dropping-particle":"","parse-names":false,"suffix":""},{"dropping-particle":"","family":"Hodgson","given":"Isabelle T.","non-dropping-particle":"","parse-names":false,"suffix":""},{"dropping-particle":"","family":"Hopkins","given":"Jack","non-dropping-particle":"","parse-names":false,"suffix":""},{"dropping-particle":"","family":"Jones","given":"Alice Y.M.","non-dropping-particle":"","parse-names":false,"suffix":""},{"dropping-particle":"","family":"Lane","given":"Stuart","non-dropping-particle":"","parse-names":false,"suffix":""},{"dropping-particle":"","family":"Lawrence","given":"Drew","non-dropping-particle":"","parse-names":false,"suffix":""},{"dropping-particle":"","family":"Lee","given":"Lisa","non-dropping-particle":"van der","parse-names":false,"suffix":""},{"dropping-particle":"","family":"Liacos","given":"Jennifer","non-dropping-particle":"","parse-names":false,"suffix":""},{"dropping-particle":"","family":"Linke","given":"Natalie J.","non-dropping-particle":"","parse-names":false,"suffix":""},{"dropping-particle":"","family":"Marques Gomes","given":"Lonni","non-dropping-particle":"","parse-names":false,"suffix":""},{"dropping-particle":"","family":"Nickels","given":"Marc","non-dropping-particle":"","parse-names":false,"suffix":""},{"dropping-particle":"","family":"Ntoumenopoulos","given":"George","non-dropping-particle":"","parse-names":false,"suffix":""},{"dropping-particle":"","family":"Myles","given":"Paul S.","non-dropping-particle":"","parse-names":false,"suffix":""},{"dropping-particle":"","family":"Patman","given":"Shane","non-dropping-particle":"","parse-names":false,"suffix":""},{"dropping-particle":"","family":"Paton","given":"Michelle","non-dropping-particle":"","parse-names":false,"suffix":""},{"dropping-particle":"","family":"Pound","given":"Gemma","non-dropping-particle":"","parse-names":false,"suffix":""},{"dropping-particle":"","family":"Rai","given":"Sumeet","non-dropping-particle":"","parse-names":false,"suffix":""},{"dropping-particle":"","family":"Rix","given":"Alana","non-dropping-particle":"","parse-names":false,"suffix":""},{"dropping-particle":"","family":"Rollinson","given":"Thomas C","non-dropping-particle":"","parse-names":false,"suffix":""},{"dropping-particle":"","family":"Tipping","given":"Claire J","non-dropping-particle":"","parse-names":false,"suffix":""},{"dropping-particle":"","family":"Thomas","given":"Peter","non-dropping-particle":"","parse-names":false,"suffix":""},{"dropping-particle":"","family":"Trapani","given":"Tony","non-dropping-particle":"","parse-names":false,"suffix":""},{"dropping-particle":"","family":"Udy","given":"Andrew A","non-dropping-particle":"","parse-names":false,"suffix":""},{"dropping-particle":"","family":"Whitehead","given":"Christina","non-dropping-particle":"","parse-names":false,"suffix":""},{"dropping-particle":"","family":"Anderson","given":"Shannah","non-dropping-particle":"","parse-names":false,"suffix":""},{"dropping-particle":"","family":"Serpa Neto","given":"Ary","non-dropping-particle":"","parse-names":false,"suffix":""}],"container-title":"American Journal of Respiratory and Critical Care Medicine","id":"ITEM-4","issued":{"date-parts":[["2022"]]},"number-of-pages":"1-41","title":"Comparison of 6-Month Outcomes of COVID-19 vs Non-COVID-19 Survivors of Critical Illness","type":"book"},"uris":["http://www.mendeley.com/documents/?uuid=6e2625f0-1b0e-422a-a919-1a6368724e09"]}],"mendeley":{"formattedCitation":"(19–22)","plainTextFormattedCitation":"(19–22)","previouslyFormattedCitation":"(19–22)"},"properties":{"noteIndex":0},"schema":"https://github.com/citation-style-language/schema/raw/master/csl-citation.json"}</w:instrText>
      </w:r>
      <w:r w:rsidRPr="4A2AA5A2">
        <w:rPr>
          <w:rFonts w:ascii="Times New Roman" w:hAnsi="Times New Roman" w:cs="Times New Roman"/>
          <w:sz w:val="24"/>
          <w:szCs w:val="24"/>
        </w:rPr>
        <w:fldChar w:fldCharType="separate"/>
      </w:r>
      <w:r w:rsidR="00105048" w:rsidRPr="4A2AA5A2">
        <w:rPr>
          <w:rFonts w:ascii="Times New Roman" w:hAnsi="Times New Roman" w:cs="Times New Roman"/>
          <w:noProof/>
          <w:sz w:val="24"/>
          <w:szCs w:val="24"/>
          <w:lang w:val="es-419"/>
        </w:rPr>
        <w:t>(19–22)</w:t>
      </w:r>
      <w:r w:rsidRPr="4A2AA5A2">
        <w:rPr>
          <w:rFonts w:ascii="Times New Roman" w:hAnsi="Times New Roman" w:cs="Times New Roman"/>
          <w:sz w:val="24"/>
          <w:szCs w:val="24"/>
        </w:rPr>
        <w:fldChar w:fldCharType="end"/>
      </w:r>
      <w:r w:rsidR="0EF1F22A" w:rsidRPr="4A2AA5A2">
        <w:rPr>
          <w:rFonts w:ascii="Times New Roman" w:hAnsi="Times New Roman" w:cs="Times New Roman"/>
          <w:sz w:val="24"/>
          <w:szCs w:val="24"/>
          <w:lang w:val="es-419"/>
        </w:rPr>
        <w:t xml:space="preserve">. Sin embargo, ninguno de estos estudios compara pacientes con y sin COVID-19 que hayan sido tratados durante la pandemia de manera concurrente. Por lo tanto, el objetivo de este estudio es comparar la prevalencia de deterioro cognitivo a los 3 meses de pacientes hospitalizados en UCI con y sin COVID-19 que fueron tratados de manera concurrente. </w:t>
      </w:r>
      <w:r w:rsidR="4441CA03" w:rsidRPr="4A2AA5A2">
        <w:rPr>
          <w:rFonts w:ascii="Times New Roman" w:hAnsi="Times New Roman" w:cs="Times New Roman"/>
          <w:sz w:val="24"/>
          <w:szCs w:val="24"/>
          <w:lang w:val="es-419"/>
        </w:rPr>
        <w:t xml:space="preserve">Un objetivo secundario es </w:t>
      </w:r>
      <w:r w:rsidR="31FF1DD6" w:rsidRPr="4A2AA5A2">
        <w:rPr>
          <w:rFonts w:ascii="Times New Roman" w:hAnsi="Times New Roman" w:cs="Times New Roman"/>
          <w:sz w:val="24"/>
          <w:szCs w:val="24"/>
          <w:lang w:val="es-419"/>
        </w:rPr>
        <w:t xml:space="preserve">determinar los factores de riesgo </w:t>
      </w:r>
      <w:r w:rsidR="4B8E427E" w:rsidRPr="4A2AA5A2">
        <w:rPr>
          <w:rFonts w:ascii="Times New Roman" w:hAnsi="Times New Roman" w:cs="Times New Roman"/>
          <w:sz w:val="24"/>
          <w:szCs w:val="24"/>
          <w:lang w:val="es-419"/>
        </w:rPr>
        <w:t>para</w:t>
      </w:r>
      <w:r w:rsidR="31FF1DD6" w:rsidRPr="4A2AA5A2">
        <w:rPr>
          <w:rFonts w:ascii="Times New Roman" w:hAnsi="Times New Roman" w:cs="Times New Roman"/>
          <w:sz w:val="24"/>
          <w:szCs w:val="24"/>
          <w:lang w:val="es-419"/>
        </w:rPr>
        <w:t xml:space="preserve"> deterioro cognitivo a los 3 meses post egreso de la UCI en contexto de pandemia por COVID-19. </w:t>
      </w:r>
    </w:p>
    <w:p w14:paraId="266372BF" w14:textId="77777777" w:rsidR="0062080A" w:rsidRPr="00557263" w:rsidRDefault="0062080A" w:rsidP="0039189E">
      <w:pPr>
        <w:spacing w:line="360" w:lineRule="auto"/>
        <w:ind w:right="709"/>
        <w:jc w:val="both"/>
        <w:rPr>
          <w:rFonts w:ascii="Times New Roman" w:hAnsi="Times New Roman" w:cs="Times New Roman"/>
          <w:sz w:val="24"/>
          <w:szCs w:val="24"/>
          <w:lang w:val="es-419"/>
        </w:rPr>
      </w:pPr>
    </w:p>
    <w:p w14:paraId="098E4900" w14:textId="54933B0C" w:rsidR="00457DA9" w:rsidRPr="00557263" w:rsidRDefault="7E3D498F" w:rsidP="0039189E">
      <w:pPr>
        <w:spacing w:line="360" w:lineRule="auto"/>
        <w:ind w:right="709"/>
        <w:jc w:val="both"/>
        <w:rPr>
          <w:rFonts w:ascii="Times New Roman" w:hAnsi="Times New Roman" w:cs="Times New Roman"/>
          <w:b/>
          <w:bCs/>
          <w:sz w:val="24"/>
          <w:szCs w:val="24"/>
          <w:lang w:val="es-419"/>
        </w:rPr>
      </w:pPr>
      <w:r w:rsidRPr="00557263">
        <w:rPr>
          <w:rFonts w:ascii="Times New Roman" w:hAnsi="Times New Roman" w:cs="Times New Roman"/>
          <w:b/>
          <w:bCs/>
          <w:sz w:val="24"/>
          <w:szCs w:val="24"/>
          <w:lang w:val="es-419"/>
        </w:rPr>
        <w:t>MATERIAL Y MÉTODO.</w:t>
      </w:r>
    </w:p>
    <w:p w14:paraId="2F9A99A8" w14:textId="5CE88802" w:rsidR="00486503" w:rsidRPr="00557263" w:rsidRDefault="008C484D"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Este articulo sigue</w:t>
      </w:r>
      <w:r w:rsidR="00486503" w:rsidRPr="00557263">
        <w:rPr>
          <w:rFonts w:ascii="Times New Roman" w:hAnsi="Times New Roman" w:cs="Times New Roman"/>
          <w:sz w:val="24"/>
          <w:szCs w:val="24"/>
          <w:lang w:val="es-419"/>
        </w:rPr>
        <w:t xml:space="preserve"> la guía de reporte para estudios observacionales STROBE</w:t>
      </w:r>
      <w:r w:rsidR="006C1767" w:rsidRPr="00557263">
        <w:rPr>
          <w:rFonts w:ascii="Times New Roman" w:hAnsi="Times New Roman" w:cs="Times New Roman"/>
          <w:sz w:val="24"/>
          <w:szCs w:val="24"/>
          <w:lang w:val="es-419"/>
        </w:rPr>
        <w:t xml:space="preserve"> </w:t>
      </w:r>
      <w:r w:rsidRPr="00557263">
        <w:rPr>
          <w:rFonts w:ascii="Times New Roman" w:hAnsi="Times New Roman" w:cs="Times New Roman"/>
          <w:sz w:val="24"/>
          <w:szCs w:val="24"/>
          <w:lang w:val="es-419"/>
        </w:rPr>
        <w:fldChar w:fldCharType="begin" w:fldLock="1"/>
      </w:r>
      <w:r w:rsidR="00105048">
        <w:rPr>
          <w:rFonts w:ascii="Times New Roman" w:hAnsi="Times New Roman" w:cs="Times New Roman"/>
          <w:sz w:val="24"/>
          <w:szCs w:val="24"/>
          <w:lang w:val="es-419"/>
        </w:rPr>
        <w:instrText>ADDIN CSL_CITATION {"citationItems":[{"id":"ITEM-1","itemData":{"DOI":"10.1186/s12905-016-0342-2","ISSN":"14726874","PMID":"27618814","abstract":"Background: On behalf of the medical staff of the National Institute of Oncology of Rabat, we conducted a retrospective study to report epidemiology and 5-year outcomes of cervical carcinoma in Moroccan women. Methods: We reviewed all women diagnosed with invasive cervical carcinoma in our institute between January 2006 and December 2006. Outcomes and prognoses are analyzed in patients who received at least one treatment. Results: The analysis included 646 women. Median age was 50 years (23-85 years). Bleeding was the most frequent symptom (95 %). The most predominant histology was squamous cell carcinoma (94 %). The majority of patients were diagnosed at locally advanced stages (88 %). Among patients who received treatment (n=550), the management was based on concurrent chemoradiotherapy in 69.7 % of cases. The median duration of follow-up was 60 months (range 2-78 months). Overall survival, progression free survival, and locoregional recurrence free survival were 63.2, 60.7 and 79.1 % respectively. Significant poor prognostic factors in univariate analysis included stage, tumor size, lymph node involvement, anemia and absence of response to radiotherapy. The prognostic significance of response to radiotherapy and stage were retained in multivariate analysis. Conclusion: Cervical cancer in our Institute is diagnosed at locally advanced stages. Two third of patients were treated by concurrent chemoradiotherapy. Outcome of Moroccan patients are comparable to that of western countries. Significant prognostic factors were stage, tumor size, lymph node involvement, anemia, and response to radiotherapy. The way to reduce the global burden of cervical cancer in our country continues to be the development of vaccination and screening programs.","author":[{"dropping-particle":"","family":"Elmajjaoui","given":"Sanaa","non-dropping-particle":"","parse-names":false,"suffix":""},{"dropping-particle":"","family":"Ismaili","given":"Nabil","non-dropping-particle":"","parse-names":false,"suffix":""},{"dropping-particle":"","family":"Kacemi","given":"Hanane","non-dropping-particle":"El","parse-names":false,"suffix":""},{"dropping-particle":"","family":"Kebdani","given":"Tayeb","non-dropping-particle":"","parse-names":false,"suffix":""},{"dropping-particle":"","family":"Sifat","given":"Hassan","non-dropping-particle":"","parse-names":false,"suffix":""},{"dropping-particle":"","family":"Benjaafar","given":"Noureddine","non-dropping-particle":"","parse-names":false,"suffix":""}],"container-title":"BMC Women's Health","id":"ITEM-1","issue":"1","issued":{"date-parts":[["2016"]]},"page":"1-2","title":"Epidemiology and outcome of cervical cancer in national institute of Morocco","type":"article-journal","volume":"16"},"uris":["http://www.mendeley.com/documents/?uuid=83173332-7d1d-43cd-b303-26d13d6b3258"]}],"mendeley":{"formattedCitation":"(23)","plainTextFormattedCitation":"(23)","previouslyFormattedCitation":"(23)"},"properties":{"noteIndex":0},"schema":"https://github.com/citation-style-language/schema/raw/master/csl-citation.json"}</w:instrText>
      </w:r>
      <w:r w:rsidRPr="00557263">
        <w:rPr>
          <w:rFonts w:ascii="Times New Roman" w:hAnsi="Times New Roman" w:cs="Times New Roman"/>
          <w:sz w:val="24"/>
          <w:szCs w:val="24"/>
          <w:lang w:val="es-419"/>
        </w:rPr>
        <w:fldChar w:fldCharType="separate"/>
      </w:r>
      <w:r w:rsidR="00105048" w:rsidRPr="00105048">
        <w:rPr>
          <w:rFonts w:ascii="Times New Roman" w:hAnsi="Times New Roman" w:cs="Times New Roman"/>
          <w:noProof/>
          <w:sz w:val="24"/>
          <w:szCs w:val="24"/>
          <w:lang w:val="es-419"/>
        </w:rPr>
        <w:t>(23)</w:t>
      </w:r>
      <w:r w:rsidRPr="00557263">
        <w:rPr>
          <w:rFonts w:ascii="Times New Roman" w:hAnsi="Times New Roman" w:cs="Times New Roman"/>
          <w:sz w:val="24"/>
          <w:szCs w:val="24"/>
          <w:lang w:val="es-419"/>
        </w:rPr>
        <w:fldChar w:fldCharType="end"/>
      </w:r>
      <w:r w:rsidR="00486503" w:rsidRPr="00557263">
        <w:rPr>
          <w:rFonts w:ascii="Times New Roman" w:hAnsi="Times New Roman" w:cs="Times New Roman"/>
          <w:sz w:val="24"/>
          <w:szCs w:val="24"/>
          <w:lang w:val="es-419"/>
        </w:rPr>
        <w:t>.</w:t>
      </w:r>
    </w:p>
    <w:p w14:paraId="0C8F4251" w14:textId="0F37D1B7" w:rsidR="006E18AC" w:rsidRPr="00557263" w:rsidRDefault="6474B293"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lastRenderedPageBreak/>
        <w:t>El diseño corresponde a un análisis secundario del estudio IMPACCT</w:t>
      </w:r>
      <w:r w:rsidR="6FB253A9" w:rsidRPr="00557263">
        <w:rPr>
          <w:rFonts w:ascii="Times New Roman" w:hAnsi="Times New Roman" w:cs="Times New Roman"/>
          <w:sz w:val="24"/>
          <w:szCs w:val="24"/>
          <w:lang w:val="es-419"/>
        </w:rPr>
        <w:t xml:space="preserve"> </w:t>
      </w:r>
      <w:r w:rsidRPr="00557263">
        <w:rPr>
          <w:rFonts w:ascii="Times New Roman" w:hAnsi="Times New Roman" w:cs="Times New Roman"/>
          <w:sz w:val="24"/>
          <w:szCs w:val="24"/>
          <w:lang w:val="es-419"/>
        </w:rPr>
        <w:t>COVID</w:t>
      </w:r>
      <w:r w:rsidR="6FB253A9" w:rsidRPr="00557263">
        <w:rPr>
          <w:rFonts w:ascii="Times New Roman" w:hAnsi="Times New Roman" w:cs="Times New Roman"/>
          <w:sz w:val="24"/>
          <w:szCs w:val="24"/>
          <w:lang w:val="es-419"/>
        </w:rPr>
        <w:t>-</w:t>
      </w:r>
      <w:r w:rsidRPr="00557263">
        <w:rPr>
          <w:rFonts w:ascii="Times New Roman" w:hAnsi="Times New Roman" w:cs="Times New Roman"/>
          <w:sz w:val="24"/>
          <w:szCs w:val="24"/>
          <w:lang w:val="es-419"/>
        </w:rPr>
        <w:t>19</w:t>
      </w:r>
      <w:r w:rsidR="006E18AC" w:rsidRPr="00557263">
        <w:rPr>
          <w:rFonts w:ascii="Times New Roman" w:hAnsi="Times New Roman" w:cs="Times New Roman"/>
          <w:sz w:val="24"/>
          <w:szCs w:val="24"/>
          <w:lang w:val="es-419"/>
        </w:rPr>
        <w:fldChar w:fldCharType="begin" w:fldLock="1"/>
      </w:r>
      <w:r w:rsidR="00105048">
        <w:rPr>
          <w:rFonts w:ascii="Times New Roman" w:hAnsi="Times New Roman" w:cs="Times New Roman"/>
          <w:sz w:val="24"/>
          <w:szCs w:val="24"/>
          <w:lang w:val="es-419"/>
        </w:rPr>
        <w:instrText>ADDIN CSL_CITATION {"citationItems":[{"id":"ITEM-1","itemData":{"DOI":"10.1136/bmjopen-2021-053610","ISSN":"20446055","PMID":"34497087","abstract":"Introduction The ongoing pandemic could affect the duration, variety and severity of the mental, physical, and cognitive impairments intensive care unit (ICU) survivors and their families frequently present. We aim to determine the impact of the COVID-19 pandemic on the mental, physical, and cognitive health of survivors, the experience of their families and their treating healthcare professionals. Methods and analysis Prospective, multicentre, mixed-methods cohort study in seven Chilean ICUs. Sample: 450 adults, able to walk independently prior to admission, in ICU and mechanical ventilation &gt;48 hours with and without COVID-19. Clinical Frailty Scale, Charlson comorbidity index, mobility (Functional Status Score for the Status Score for the Intensive Care Unit) and muscle strength (Medical Research Council Sum Score) will be assessed at ICU discharge. Cognitive functioning (Montreal Cognitive Assessment-blind), anxiety and depression (Hospital Anxiety and Depression Scale), post-traumatic stress (Impact of Event Scale-Revised) symptoms, disability (WHO Disability Assessment Schedule 2.0), quality of life (European Quality of Life Health Questionnaire), employment and survival will be assessed at ICU discharge, 3 months and 6 months. A sample will be assessed using actigraphy and the Global Physical Activity Questionnaire at 6 months after ICU discharge. Trajectories of mental, physical, and cognitive impairments will be estimated using multilevel longitudinal modelling. A sensitivity analysis using multiple imputations will be performed to account for missing data and loss-to-follow-up. Survival will be analysed using Kaplan-Meier curves. The perceptions of family members regarding the ICU stay and the later recovery will be explored 3 months after discharge. Healthcare professionals will be invited to discuss the challenges faced during the pandemic using semistructured interviews. Interviews will be thematically analysed by two independent coders to identify the main themes of the experience of family members and healthcare professionals. Ethics and dissemination The study was approved by the Clinica Alemana Universidad del Desarrollo Ethics Committee (2020-78) and each participating site. Study findings will be published in peer-reviewed journals and disseminated through social media and conference meetings. Trial registration number NCT04979897.","author":[{"dropping-particle":"","family":"Castro-Ávila","given":"Ana Cristina","non-dropping-particle":"","parse-names":false,"suffix":""},{"dropping-particle":"","family":"Merino-Osorio","given":"Catalina","non-dropping-particle":"","parse-names":false,"suffix":""},{"dropping-particle":"","family":"González-Seguel","given":"Felipe","non-dropping-particle":"","parse-names":false,"suffix":""},{"dropping-particle":"","family":"Camus-Molina","given":"Agustín","non-dropping-particle":"","parse-names":false,"suffix":""},{"dropping-particle":"","family":"Leppe","given":"Jaime","non-dropping-particle":"","parse-names":false,"suffix":""}],"container-title":"BMJ Open","id":"ITEM-1","issue":"9","issued":{"date-parts":[["2021"]]},"page":"1-10","title":"Impact on Mental, Physical and Cognitive functioning of a Critical care sTay during the COVID-19 pandemic (IMPACCT COVID-19): Protocol for a prospective, multicentre, mixed-methods cohort study","type":"article-journal","volume":"11"},"uris":["http://www.mendeley.com/documents/?uuid=89cd93a6-a26e-473d-9953-4a4d22507b04"]}],"mendeley":{"formattedCitation":"(24)","plainTextFormattedCitation":"(24)","previouslyFormattedCitation":"(24)"},"properties":{"noteIndex":0},"schema":"https://github.com/citation-style-language/schema/raw/master/csl-citation.json"}</w:instrText>
      </w:r>
      <w:r w:rsidR="006E18AC" w:rsidRPr="00557263">
        <w:rPr>
          <w:rFonts w:ascii="Times New Roman" w:hAnsi="Times New Roman" w:cs="Times New Roman"/>
          <w:sz w:val="24"/>
          <w:szCs w:val="24"/>
          <w:lang w:val="es-419"/>
        </w:rPr>
        <w:fldChar w:fldCharType="separate"/>
      </w:r>
      <w:r w:rsidR="00105048" w:rsidRPr="00105048">
        <w:rPr>
          <w:rFonts w:ascii="Times New Roman" w:hAnsi="Times New Roman" w:cs="Times New Roman"/>
          <w:noProof/>
          <w:sz w:val="24"/>
          <w:szCs w:val="24"/>
          <w:lang w:val="es-419"/>
        </w:rPr>
        <w:t>(24)</w:t>
      </w:r>
      <w:r w:rsidR="006E18AC" w:rsidRPr="00557263">
        <w:rPr>
          <w:rFonts w:ascii="Times New Roman" w:hAnsi="Times New Roman" w:cs="Times New Roman"/>
          <w:sz w:val="24"/>
          <w:szCs w:val="24"/>
          <w:lang w:val="es-419"/>
        </w:rPr>
        <w:fldChar w:fldCharType="end"/>
      </w:r>
      <w:r w:rsidRPr="00557263">
        <w:rPr>
          <w:rFonts w:ascii="Times New Roman" w:hAnsi="Times New Roman" w:cs="Times New Roman"/>
          <w:sz w:val="24"/>
          <w:szCs w:val="24"/>
          <w:lang w:val="es-419"/>
        </w:rPr>
        <w:t xml:space="preserve"> </w:t>
      </w:r>
      <w:r w:rsidR="2746EDA5" w:rsidRPr="00557263">
        <w:rPr>
          <w:rFonts w:ascii="Times New Roman" w:hAnsi="Times New Roman" w:cs="Times New Roman"/>
          <w:sz w:val="24"/>
          <w:szCs w:val="24"/>
          <w:lang w:val="es-419"/>
        </w:rPr>
        <w:t>que siguió a una</w:t>
      </w:r>
      <w:r w:rsidR="0F838662" w:rsidRPr="00557263">
        <w:rPr>
          <w:rFonts w:ascii="Times New Roman" w:hAnsi="Times New Roman" w:cs="Times New Roman"/>
          <w:sz w:val="24"/>
          <w:szCs w:val="24"/>
          <w:lang w:val="es-419"/>
        </w:rPr>
        <w:t xml:space="preserve"> </w:t>
      </w:r>
      <w:r w:rsidRPr="00557263">
        <w:rPr>
          <w:rFonts w:ascii="Times New Roman" w:hAnsi="Times New Roman" w:cs="Times New Roman"/>
          <w:sz w:val="24"/>
          <w:szCs w:val="24"/>
          <w:lang w:val="es-419"/>
        </w:rPr>
        <w:t>cohorte prospectiva</w:t>
      </w:r>
      <w:r w:rsidR="2746EDA5" w:rsidRPr="00557263">
        <w:rPr>
          <w:rFonts w:ascii="Times New Roman" w:hAnsi="Times New Roman" w:cs="Times New Roman"/>
          <w:sz w:val="24"/>
          <w:szCs w:val="24"/>
          <w:lang w:val="es-419"/>
        </w:rPr>
        <w:t xml:space="preserve"> de</w:t>
      </w:r>
      <w:r w:rsidRPr="00557263">
        <w:rPr>
          <w:rFonts w:ascii="Times New Roman" w:hAnsi="Times New Roman" w:cs="Times New Roman"/>
          <w:sz w:val="24"/>
          <w:szCs w:val="24"/>
          <w:lang w:val="es-419"/>
        </w:rPr>
        <w:t xml:space="preserve"> sobrevivientes </w:t>
      </w:r>
      <w:r w:rsidR="17B12E6B" w:rsidRPr="00557263">
        <w:rPr>
          <w:rFonts w:ascii="Times New Roman" w:hAnsi="Times New Roman" w:cs="Times New Roman"/>
          <w:sz w:val="24"/>
          <w:szCs w:val="24"/>
          <w:lang w:val="es-419"/>
        </w:rPr>
        <w:t>a</w:t>
      </w:r>
      <w:r w:rsidRPr="00557263">
        <w:rPr>
          <w:rFonts w:ascii="Times New Roman" w:hAnsi="Times New Roman" w:cs="Times New Roman"/>
          <w:sz w:val="24"/>
          <w:szCs w:val="24"/>
          <w:lang w:val="es-419"/>
        </w:rPr>
        <w:t xml:space="preserve"> UCI en siete centros </w:t>
      </w:r>
      <w:r w:rsidR="0F838662" w:rsidRPr="00557263">
        <w:rPr>
          <w:rFonts w:ascii="Times New Roman" w:hAnsi="Times New Roman" w:cs="Times New Roman"/>
          <w:sz w:val="24"/>
          <w:szCs w:val="24"/>
          <w:lang w:val="es-419"/>
        </w:rPr>
        <w:t>(</w:t>
      </w:r>
      <w:r w:rsidR="6FB253A9" w:rsidRPr="00557263">
        <w:rPr>
          <w:rFonts w:ascii="Times New Roman" w:hAnsi="Times New Roman" w:cs="Times New Roman"/>
          <w:sz w:val="24"/>
          <w:szCs w:val="24"/>
          <w:lang w:val="es-419"/>
        </w:rPr>
        <w:t>públicos y privados</w:t>
      </w:r>
      <w:r w:rsidR="0F838662" w:rsidRPr="00557263">
        <w:rPr>
          <w:rFonts w:ascii="Times New Roman" w:hAnsi="Times New Roman" w:cs="Times New Roman"/>
          <w:sz w:val="24"/>
          <w:szCs w:val="24"/>
          <w:lang w:val="es-419"/>
        </w:rPr>
        <w:t>)</w:t>
      </w:r>
      <w:r w:rsidR="6FB253A9" w:rsidRPr="00557263">
        <w:rPr>
          <w:rFonts w:ascii="Times New Roman" w:hAnsi="Times New Roman" w:cs="Times New Roman"/>
          <w:sz w:val="24"/>
          <w:szCs w:val="24"/>
          <w:lang w:val="es-419"/>
        </w:rPr>
        <w:t xml:space="preserve"> </w:t>
      </w:r>
      <w:r w:rsidRPr="00557263">
        <w:rPr>
          <w:rFonts w:ascii="Times New Roman" w:hAnsi="Times New Roman" w:cs="Times New Roman"/>
          <w:sz w:val="24"/>
          <w:szCs w:val="24"/>
          <w:lang w:val="es-419"/>
        </w:rPr>
        <w:t>de Chile durante la pandemia por COVID-19 (entre octubre 2020 – abril 2021)</w:t>
      </w:r>
      <w:r w:rsidR="443E5010" w:rsidRPr="00557263">
        <w:rPr>
          <w:rFonts w:ascii="Times New Roman" w:hAnsi="Times New Roman" w:cs="Times New Roman"/>
          <w:sz w:val="24"/>
          <w:szCs w:val="24"/>
          <w:lang w:val="es-419"/>
        </w:rPr>
        <w:t>.</w:t>
      </w:r>
      <w:r w:rsidR="47EB24A9" w:rsidRPr="00557263">
        <w:rPr>
          <w:rFonts w:ascii="Times New Roman" w:hAnsi="Times New Roman" w:cs="Times New Roman"/>
          <w:sz w:val="24"/>
          <w:szCs w:val="24"/>
          <w:lang w:val="es-419"/>
        </w:rPr>
        <w:t xml:space="preserve"> Ese estudio tuvo por objetivo recopilar información de manera concurrente</w:t>
      </w:r>
      <w:r w:rsidR="115FFE01" w:rsidRPr="00557263">
        <w:rPr>
          <w:rFonts w:ascii="Times New Roman" w:hAnsi="Times New Roman" w:cs="Times New Roman"/>
          <w:sz w:val="24"/>
          <w:szCs w:val="24"/>
          <w:lang w:val="es-419"/>
        </w:rPr>
        <w:t xml:space="preserve"> de pacientes con y sin COVID-19</w:t>
      </w:r>
      <w:r w:rsidR="4C30921F" w:rsidRPr="00557263">
        <w:rPr>
          <w:rFonts w:ascii="Times New Roman" w:hAnsi="Times New Roman" w:cs="Times New Roman"/>
          <w:sz w:val="24"/>
          <w:szCs w:val="24"/>
          <w:lang w:val="es-419"/>
        </w:rPr>
        <w:t xml:space="preserve"> respecto al impacto de las secuelas post UCI</w:t>
      </w:r>
      <w:r w:rsidR="47EB24A9" w:rsidRPr="00557263">
        <w:rPr>
          <w:rFonts w:ascii="Times New Roman" w:hAnsi="Times New Roman" w:cs="Times New Roman"/>
          <w:sz w:val="24"/>
          <w:szCs w:val="24"/>
          <w:lang w:val="es-419"/>
        </w:rPr>
        <w:t xml:space="preserve"> durante una pandemia en Chile</w:t>
      </w:r>
      <w:r w:rsidR="4C30921F" w:rsidRPr="00557263">
        <w:rPr>
          <w:rFonts w:ascii="Times New Roman" w:hAnsi="Times New Roman" w:cs="Times New Roman"/>
          <w:sz w:val="24"/>
          <w:szCs w:val="24"/>
          <w:lang w:val="es-419"/>
        </w:rPr>
        <w:t>.</w:t>
      </w:r>
    </w:p>
    <w:p w14:paraId="16C4DD00" w14:textId="7D6951D7" w:rsidR="00A732A5" w:rsidRPr="00557263" w:rsidRDefault="47EB24A9"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 xml:space="preserve">Los pacientes fueron medidos al egreso de UCI, a los 3 y 6 meses, </w:t>
      </w:r>
      <w:r w:rsidR="05E2855A" w:rsidRPr="00557263">
        <w:rPr>
          <w:rFonts w:ascii="Times New Roman" w:hAnsi="Times New Roman" w:cs="Times New Roman"/>
          <w:sz w:val="24"/>
          <w:szCs w:val="24"/>
          <w:lang w:val="es-419"/>
        </w:rPr>
        <w:t>dividiendo</w:t>
      </w:r>
      <w:r w:rsidRPr="00557263">
        <w:rPr>
          <w:rFonts w:ascii="Times New Roman" w:hAnsi="Times New Roman" w:cs="Times New Roman"/>
          <w:sz w:val="24"/>
          <w:szCs w:val="24"/>
          <w:lang w:val="es-419"/>
        </w:rPr>
        <w:t xml:space="preserve"> la cohorte en tres puntos de seguimiento. En los tres puntos se utilizó el </w:t>
      </w:r>
      <w:r w:rsidR="015EBFFD" w:rsidRPr="00557263">
        <w:rPr>
          <w:rFonts w:ascii="Times New Roman" w:hAnsi="Times New Roman" w:cs="Times New Roman"/>
          <w:sz w:val="24"/>
          <w:szCs w:val="24"/>
          <w:lang w:val="es-419"/>
        </w:rPr>
        <w:t>t</w:t>
      </w:r>
      <w:r w:rsidRPr="00557263">
        <w:rPr>
          <w:rFonts w:ascii="Times New Roman" w:hAnsi="Times New Roman" w:cs="Times New Roman"/>
          <w:sz w:val="24"/>
          <w:szCs w:val="24"/>
          <w:lang w:val="es-419"/>
        </w:rPr>
        <w:t>est MoCA-Blind</w:t>
      </w:r>
      <w:r w:rsidR="05E11D32" w:rsidRPr="00557263">
        <w:rPr>
          <w:rFonts w:ascii="Times New Roman" w:hAnsi="Times New Roman" w:cs="Times New Roman"/>
          <w:sz w:val="24"/>
          <w:szCs w:val="24"/>
          <w:lang w:val="es-419"/>
        </w:rPr>
        <w:t>,</w:t>
      </w:r>
      <w:r w:rsidRPr="00557263">
        <w:rPr>
          <w:rFonts w:ascii="Times New Roman" w:hAnsi="Times New Roman" w:cs="Times New Roman"/>
          <w:sz w:val="24"/>
          <w:szCs w:val="24"/>
          <w:lang w:val="es-419"/>
        </w:rPr>
        <w:t xml:space="preserve"> </w:t>
      </w:r>
      <w:r w:rsidR="05E11D32" w:rsidRPr="00557263">
        <w:rPr>
          <w:rFonts w:ascii="Times New Roman" w:hAnsi="Times New Roman" w:cs="Times New Roman"/>
          <w:sz w:val="24"/>
          <w:szCs w:val="24"/>
          <w:lang w:val="es-419"/>
        </w:rPr>
        <w:t xml:space="preserve">pero usando </w:t>
      </w:r>
      <w:r w:rsidR="2A8C8F77" w:rsidRPr="00557263">
        <w:rPr>
          <w:rFonts w:ascii="Times New Roman" w:hAnsi="Times New Roman" w:cs="Times New Roman"/>
          <w:sz w:val="24"/>
          <w:szCs w:val="24"/>
          <w:lang w:val="es-419"/>
        </w:rPr>
        <w:t>distintas</w:t>
      </w:r>
      <w:r w:rsidRPr="00557263">
        <w:rPr>
          <w:rFonts w:ascii="Times New Roman" w:hAnsi="Times New Roman" w:cs="Times New Roman"/>
          <w:sz w:val="24"/>
          <w:szCs w:val="24"/>
          <w:lang w:val="es-419"/>
        </w:rPr>
        <w:t xml:space="preserve"> versiones.</w:t>
      </w:r>
      <w:r w:rsidR="757A811F" w:rsidRPr="00557263">
        <w:rPr>
          <w:rFonts w:ascii="Times New Roman" w:hAnsi="Times New Roman" w:cs="Times New Roman"/>
          <w:sz w:val="24"/>
          <w:szCs w:val="24"/>
          <w:lang w:val="es-419"/>
        </w:rPr>
        <w:t xml:space="preserve"> La elección del instrumento </w:t>
      </w:r>
      <w:r w:rsidR="3A4A98C7" w:rsidRPr="00557263">
        <w:rPr>
          <w:rFonts w:ascii="Times New Roman" w:hAnsi="Times New Roman" w:cs="Times New Roman"/>
          <w:sz w:val="24"/>
          <w:szCs w:val="24"/>
          <w:lang w:val="es-419"/>
        </w:rPr>
        <w:t>estuvo</w:t>
      </w:r>
      <w:r w:rsidR="757A811F" w:rsidRPr="00557263">
        <w:rPr>
          <w:rFonts w:ascii="Times New Roman" w:hAnsi="Times New Roman" w:cs="Times New Roman"/>
          <w:sz w:val="24"/>
          <w:szCs w:val="24"/>
          <w:lang w:val="es-419"/>
        </w:rPr>
        <w:t xml:space="preserve"> asociad</w:t>
      </w:r>
      <w:r w:rsidR="3A4A98C7" w:rsidRPr="00557263">
        <w:rPr>
          <w:rFonts w:ascii="Times New Roman" w:hAnsi="Times New Roman" w:cs="Times New Roman"/>
          <w:sz w:val="24"/>
          <w:szCs w:val="24"/>
          <w:lang w:val="es-419"/>
        </w:rPr>
        <w:t>a</w:t>
      </w:r>
      <w:r w:rsidR="757A811F" w:rsidRPr="00557263">
        <w:rPr>
          <w:rFonts w:ascii="Times New Roman" w:hAnsi="Times New Roman" w:cs="Times New Roman"/>
          <w:sz w:val="24"/>
          <w:szCs w:val="24"/>
          <w:lang w:val="es-419"/>
        </w:rPr>
        <w:t xml:space="preserve"> al contexto sanitario, ya que permitía aplicación por vía telefónica.</w:t>
      </w:r>
      <w:r w:rsidRPr="00557263">
        <w:rPr>
          <w:rFonts w:ascii="Times New Roman" w:hAnsi="Times New Roman" w:cs="Times New Roman"/>
          <w:sz w:val="24"/>
          <w:szCs w:val="24"/>
          <w:lang w:val="es-419"/>
        </w:rPr>
        <w:t xml:space="preserve"> </w:t>
      </w:r>
      <w:r w:rsidR="757A811F" w:rsidRPr="00557263">
        <w:rPr>
          <w:rFonts w:ascii="Times New Roman" w:hAnsi="Times New Roman" w:cs="Times New Roman"/>
          <w:sz w:val="24"/>
          <w:szCs w:val="24"/>
          <w:lang w:val="es-419"/>
        </w:rPr>
        <w:t xml:space="preserve">Se usó la versión 7.1 post egreso de la UCI y la versión 7.2 a los 3 meses para evitar sesgo de memoria. </w:t>
      </w:r>
      <w:r w:rsidR="1F2F4F5C" w:rsidRPr="00557263">
        <w:rPr>
          <w:rFonts w:ascii="Times New Roman" w:hAnsi="Times New Roman" w:cs="Times New Roman"/>
          <w:sz w:val="24"/>
          <w:szCs w:val="24"/>
          <w:lang w:val="es-419"/>
        </w:rPr>
        <w:t xml:space="preserve">En este estudio, utilizamos los datos de los 3 meses y el outcome de </w:t>
      </w:r>
      <w:r w:rsidR="069C0C01" w:rsidRPr="00557263">
        <w:rPr>
          <w:rFonts w:ascii="Times New Roman" w:hAnsi="Times New Roman" w:cs="Times New Roman"/>
          <w:sz w:val="24"/>
          <w:szCs w:val="24"/>
          <w:lang w:val="es-419"/>
        </w:rPr>
        <w:t>deterioro</w:t>
      </w:r>
      <w:r w:rsidR="1F2F4F5C" w:rsidRPr="00557263">
        <w:rPr>
          <w:rFonts w:ascii="Times New Roman" w:hAnsi="Times New Roman" w:cs="Times New Roman"/>
          <w:sz w:val="24"/>
          <w:szCs w:val="24"/>
          <w:lang w:val="es-419"/>
        </w:rPr>
        <w:t xml:space="preserve"> cognitivo. </w:t>
      </w:r>
    </w:p>
    <w:p w14:paraId="2FFD4F91" w14:textId="49FBB3CC" w:rsidR="009E43F3" w:rsidRPr="00557263" w:rsidRDefault="00A732A5"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Los criterios de inclusión fuero</w:t>
      </w:r>
      <w:r w:rsidR="0065367C" w:rsidRPr="00557263">
        <w:rPr>
          <w:rFonts w:ascii="Times New Roman" w:hAnsi="Times New Roman" w:cs="Times New Roman"/>
          <w:sz w:val="24"/>
          <w:szCs w:val="24"/>
          <w:lang w:val="es-419"/>
        </w:rPr>
        <w:t>n:</w:t>
      </w:r>
      <w:r w:rsidR="009E43F3" w:rsidRPr="00557263">
        <w:rPr>
          <w:rFonts w:ascii="Times New Roman" w:hAnsi="Times New Roman" w:cs="Times New Roman"/>
          <w:sz w:val="24"/>
          <w:szCs w:val="24"/>
          <w:lang w:val="es-419"/>
        </w:rPr>
        <w:t xml:space="preserve"> pacientes mayores de 18 años que hayan requerido ventilación mecánica invasiva</w:t>
      </w:r>
      <w:r w:rsidRPr="00557263">
        <w:rPr>
          <w:rFonts w:ascii="Times New Roman" w:hAnsi="Times New Roman" w:cs="Times New Roman"/>
          <w:sz w:val="24"/>
          <w:szCs w:val="24"/>
          <w:lang w:val="es-419"/>
        </w:rPr>
        <w:t xml:space="preserve"> (VMI)</w:t>
      </w:r>
      <w:r w:rsidR="009E43F3" w:rsidRPr="00557263">
        <w:rPr>
          <w:rFonts w:ascii="Times New Roman" w:hAnsi="Times New Roman" w:cs="Times New Roman"/>
          <w:sz w:val="24"/>
          <w:szCs w:val="24"/>
          <w:lang w:val="es-419"/>
        </w:rPr>
        <w:t xml:space="preserve"> por al menos 48 horas y que hayan ingresado a UCI por COVID-19 u otras causas durante el periodo de reclutamiento. </w:t>
      </w:r>
    </w:p>
    <w:p w14:paraId="25AB0D0C" w14:textId="0A69AD56" w:rsidR="00291011" w:rsidRPr="00557263" w:rsidRDefault="28ED0D61"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Se excluyeron aqu</w:t>
      </w:r>
      <w:r w:rsidR="15E6FA2F" w:rsidRPr="00557263">
        <w:rPr>
          <w:rFonts w:ascii="Times New Roman" w:hAnsi="Times New Roman" w:cs="Times New Roman"/>
          <w:sz w:val="24"/>
          <w:szCs w:val="24"/>
          <w:lang w:val="es-419"/>
        </w:rPr>
        <w:t>e</w:t>
      </w:r>
      <w:r w:rsidRPr="00557263">
        <w:rPr>
          <w:rFonts w:ascii="Times New Roman" w:hAnsi="Times New Roman" w:cs="Times New Roman"/>
          <w:sz w:val="24"/>
          <w:szCs w:val="24"/>
          <w:lang w:val="es-419"/>
        </w:rPr>
        <w:t>llos que ingresa</w:t>
      </w:r>
      <w:r w:rsidR="4441CA03" w:rsidRPr="00557263">
        <w:rPr>
          <w:rFonts w:ascii="Times New Roman" w:hAnsi="Times New Roman" w:cs="Times New Roman"/>
          <w:sz w:val="24"/>
          <w:szCs w:val="24"/>
          <w:lang w:val="es-419"/>
        </w:rPr>
        <w:t>ron</w:t>
      </w:r>
      <w:r w:rsidRPr="00557263">
        <w:rPr>
          <w:rFonts w:ascii="Times New Roman" w:hAnsi="Times New Roman" w:cs="Times New Roman"/>
          <w:sz w:val="24"/>
          <w:szCs w:val="24"/>
          <w:lang w:val="es-419"/>
        </w:rPr>
        <w:t xml:space="preserve"> a UCI por trauma severo, quemaduras, </w:t>
      </w:r>
      <w:r w:rsidR="3BF0555E" w:rsidRPr="00557263">
        <w:rPr>
          <w:rFonts w:ascii="Times New Roman" w:hAnsi="Times New Roman" w:cs="Times New Roman"/>
          <w:sz w:val="24"/>
          <w:szCs w:val="24"/>
          <w:lang w:val="es-419"/>
        </w:rPr>
        <w:t>compromiso</w:t>
      </w:r>
      <w:r w:rsidRPr="00557263">
        <w:rPr>
          <w:rFonts w:ascii="Times New Roman" w:hAnsi="Times New Roman" w:cs="Times New Roman"/>
          <w:sz w:val="24"/>
          <w:szCs w:val="24"/>
          <w:lang w:val="es-419"/>
        </w:rPr>
        <w:t xml:space="preserve"> neurológico o trauma raquimedular. También, se excluyeron a los pacientes que reportaron discapacidad física 2 semanas previas al ingreso a UCI y/o que hayan estado hospitalizados 3 meses antes de su ingreso a UCI. Por último, se excluyeron a pacientes con presencia de delirium o incapacidad de cooperar a su egreso de UCI</w:t>
      </w:r>
      <w:r w:rsidR="6FCC28C0" w:rsidRPr="00557263">
        <w:rPr>
          <w:rFonts w:ascii="Times New Roman" w:hAnsi="Times New Roman" w:cs="Times New Roman"/>
          <w:sz w:val="24"/>
          <w:szCs w:val="24"/>
          <w:lang w:val="es-419"/>
        </w:rPr>
        <w:t xml:space="preserve"> para la adecuada aplicación de las evaluaciones</w:t>
      </w:r>
      <w:r w:rsidRPr="00557263">
        <w:rPr>
          <w:rFonts w:ascii="Times New Roman" w:hAnsi="Times New Roman" w:cs="Times New Roman"/>
          <w:sz w:val="24"/>
          <w:szCs w:val="24"/>
          <w:lang w:val="es-419"/>
        </w:rPr>
        <w:t xml:space="preserve">. </w:t>
      </w:r>
    </w:p>
    <w:p w14:paraId="6EAAEDA4" w14:textId="67C317B2" w:rsidR="006E18AC" w:rsidRPr="00557263" w:rsidRDefault="5D62D367"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Se recopiló desde la ficha clínica información sociodemográfica</w:t>
      </w:r>
      <w:r w:rsidR="21CD482F" w:rsidRPr="00557263">
        <w:rPr>
          <w:rFonts w:ascii="Times New Roman" w:hAnsi="Times New Roman" w:cs="Times New Roman"/>
          <w:sz w:val="24"/>
          <w:szCs w:val="24"/>
          <w:lang w:val="es-419"/>
        </w:rPr>
        <w:t>;</w:t>
      </w:r>
      <w:r w:rsidRPr="00557263">
        <w:rPr>
          <w:rFonts w:ascii="Times New Roman" w:hAnsi="Times New Roman" w:cs="Times New Roman"/>
          <w:sz w:val="24"/>
          <w:szCs w:val="24"/>
          <w:lang w:val="es-419"/>
        </w:rPr>
        <w:t xml:space="preserve"> comorbilidades (índice de Charlson), diagnóstico de ingreso, </w:t>
      </w:r>
      <w:r w:rsidR="0E16C58D" w:rsidRPr="00557263">
        <w:rPr>
          <w:rFonts w:ascii="Times New Roman" w:hAnsi="Times New Roman" w:cs="Times New Roman"/>
          <w:sz w:val="24"/>
          <w:szCs w:val="24"/>
          <w:lang w:val="es-419"/>
        </w:rPr>
        <w:t xml:space="preserve">infección por COVID-19, </w:t>
      </w:r>
      <w:r w:rsidRPr="00557263">
        <w:rPr>
          <w:rFonts w:ascii="Times New Roman" w:hAnsi="Times New Roman" w:cs="Times New Roman"/>
          <w:sz w:val="24"/>
          <w:szCs w:val="24"/>
          <w:lang w:val="es-419"/>
        </w:rPr>
        <w:t>nivel de soporte vital recibido</w:t>
      </w:r>
      <w:r w:rsidR="411FD775" w:rsidRPr="00557263">
        <w:rPr>
          <w:rFonts w:ascii="Times New Roman" w:hAnsi="Times New Roman" w:cs="Times New Roman"/>
          <w:sz w:val="24"/>
          <w:szCs w:val="24"/>
          <w:lang w:val="es-419"/>
        </w:rPr>
        <w:t xml:space="preserve"> </w:t>
      </w:r>
      <w:r w:rsidRPr="00557263">
        <w:rPr>
          <w:rFonts w:ascii="Times New Roman" w:hAnsi="Times New Roman" w:cs="Times New Roman"/>
          <w:sz w:val="24"/>
          <w:szCs w:val="24"/>
          <w:lang w:val="es-419"/>
        </w:rPr>
        <w:t xml:space="preserve">(entendido como el nivel más alto de soporte </w:t>
      </w:r>
      <w:r w:rsidR="6A633700" w:rsidRPr="00557263">
        <w:rPr>
          <w:rFonts w:ascii="Times New Roman" w:hAnsi="Times New Roman" w:cs="Times New Roman"/>
          <w:sz w:val="24"/>
          <w:szCs w:val="24"/>
          <w:lang w:val="es-419"/>
        </w:rPr>
        <w:t>artificial</w:t>
      </w:r>
      <w:r w:rsidRPr="00557263">
        <w:rPr>
          <w:rFonts w:ascii="Times New Roman" w:hAnsi="Times New Roman" w:cs="Times New Roman"/>
          <w:sz w:val="24"/>
          <w:szCs w:val="24"/>
          <w:lang w:val="es-419"/>
        </w:rPr>
        <w:t xml:space="preserve"> alcanzado)</w:t>
      </w:r>
      <w:r w:rsidRPr="00557263">
        <w:rPr>
          <w:rFonts w:ascii="Times New Roman" w:hAnsi="Times New Roman" w:cs="Times New Roman"/>
          <w:sz w:val="24"/>
          <w:szCs w:val="24"/>
          <w:lang w:val="es-419"/>
        </w:rPr>
        <w:fldChar w:fldCharType="begin" w:fldLock="1"/>
      </w:r>
      <w:r w:rsidR="00105048">
        <w:rPr>
          <w:rFonts w:ascii="Times New Roman" w:hAnsi="Times New Roman" w:cs="Times New Roman"/>
          <w:sz w:val="24"/>
          <w:szCs w:val="24"/>
          <w:lang w:val="es-419"/>
        </w:rPr>
        <w:instrText>ADDIN CSL_CITATION {"citationItems":[{"id":"ITEM-1","itemData":{"ISSN":"03759393","PMID":"22447123","abstract":"The outcomes of acute myocardial infarction, trauma, and stroke have improved by implementing processes that provide early diagnosis and aggressive interventions at the most proximal point of disease presentation. A common feature in these conditions is the implementation of early intervention strategies. One decade ago, a similar approach to sepsis began when a prospective randomized trial compared early goal-directed therapy (EGDT) to standard care using specific criteria for the early identification of high risk patients with infection. The components of EGDT were derived from expert consensus opinion to produce a protocol to reverse the hemodynamic perturbations of hypovolemia, vasodysregulation, myocardial suppression and increased metabolic demands for patients with severe sepsis in the intensive care unit (ICU). However, EGDT was provided at the most proximal phase of disease presentation in the Emergency Department (ED). With EGDT, a reduction in mortality of over 16% was shown over standard care. Since the EGDT study was published a decade ago, significant emphasis worldwide has been placed on a comprehensive approach to the first 6 hours of sepsis management which is commonly referred to as the resuscitation bundle (RB). The RB consists of early diagnosis, risk stratification using lactate levels, hemodynamic response after a fluid challenge, antibiotics, source control and hemodynamic optimization or EGDT. This review will examine one decade of evidence for the components of the RB examining its impact on systemic inflammation, the progression of organ failure, health care resource consumption and mortality in severe sepsis and septic shock. © 2012 Edizioni Minerva Medica.","author":[{"dropping-particle":"","family":"Rivers","given":"E. P.","non-dropping-particle":"","parse-names":false,"suffix":""},{"dropping-particle":"","family":"Katranji","given":"M.","non-dropping-particle":"","parse-names":false,"suffix":""},{"dropping-particle":"","family":"Jaehne","given":"K. A.","non-dropping-particle":"","parse-names":false,"suffix":""},{"dropping-particle":"","family":"Brown","given":"S.","non-dropping-particle":"","parse-names":false,"suffix":""},{"dropping-particle":"","family":"Abou Dagher","given":"G.","non-dropping-particle":"","parse-names":false,"suffix":""},{"dropping-particle":"","family":"Cannon","given":"C.","non-dropping-particle":"","parse-names":false,"suffix":""},{"dropping-particle":"","family":"Coba","given":"V.","non-dropping-particle":"","parse-names":false,"suffix":""}],"container-title":"Minerva Anestesiologica","id":"ITEM-1","issue":"6","issued":{"date-parts":[["2012"]]},"page":"712-724","title":"Early interventions in severe sepsis and septic shock: A review of the evidence one decade later","type":"article-journal","volume":"78"},"uris":["http://www.mendeley.com/documents/?uuid=93f7ed29-dafe-4440-ac8e-7186cbacab47"]}],"mendeley":{"formattedCitation":"(25)","plainTextFormattedCitation":"(25)","previouslyFormattedCitation":"(25)"},"properties":{"noteIndex":0},"schema":"https://github.com/citation-style-language/schema/raw/master/csl-citation.json"}</w:instrText>
      </w:r>
      <w:r w:rsidRPr="00557263">
        <w:rPr>
          <w:rFonts w:ascii="Times New Roman" w:hAnsi="Times New Roman" w:cs="Times New Roman"/>
          <w:sz w:val="24"/>
          <w:szCs w:val="24"/>
          <w:lang w:val="es-419"/>
        </w:rPr>
        <w:fldChar w:fldCharType="separate"/>
      </w:r>
      <w:r w:rsidR="00105048" w:rsidRPr="00105048">
        <w:rPr>
          <w:rFonts w:ascii="Times New Roman" w:hAnsi="Times New Roman" w:cs="Times New Roman"/>
          <w:noProof/>
          <w:sz w:val="24"/>
          <w:szCs w:val="24"/>
          <w:lang w:val="es-419"/>
        </w:rPr>
        <w:t>(25)</w:t>
      </w:r>
      <w:r w:rsidRPr="00557263">
        <w:rPr>
          <w:rFonts w:ascii="Times New Roman" w:hAnsi="Times New Roman" w:cs="Times New Roman"/>
          <w:sz w:val="24"/>
          <w:szCs w:val="24"/>
          <w:lang w:val="es-419"/>
        </w:rPr>
        <w:fldChar w:fldCharType="end"/>
      </w:r>
      <w:r w:rsidRPr="00557263">
        <w:rPr>
          <w:rFonts w:ascii="Times New Roman" w:hAnsi="Times New Roman" w:cs="Times New Roman"/>
          <w:sz w:val="24"/>
          <w:szCs w:val="24"/>
          <w:lang w:val="es-419"/>
        </w:rPr>
        <w:t>, días de cama UCI</w:t>
      </w:r>
      <w:r w:rsidR="38EF40EB" w:rsidRPr="00557263">
        <w:rPr>
          <w:rFonts w:ascii="Times New Roman" w:hAnsi="Times New Roman" w:cs="Times New Roman"/>
          <w:sz w:val="24"/>
          <w:szCs w:val="24"/>
          <w:lang w:val="es-419"/>
        </w:rPr>
        <w:t xml:space="preserve"> y</w:t>
      </w:r>
      <w:r w:rsidR="2740E3C7" w:rsidRPr="00557263">
        <w:rPr>
          <w:rFonts w:ascii="Times New Roman" w:hAnsi="Times New Roman" w:cs="Times New Roman"/>
          <w:sz w:val="24"/>
          <w:szCs w:val="24"/>
          <w:lang w:val="es-419"/>
        </w:rPr>
        <w:t xml:space="preserve"> los días </w:t>
      </w:r>
      <w:r w:rsidRPr="00557263">
        <w:rPr>
          <w:rFonts w:ascii="Times New Roman" w:hAnsi="Times New Roman" w:cs="Times New Roman"/>
          <w:sz w:val="24"/>
          <w:szCs w:val="24"/>
          <w:lang w:val="es-419"/>
        </w:rPr>
        <w:t>de ventilación mecánica (VM)</w:t>
      </w:r>
      <w:r w:rsidR="12DC5106" w:rsidRPr="00557263">
        <w:rPr>
          <w:rFonts w:ascii="Times New Roman" w:hAnsi="Times New Roman" w:cs="Times New Roman"/>
          <w:sz w:val="24"/>
          <w:szCs w:val="24"/>
          <w:lang w:val="es-419"/>
        </w:rPr>
        <w:t xml:space="preserve">. </w:t>
      </w:r>
    </w:p>
    <w:p w14:paraId="0A70AED7" w14:textId="4A441028" w:rsidR="000A13B9" w:rsidRPr="00557263" w:rsidRDefault="009E43F3"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Se identificaron</w:t>
      </w:r>
      <w:r w:rsidR="00EA5E8A" w:rsidRPr="00557263">
        <w:rPr>
          <w:rFonts w:ascii="Times New Roman" w:hAnsi="Times New Roman" w:cs="Times New Roman"/>
          <w:sz w:val="24"/>
          <w:szCs w:val="24"/>
          <w:lang w:val="es-419"/>
        </w:rPr>
        <w:t xml:space="preserve"> un total de</w:t>
      </w:r>
      <w:r w:rsidRPr="00557263">
        <w:rPr>
          <w:rFonts w:ascii="Times New Roman" w:hAnsi="Times New Roman" w:cs="Times New Roman"/>
          <w:sz w:val="24"/>
          <w:szCs w:val="24"/>
          <w:lang w:val="es-419"/>
        </w:rPr>
        <w:t xml:space="preserve"> 1.317 pacientes, de los cuales </w:t>
      </w:r>
      <w:r w:rsidR="003270CF" w:rsidRPr="00557263">
        <w:rPr>
          <w:rFonts w:ascii="Times New Roman" w:hAnsi="Times New Roman" w:cs="Times New Roman"/>
          <w:sz w:val="24"/>
          <w:szCs w:val="24"/>
          <w:lang w:val="es-419"/>
        </w:rPr>
        <w:t xml:space="preserve">405 </w:t>
      </w:r>
      <w:r w:rsidRPr="00557263">
        <w:rPr>
          <w:rFonts w:ascii="Times New Roman" w:hAnsi="Times New Roman" w:cs="Times New Roman"/>
          <w:sz w:val="24"/>
          <w:szCs w:val="24"/>
          <w:lang w:val="es-419"/>
        </w:rPr>
        <w:t xml:space="preserve">fueron elegibles al egreso de la UCI y </w:t>
      </w:r>
      <w:r w:rsidR="003270CF" w:rsidRPr="00557263">
        <w:rPr>
          <w:rFonts w:ascii="Times New Roman" w:hAnsi="Times New Roman" w:cs="Times New Roman"/>
          <w:sz w:val="24"/>
          <w:szCs w:val="24"/>
          <w:lang w:val="es-419"/>
        </w:rPr>
        <w:t xml:space="preserve">252 </w:t>
      </w:r>
      <w:r w:rsidRPr="00557263">
        <w:rPr>
          <w:rFonts w:ascii="Times New Roman" w:hAnsi="Times New Roman" w:cs="Times New Roman"/>
          <w:sz w:val="24"/>
          <w:szCs w:val="24"/>
          <w:lang w:val="es-419"/>
        </w:rPr>
        <w:t xml:space="preserve">evaluados al alta. Mientras que, 105 pacientes fueron evaluados a los 3 meses posterior a su egreso de UCI. </w:t>
      </w:r>
      <w:r w:rsidR="006E18AC" w:rsidRPr="00557263">
        <w:rPr>
          <w:rFonts w:ascii="Times New Roman" w:hAnsi="Times New Roman" w:cs="Times New Roman"/>
          <w:sz w:val="24"/>
          <w:szCs w:val="24"/>
          <w:lang w:val="es-419"/>
        </w:rPr>
        <w:t>El criterio de detención del seguimiento fue la muerte o reingreso a la unidad después de haber sido dados de alta de UCI.</w:t>
      </w:r>
    </w:p>
    <w:p w14:paraId="50E746A6" w14:textId="2E1AFD19" w:rsidR="006E18AC" w:rsidRPr="00557263" w:rsidRDefault="006E18AC"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 xml:space="preserve">Este estudio cuenta con aprobación del Comité Ético Científico (CEC) de la Facultad de Medicina Clínica Alemana Universidad del Desarrollo. </w:t>
      </w:r>
    </w:p>
    <w:p w14:paraId="5C6C6EBD" w14:textId="2D4A1572" w:rsidR="004222E4" w:rsidRPr="00557263" w:rsidRDefault="4449762E" w:rsidP="0039189E">
      <w:pPr>
        <w:spacing w:line="360" w:lineRule="auto"/>
        <w:ind w:right="709"/>
        <w:jc w:val="both"/>
        <w:rPr>
          <w:rFonts w:ascii="Times New Roman" w:hAnsi="Times New Roman" w:cs="Times New Roman"/>
          <w:color w:val="FF0000"/>
          <w:sz w:val="24"/>
          <w:szCs w:val="24"/>
          <w:lang w:val="es-419"/>
        </w:rPr>
      </w:pPr>
      <w:r w:rsidRPr="00557263">
        <w:rPr>
          <w:rFonts w:ascii="Times New Roman" w:hAnsi="Times New Roman" w:cs="Times New Roman"/>
          <w:b/>
          <w:bCs/>
          <w:sz w:val="24"/>
          <w:szCs w:val="24"/>
          <w:lang w:val="es-419"/>
        </w:rPr>
        <w:lastRenderedPageBreak/>
        <w:t>Variables</w:t>
      </w:r>
      <w:r w:rsidR="5F8CD807" w:rsidRPr="00557263">
        <w:rPr>
          <w:rFonts w:ascii="Times New Roman" w:hAnsi="Times New Roman" w:cs="Times New Roman"/>
          <w:color w:val="FF0000"/>
          <w:sz w:val="24"/>
          <w:szCs w:val="24"/>
          <w:lang w:val="es-419"/>
        </w:rPr>
        <w:t xml:space="preserve"> </w:t>
      </w:r>
      <w:r w:rsidR="5F8CD807" w:rsidRPr="00557263">
        <w:rPr>
          <w:rFonts w:ascii="Times New Roman" w:hAnsi="Times New Roman" w:cs="Times New Roman"/>
          <w:b/>
          <w:sz w:val="24"/>
          <w:szCs w:val="24"/>
          <w:lang w:val="es-419"/>
        </w:rPr>
        <w:t>independientes.</w:t>
      </w:r>
    </w:p>
    <w:p w14:paraId="6D6D63F0" w14:textId="0A55DBCE" w:rsidR="0065443E" w:rsidRPr="00557263" w:rsidRDefault="344EA247"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Se consideraron como variables independientes, características sociodemográficas como la edad, sexo, nivel educacional</w:t>
      </w:r>
      <w:r w:rsidR="005A19B0" w:rsidRPr="00557263">
        <w:rPr>
          <w:rFonts w:ascii="Times New Roman" w:hAnsi="Times New Roman" w:cs="Times New Roman"/>
          <w:sz w:val="24"/>
          <w:szCs w:val="24"/>
        </w:rPr>
        <w:fldChar w:fldCharType="begin" w:fldLock="1"/>
      </w:r>
      <w:r w:rsidR="00105048">
        <w:rPr>
          <w:rFonts w:ascii="Times New Roman" w:hAnsi="Times New Roman" w:cs="Times New Roman"/>
          <w:sz w:val="24"/>
          <w:szCs w:val="24"/>
          <w:lang w:val="es-419"/>
        </w:rPr>
        <w:instrText>ADDIN CSL_CITATION {"citationItems":[{"id":"ITEM-1","itemData":{"DOI":"10.1378/chest.130.3.869","ISSN":"00123692","PMID":"16963688","abstract":"Background: Until relatively recently, critical care practitioners have focused on the survival of their patients and not on long-term outcomes. The incidence of chronic neurocognitive dysfunction has been underestimated and underreported, and only recently has it been studied in critically ill patients. However, neurocognitive outcomes have been the subject of extensive investigation in other medical populations for many years. Methods: Review of the current literature regarding long-term neurocognitive outcomes following critical illness. Results: Data from studies to date indicate that critical illness can lead to significant neurocognitive impairments. The neurocognitive impairments persist for months and years, and may have important consequences for quality of life, the ability to return to work, overall functional ability, and substantial economic costs. The mechanisms of the neurocognitive impairments are not fully understood but likely include delirium, hypoxia, glucose dysregulation, metabolic derangements, inflammation, and the effects of sedatives and narcotics among other factors. The contributions of these factors may be particularly significant in patients with preexisting vulnerabilities for the development of cognitive impairments such as mild cognitive impairment, dementia, prior traumatic brain injury, or other comorbid disorders associated with neurocognitive impairments. Conclusions: Current research indicates that neurocognitive sequelae following critical illness are common, may be permanent, and are associated with impairments in daily function, decreased quality of life, and an inability to return to work. Research needs to be done to better understand the prevalence, nature, risk factors, and nuances of the neurocognitive impairments observed in ICU survivors.","author":[{"dropping-particle":"","family":"Hopkins","given":"Ramona O.","non-dropping-particle":"","parse-names":false,"suffix":""},{"dropping-particle":"","family":"Jackson","given":"James C.","non-dropping-particle":"","parse-names":false,"suffix":""}],"container-title":"Chest","id":"ITEM-1","issue":"3","issued":{"date-parts":[["2006"]]},"page":"869-878","publisher":"The American College of Chest Physicians","title":"Long-term neurocognitive function after critical illness","type":"article-journal","volume":"130"},"uris":["http://www.mendeley.com/documents/?uuid=2a0c5ddf-eba5-45c7-b615-4f33f3a915b1"]}],"mendeley":{"formattedCitation":"(10)","plainTextFormattedCitation":"(10)","previouslyFormattedCitation":"(10)"},"properties":{"noteIndex":0},"schema":"https://github.com/citation-style-language/schema/raw/master/csl-citation.json"}</w:instrText>
      </w:r>
      <w:r w:rsidR="005A19B0" w:rsidRPr="00557263">
        <w:rPr>
          <w:rFonts w:ascii="Times New Roman" w:hAnsi="Times New Roman" w:cs="Times New Roman"/>
          <w:sz w:val="24"/>
          <w:szCs w:val="24"/>
        </w:rPr>
        <w:fldChar w:fldCharType="separate"/>
      </w:r>
      <w:r w:rsidR="00105048" w:rsidRPr="00105048">
        <w:rPr>
          <w:rFonts w:ascii="Times New Roman" w:hAnsi="Times New Roman" w:cs="Times New Roman"/>
          <w:noProof/>
          <w:sz w:val="24"/>
          <w:szCs w:val="24"/>
          <w:lang w:val="es-419"/>
        </w:rPr>
        <w:t>(10)</w:t>
      </w:r>
      <w:r w:rsidR="005A19B0" w:rsidRPr="00557263">
        <w:rPr>
          <w:rFonts w:ascii="Times New Roman" w:hAnsi="Times New Roman" w:cs="Times New Roman"/>
          <w:sz w:val="24"/>
          <w:szCs w:val="24"/>
        </w:rPr>
        <w:fldChar w:fldCharType="end"/>
      </w:r>
      <w:r w:rsidR="00996BC4" w:rsidRPr="00557263">
        <w:rPr>
          <w:rFonts w:ascii="Times New Roman" w:hAnsi="Times New Roman" w:cs="Times New Roman"/>
          <w:sz w:val="24"/>
          <w:szCs w:val="24"/>
        </w:rPr>
        <w:fldChar w:fldCharType="begin" w:fldLock="1"/>
      </w:r>
      <w:r w:rsidR="00105048">
        <w:rPr>
          <w:rFonts w:ascii="Times New Roman" w:hAnsi="Times New Roman" w:cs="Times New Roman"/>
          <w:sz w:val="24"/>
          <w:szCs w:val="24"/>
          <w:lang w:val="es-419"/>
        </w:rPr>
        <w:instrText>ADDIN CSL_CITATION {"citationItems":[{"id":"ITEM-1","itemData":{"DOI":"10.1016/j.mayocp.2017.11.005","ISSN":"19425546","PMID":"29304923","abstract":"Long-term cognitive impairment is common in survivors of critical illness. Little is known about the etiology of this serious complication. We sought to summarize current scientific knowledge about potentially modifiable risk factors during intensive care unit (ICU) treatment that may play a substantial role in the development of long-term cognitive impairment. All searches were run on October 1, 2017. The search strategy included Ovid MEDLINE, Ovid Embase, Ovid CDR, Cochrane Central Register of Controlled Trials and Database of Abstracts of Reviews of Effect, Scopus, and Web of Science, and included MeSH headings and keywords related to intensive care, critical care, and cognitive disorders. Searches were restricted to adult subjects. Inclusion required follow-up cognitive evaluation at least 2 months after ICU discharge. Studies assessing patients with cardiac arrest, traumatic brain injury, and cardiac surgery history were excluded. The search strategy resulted in 3180 studies. Of these, 28 studies (.88%) met our inclusion criteria and were analyzed. Delirium and duration of delirium were associated with long-term cognitive impairment after ICU admission in 6 of 9 studies in which this factor was analyzed. Weaker and more inconsistent associations have been reported with hypoglycemia, hyperglycemia, fluctuations in serum glucose levels, and in-hospital acute stress symptoms. Instead, most of the studies did not find significant associations between long-term cognitive impairment and mechanical ventilation; use of sedatives, vasopressors, or analgesic medications; enteral feeding; hypoxia; extracorporeal membrane oxygenation; systolic blood pressure; pulse rate; or length of ICU stay. Prolonged delirium may be a risk factor for long-term cognitive impairment after critical illness, though this association has not been entirely consistent across studies. Other potentially preventable factors have not been shown to have strong or consistent associations with long-term cognitive dysfunction in survivors of critical illness.","author":[{"dropping-particle":"","family":"Sakusic","given":"Amra","non-dropping-particle":"","parse-names":false,"suffix":""},{"dropping-particle":"","family":"O'Horo","given":"John C.","non-dropping-particle":"","parse-names":false,"suffix":""},{"dropping-particle":"","family":"Dziadzko","given":"Mikhail","non-dropping-particle":"","parse-names":false,"suffix":""},{"dropping-particle":"","family":"Volha","given":"Dziadzko","non-dropping-particle":"","parse-names":false,"suffix":""},{"dropping-particle":"","family":"Ali","given":"Rashid","non-dropping-particle":"","parse-names":false,"suffix":""},{"dropping-particle":"","family":"Singh","given":"Tarun D.","non-dropping-particle":"","parse-names":false,"suffix":""},{"dropping-particle":"","family":"Kashyap","given":"Rahul","non-dropping-particle":"","parse-names":false,"suffix":""},{"dropping-particle":"","family":"Farrell","given":"Ann M.","non-dropping-particle":"","parse-names":false,"suffix":""},{"dropping-particle":"","family":"Fryer","given":"John D.","non-dropping-particle":"","parse-names":false,"suffix":""},{"dropping-particle":"","family":"Petersen","given":"Ronald","non-dropping-particle":"","parse-names":false,"suffix":""},{"dropping-particle":"","family":"Gajic","given":"Ognjen","non-dropping-particle":"","parse-names":false,"suffix":""},{"dropping-particle":"","family":"Rabinstein","given":"Alejandro A.","non-dropping-particle":"","parse-names":false,"suffix":""}],"container-title":"Mayo Clinic Proceedings","id":"ITEM-1","issue":"1","issued":{"date-parts":[["2018"]]},"page":"68-82","publisher":"Mayo Foundation for Medical Education and Research","title":"Potentially Modifiable Risk Factors for Long-Term Cognitive Impairment After Critical Illness: A Systematic Review","type":"article-journal","volume":"93"},"uris":["http://www.mendeley.com/documents/?uuid=ec72d970-e749-48c3-8c53-34fb9c57d33a"]}],"mendeley":{"formattedCitation":"(26)","plainTextFormattedCitation":"(26)","previouslyFormattedCitation":"(26)"},"properties":{"noteIndex":0},"schema":"https://github.com/citation-style-language/schema/raw/master/csl-citation.json"}</w:instrText>
      </w:r>
      <w:r w:rsidR="00996BC4" w:rsidRPr="00557263">
        <w:rPr>
          <w:rFonts w:ascii="Times New Roman" w:hAnsi="Times New Roman" w:cs="Times New Roman"/>
          <w:sz w:val="24"/>
          <w:szCs w:val="24"/>
        </w:rPr>
        <w:fldChar w:fldCharType="separate"/>
      </w:r>
      <w:r w:rsidR="00105048" w:rsidRPr="00105048">
        <w:rPr>
          <w:rFonts w:ascii="Times New Roman" w:hAnsi="Times New Roman" w:cs="Times New Roman"/>
          <w:noProof/>
          <w:sz w:val="24"/>
          <w:szCs w:val="24"/>
        </w:rPr>
        <w:t>(26)</w:t>
      </w:r>
      <w:r w:rsidR="00996BC4" w:rsidRPr="00557263">
        <w:rPr>
          <w:rFonts w:ascii="Times New Roman" w:hAnsi="Times New Roman" w:cs="Times New Roman"/>
          <w:sz w:val="24"/>
          <w:szCs w:val="24"/>
        </w:rPr>
        <w:fldChar w:fldCharType="end"/>
      </w:r>
      <w:r w:rsidRPr="00557263">
        <w:rPr>
          <w:rFonts w:ascii="Times New Roman" w:hAnsi="Times New Roman" w:cs="Times New Roman"/>
          <w:sz w:val="24"/>
          <w:szCs w:val="24"/>
        </w:rPr>
        <w:t>; y características clínicas como fragilidad</w:t>
      </w:r>
      <w:r w:rsidR="00990FBA" w:rsidRPr="00557263">
        <w:rPr>
          <w:rFonts w:ascii="Times New Roman" w:hAnsi="Times New Roman" w:cs="Times New Roman"/>
          <w:sz w:val="24"/>
          <w:szCs w:val="24"/>
        </w:rPr>
        <w:fldChar w:fldCharType="begin" w:fldLock="1"/>
      </w:r>
      <w:r w:rsidR="00105048">
        <w:rPr>
          <w:rFonts w:ascii="Times New Roman" w:hAnsi="Times New Roman" w:cs="Times New Roman"/>
          <w:sz w:val="24"/>
          <w:szCs w:val="24"/>
        </w:rPr>
        <w:instrText>ADDIN CSL_CITATION {"citationItems":[{"id":"ITEM-1","itemData":{"DOI":"10.1111/aas.14108","ISSN":"13996576","PMID":"35748019","abstract":"Background: ICU admission due to COVID-19 may result in cognitive and physical impairment. We investigated the long-term cognitive and physical status of Danish ICU patients with COVID-19. Methods: We included all patients with COVID-19 admitted to Danish ICUs between March 10 and May 19, 2020. Patients were the contacted prospectively at 6 and 12 months for follow-up. Our primary outcomes were cognitive function and frailty at 6 and 12 months after ICU admission, estimated by the Mini Montreal Cognitive Assessment, and the Clinical Frailty Scale. Secondary outcomes were 6- and 12-month mortality, health-related quality of life (HRQoL) assessed by EQ-5D-5L, functional status (Barthel activities of daily living and Lawton–Brody instrumental activities of daily living), and fatigue (Fatigue Assessment Scale). The study had no information on pre-ICU admission status for the participants. Results: A total of 326 patients were included. The 6- and 12-month mortality was 37% and 38%, respectively. Among the 204 six-month survivors, 105 (51%) participated in the 6-month follow-up; among the 202 twelve-month survivors, 95 (47%) participated in the 12-month follow-up. At 6 months, cognitive scores indicated impairment for 26% (95% confidence interval [CI], 11.4–12.4) and at 12 months for 17% (95% CI, 12.0–12.8) of participants. Frailty was indicated in 20% (95% CI, 3.4–3.9) at 6 months, and for 18% (95% CI, 3.3–3.8) at 12 months. Fatigue was reported by 52% at 6 months, and by 47% at 12 months. For HRQoL, moderate, severe, or extreme health problems were reported by 28% at 6 months, and by 25% at 12 months. Conclusion: Long-term cognitive, functional impairment was found in up to one in four of patients surviving intensive care for COVID-19. Fatigue was present in nearly half the survivors at both 6 and 12 months. However, pre-ICU admission status of the patients was unknown.","author":[{"dropping-particle":"","family":"Weihe","given":"Sarah","non-dropping-particle":"","parse-names":false,"suffix":""},{"dropping-particle":"","family":"Mortensen","given":"Camilla B.","non-dropping-particle":"","parse-names":false,"suffix":""},{"dropping-particle":"","family":"Haase","given":"Nicolai","non-dropping-particle":"","parse-names":false,"suffix":""},{"dropping-particle":"","family":"Andersen","given":"Lars P.K.","non-dropping-particle":"","parse-names":false,"suffix":""},{"dropping-particle":"","family":"Mohr","given":"Thomas","non-dropping-particle":"","parse-names":false,"suffix":""},{"dropping-particle":"","family":"Siegel","given":"Hanna","non-dropping-particle":"","parse-names":false,"suffix":""},{"dropping-particle":"","family":"Ibsen","given":"Michael","non-dropping-particle":"","parse-names":false,"suffix":""},{"dropping-particle":"","family":"Jørgensen","given":"Vibeke R.L.","non-dropping-particle":"","parse-names":false,"suffix":""},{"dropping-particle":"","family":"Buck","given":"David L.","non-dropping-particle":"","parse-names":false,"suffix":""},{"dropping-particle":"","family":"Pedersen","given":"Helle B.S.","non-dropping-particle":"","parse-names":false,"suffix":""},{"dropping-particle":"","family":"Pedersen","given":"Henrik P.","non-dropping-particle":"","parse-names":false,"suffix":""},{"dropping-particle":"","family":"Iversen","given":"Susanne","non-dropping-particle":"","parse-names":false,"suffix":""},{"dropping-particle":"","family":"Ribergaard","given":"Niels","non-dropping-particle":"","parse-names":false,"suffix":""},{"dropping-particle":"","family":"Rasmussen","given":"Bodil S.","non-dropping-particle":"","parse-names":false,"suffix":""},{"dropping-particle":"","family":"Winding","given":"Robert","non-dropping-particle":"","parse-names":false,"suffix":""},{"dropping-particle":"","family":"Espelund","given":"Ulrick S.","non-dropping-particle":"","parse-names":false,"suffix":""},{"dropping-particle":"","family":"Bundgaard","given":"Helle","non-dropping-particle":"","parse-names":false,"suffix":""},{"dropping-particle":"","family":"Sølling","given":"Christoffer G.","non-dropping-particle":"","parse-names":false,"suffix":""},{"dropping-particle":"","family":"Christensen","given":"Steffen","non-dropping-particle":"","parse-names":false,"suffix":""},{"dropping-particle":"","family":"Garcia","given":"Ricardo S.","non-dropping-particle":"","parse-names":false,"suffix":""},{"dropping-particle":"","family":"Brøchner","given":"Anne C.","non-dropping-particle":"","parse-names":false,"suffix":""},{"dropping-particle":"","family":"Michelsen","given":"Jens","non-dropping-particle":"","parse-names":false,"suffix":""},{"dropping-particle":"","family":"Michagin","given":"George","non-dropping-particle":"","parse-names":false,"suffix":""},{"dropping-particle":"","family":"Kirkegaard","given":"Lynge","non-dropping-particle":"","parse-names":false,"suffix":""},{"dropping-particle":"","family":"Perner","given":"Anders","non-dropping-particle":"","parse-names":false,"suffix":""},{"dropping-particle":"","family":"Mathiesen","given":"Ole","non-dropping-particle":"","parse-names":false,"suffix":""},{"dropping-particle":"","family":"Poulsen","given":"Lone M.","non-dropping-particle":"","parse-names":false,"suffix":""}],"container-title":"Acta Anaesthesiologica Scandinavica","id":"ITEM-1","issue":"8","issued":{"date-parts":[["2022"]]},"page":"978-986","title":"Long-term cognitive and functional status in Danish ICU patients with COVID-19","type":"article-journal","volume":"66"},"uris":["http://www.mendeley.com/documents/?uuid=76b86d14-7f98-46a8-97f4-68234e54adf3"]}],"mendeley":{"formattedCitation":"(27)","plainTextFormattedCitation":"(27)","previouslyFormattedCitation":"(27)"},"properties":{"noteIndex":0},"schema":"https://github.com/citation-style-language/schema/raw/master/csl-citation.json"}</w:instrText>
      </w:r>
      <w:r w:rsidR="00990FBA" w:rsidRPr="00557263">
        <w:rPr>
          <w:rFonts w:ascii="Times New Roman" w:hAnsi="Times New Roman" w:cs="Times New Roman"/>
          <w:sz w:val="24"/>
          <w:szCs w:val="24"/>
        </w:rPr>
        <w:fldChar w:fldCharType="separate"/>
      </w:r>
      <w:r w:rsidR="00105048" w:rsidRPr="00105048">
        <w:rPr>
          <w:rFonts w:ascii="Times New Roman" w:hAnsi="Times New Roman" w:cs="Times New Roman"/>
          <w:noProof/>
          <w:sz w:val="24"/>
          <w:szCs w:val="24"/>
          <w:lang w:val="es-419"/>
        </w:rPr>
        <w:t>(27)</w:t>
      </w:r>
      <w:r w:rsidR="00990FBA" w:rsidRPr="00557263">
        <w:rPr>
          <w:rFonts w:ascii="Times New Roman" w:hAnsi="Times New Roman" w:cs="Times New Roman"/>
          <w:sz w:val="24"/>
          <w:szCs w:val="24"/>
        </w:rPr>
        <w:fldChar w:fldCharType="end"/>
      </w:r>
      <w:r w:rsidRPr="00557263">
        <w:rPr>
          <w:rFonts w:ascii="Times New Roman" w:hAnsi="Times New Roman" w:cs="Times New Roman"/>
          <w:sz w:val="24"/>
          <w:szCs w:val="24"/>
          <w:lang w:val="es-419"/>
        </w:rPr>
        <w:t>, comorbilidades, infección por COVID-19, estadía en UCI, duración de VM</w:t>
      </w:r>
      <w:r w:rsidR="00990FBA" w:rsidRPr="00557263">
        <w:rPr>
          <w:rFonts w:ascii="Times New Roman" w:hAnsi="Times New Roman" w:cs="Times New Roman"/>
          <w:sz w:val="24"/>
          <w:szCs w:val="24"/>
        </w:rPr>
        <w:fldChar w:fldCharType="begin" w:fldLock="1"/>
      </w:r>
      <w:r w:rsidR="00105048">
        <w:rPr>
          <w:rFonts w:ascii="Times New Roman" w:hAnsi="Times New Roman" w:cs="Times New Roman"/>
          <w:sz w:val="24"/>
          <w:szCs w:val="24"/>
          <w:lang w:val="es-419"/>
        </w:rPr>
        <w:instrText>ADDIN CSL_CITATION {"citationItems":[{"id":"ITEM-1","itemData":{"DOI":"10.1183/23120541.00004-2022","ISSN":"23120541","abstract":"Background Long-term outcome data of coronavirus disease 2019 (COVID-19) survivors are needed to understand their recovery trajectory and additional care needs. Methods A prospective observational multicentre cohort study was carried out of adults hospitalised with COVID-19 from March through May 2020. Workup at 3 and 12 months following admission consisted of clinical review, pulmonary function testing, 6-min walk distance (6MWD), muscle strength, chest computed tomography (CT) and quality of life questionnaires. We evaluated factors correlating with recovery by linear mixed effects modelling. Results Of 695 patients admitted, 299 and 226 returned at 3 and 12 months, respectively (median age 59 years, 69% male, 31% severe disease). About half and a third of the patients reported fatigue, dyspnoea and/or cognitive impairment at 3 and 12 months, respectively. Reduced 6MWD and quadriceps strength were present in 20% and 60% at 3 months versus 7% and 30% at 12 months. A high anxiety score and body mass index correlated with poor functional recovery. At 3 months, diffusing capacity for carbon monoxide (DLCO) and total lung capacity were below the lower limit of normal in 35% and 18%, decreasing to 21% and 16% at 12 months; predictors of poor DLCO recovery were female sex, pre-existing lung disease, smoking and disease severity. Chest CT improved over time; 10% presented non-progressive fibrotic changes at 1 year. Conclusion Many COVID-19 survivors, especially those with severe disease, experienced limitations at 3 months. At 1 year, the majority showed improvement to almost complete recovery. To identify additional care or rehabilitation needs, we recommend a timely multidisciplinary follow-up visit following COVID-19 admission.","author":[{"dropping-particle":"","family":"Lorent","given":"Natalie","non-dropping-particle":"","parse-names":false,"suffix":""},{"dropping-particle":"Vande","family":"Weygaerde","given":"Yannick","non-dropping-particle":"","parse-names":false,"suffix":""},{"dropping-particle":"","family":"Claeys","given":"Eveline","non-dropping-particle":"","parse-names":false,"suffix":""},{"dropping-particle":"","family":"Fajardo","given":"Ipek Guler Caamano","non-dropping-particle":"","parse-names":false,"suffix":""},{"dropping-particle":"","family":"Vos","given":"Nicolas","non-dropping-particle":"De","parse-names":false,"suffix":""},{"dropping-particle":"","family":"Wever","given":"Walter","non-dropping-particle":"De","parse-names":false,"suffix":""},{"dropping-particle":"","family":"Salhi","given":"Bihiyga","non-dropping-particle":"","parse-names":false,"suffix":""},{"dropping-particle":"","family":"Gyselinck","given":"Iwein","non-dropping-particle":"","parse-names":false,"suffix":""},{"dropping-particle":"","family":"Bosteels","given":"Cedric","non-dropping-particle":"","parse-names":false,"suffix":""},{"dropping-particle":"","family":"Lambrecht","given":"Bart N.","non-dropping-particle":"","parse-names":false,"suffix":""},{"dropping-particle":"","family":"Everaerts","given":"Stephanie","non-dropping-particle":"","parse-names":false,"suffix":""},{"dropping-particle":"","family":"Verschraegen","given":"Sven","non-dropping-particle":"","parse-names":false,"suffix":""},{"dropping-particle":"","family":"Schepers","given":"Christophe","non-dropping-particle":"","parse-names":false,"suffix":""},{"dropping-particle":"","family":"Demeyer","given":"Heleen","non-dropping-particle":"","parse-names":false,"suffix":""},{"dropping-particle":"","family":"Heyns","given":"Arne","non-dropping-particle":"","parse-names":false,"suffix":""},{"dropping-particle":"","family":"Depuydt","given":"Pieter","non-dropping-particle":"","parse-names":false,"suffix":""},{"dropping-particle":"","family":"Oeyen","given":"Sandra","non-dropping-particle":"","parse-names":false,"suffix":""},{"dropping-particle":"","family":"Bleyenbergh","given":"Pascal","non-dropping-particle":"Van","parse-names":false,"suffix":""},{"dropping-particle":"","family":"Godinas","given":"Laurent","non-dropping-particle":"","parse-names":false,"suffix":""},{"dropping-particle":"","family":"Dupont","given":"Lieven","non-dropping-particle":"","parse-names":false,"suffix":""},{"dropping-particle":"","family":"Hermans","given":"Greet","non-dropping-particle":"","parse-names":false,"suffix":""},{"dropping-particle":"","family":"Derom","given":"Eric","non-dropping-particle":"","parse-names":false,"suffix":""},{"dropping-particle":"","family":"Gosselink","given":"Rik","non-dropping-particle":"","parse-names":false,"suffix":""},{"dropping-particle":"","family":"Janssens","given":"Wim","non-dropping-particle":"","parse-names":false,"suffix":""},{"dropping-particle":"","family":"Braeckel","given":"Eva","non-dropping-particle":"Van","parse-names":false,"suffix":""}],"container-title":"ERJ Open Research","id":"ITEM-1","issue":"2","issued":{"date-parts":[["2022"]]},"title":"Prospective longitudinal evaluation of hospitalised COVID-19 survivors 3 and 12 months after discharge","type":"article-journal","volume":"8"},"uris":["http://www.mendeley.com/documents/?uuid=912226a5-2fa7-4afd-8fb6-ae0f86d1c94f"]}],"mendeley":{"formattedCitation":"(28)","plainTextFormattedCitation":"(28)","previouslyFormattedCitation":"(28)"},"properties":{"noteIndex":0},"schema":"https://github.com/citation-style-language/schema/raw/master/csl-citation.json"}</w:instrText>
      </w:r>
      <w:r w:rsidR="00990FBA" w:rsidRPr="00557263">
        <w:rPr>
          <w:rFonts w:ascii="Times New Roman" w:hAnsi="Times New Roman" w:cs="Times New Roman"/>
          <w:sz w:val="24"/>
          <w:szCs w:val="24"/>
        </w:rPr>
        <w:fldChar w:fldCharType="separate"/>
      </w:r>
      <w:r w:rsidR="00105048" w:rsidRPr="00105048">
        <w:rPr>
          <w:rFonts w:ascii="Times New Roman" w:hAnsi="Times New Roman" w:cs="Times New Roman"/>
          <w:noProof/>
          <w:sz w:val="24"/>
          <w:szCs w:val="24"/>
          <w:lang w:val="es-419"/>
        </w:rPr>
        <w:t>(28)</w:t>
      </w:r>
      <w:r w:rsidR="00990FBA" w:rsidRPr="00557263">
        <w:rPr>
          <w:rFonts w:ascii="Times New Roman" w:hAnsi="Times New Roman" w:cs="Times New Roman"/>
          <w:sz w:val="24"/>
          <w:szCs w:val="24"/>
        </w:rPr>
        <w:fldChar w:fldCharType="end"/>
      </w:r>
      <w:r w:rsidRPr="00557263">
        <w:rPr>
          <w:rFonts w:ascii="Times New Roman" w:hAnsi="Times New Roman" w:cs="Times New Roman"/>
          <w:sz w:val="24"/>
          <w:szCs w:val="24"/>
          <w:lang w:val="es-419"/>
        </w:rPr>
        <w:t xml:space="preserve"> y nivel de ocupación de camas</w:t>
      </w:r>
      <w:r w:rsidR="084BAE00" w:rsidRPr="00557263">
        <w:rPr>
          <w:rFonts w:ascii="Times New Roman" w:hAnsi="Times New Roman" w:cs="Times New Roman"/>
          <w:sz w:val="24"/>
          <w:szCs w:val="24"/>
          <w:lang w:val="es-419"/>
        </w:rPr>
        <w:t xml:space="preserve">. </w:t>
      </w:r>
      <w:r w:rsidR="00EA21E1" w:rsidRPr="00557263">
        <w:rPr>
          <w:rFonts w:ascii="Times New Roman" w:hAnsi="Times New Roman" w:cs="Times New Roman"/>
          <w:sz w:val="24"/>
          <w:szCs w:val="24"/>
          <w:lang w:val="es-419"/>
        </w:rPr>
        <w:t>Para la ocupación de camas se consideró como alta cuando</w:t>
      </w:r>
      <w:r w:rsidR="00BA0AA9" w:rsidRPr="00557263">
        <w:rPr>
          <w:rFonts w:ascii="Times New Roman" w:hAnsi="Times New Roman" w:cs="Times New Roman"/>
          <w:sz w:val="24"/>
          <w:szCs w:val="24"/>
          <w:lang w:val="es-419"/>
        </w:rPr>
        <w:t xml:space="preserve"> &gt;90% de camas disponibles estaba ocupada según</w:t>
      </w:r>
      <w:r w:rsidR="356D9408" w:rsidRPr="00557263">
        <w:rPr>
          <w:rFonts w:ascii="Times New Roman" w:hAnsi="Times New Roman" w:cs="Times New Roman"/>
          <w:sz w:val="24"/>
          <w:szCs w:val="24"/>
          <w:lang w:val="es-419"/>
        </w:rPr>
        <w:t xml:space="preserve"> </w:t>
      </w:r>
      <w:r w:rsidR="769D50DB" w:rsidRPr="00557263">
        <w:rPr>
          <w:rFonts w:ascii="Times New Roman" w:hAnsi="Times New Roman" w:cs="Times New Roman"/>
          <w:sz w:val="24"/>
          <w:szCs w:val="24"/>
          <w:lang w:val="es-419"/>
        </w:rPr>
        <w:t xml:space="preserve">la información disponible </w:t>
      </w:r>
      <w:r w:rsidR="49A6C8CE" w:rsidRPr="00557263">
        <w:rPr>
          <w:rFonts w:ascii="Times New Roman" w:hAnsi="Times New Roman" w:cs="Times New Roman"/>
          <w:sz w:val="24"/>
          <w:szCs w:val="24"/>
          <w:lang w:val="es-419"/>
        </w:rPr>
        <w:t>en</w:t>
      </w:r>
      <w:r w:rsidR="769D50DB" w:rsidRPr="00557263">
        <w:rPr>
          <w:rFonts w:ascii="Times New Roman" w:hAnsi="Times New Roman" w:cs="Times New Roman"/>
          <w:sz w:val="24"/>
          <w:szCs w:val="24"/>
          <w:lang w:val="es-419"/>
        </w:rPr>
        <w:t xml:space="preserve"> el </w:t>
      </w:r>
      <w:r w:rsidR="442D1933" w:rsidRPr="00557263">
        <w:rPr>
          <w:rFonts w:ascii="Times New Roman" w:hAnsi="Times New Roman" w:cs="Times New Roman"/>
          <w:sz w:val="24"/>
          <w:szCs w:val="24"/>
          <w:lang w:val="es-419"/>
        </w:rPr>
        <w:t xml:space="preserve">sitio web del </w:t>
      </w:r>
      <w:r w:rsidR="769D50DB" w:rsidRPr="00557263">
        <w:rPr>
          <w:rFonts w:ascii="Times New Roman" w:hAnsi="Times New Roman" w:cs="Times New Roman"/>
          <w:sz w:val="24"/>
          <w:szCs w:val="24"/>
          <w:lang w:val="es-419"/>
        </w:rPr>
        <w:t>Ministerio de Salud de Chile</w:t>
      </w:r>
      <w:r w:rsidR="5C5659D8" w:rsidRPr="00557263">
        <w:rPr>
          <w:rFonts w:ascii="Times New Roman" w:hAnsi="Times New Roman" w:cs="Times New Roman"/>
          <w:sz w:val="24"/>
          <w:szCs w:val="24"/>
          <w:lang w:val="es-419"/>
        </w:rPr>
        <w:t>.</w:t>
      </w:r>
      <w:r w:rsidR="2B16FB7D" w:rsidRPr="00557263">
        <w:rPr>
          <w:rFonts w:ascii="Times New Roman" w:hAnsi="Times New Roman" w:cs="Times New Roman"/>
          <w:sz w:val="24"/>
          <w:szCs w:val="24"/>
          <w:lang w:val="es-419"/>
        </w:rPr>
        <w:t xml:space="preserve"> </w:t>
      </w:r>
      <w:r w:rsidR="00DB4128" w:rsidRPr="00557263">
        <w:rPr>
          <w:rFonts w:ascii="Times New Roman" w:hAnsi="Times New Roman" w:cs="Times New Roman"/>
          <w:sz w:val="24"/>
          <w:szCs w:val="24"/>
        </w:rPr>
        <w:fldChar w:fldCharType="begin" w:fldLock="1"/>
      </w:r>
      <w:r w:rsidR="00105048">
        <w:rPr>
          <w:rFonts w:ascii="Times New Roman" w:hAnsi="Times New Roman" w:cs="Times New Roman"/>
          <w:sz w:val="24"/>
          <w:szCs w:val="24"/>
          <w:lang w:val="es-419"/>
        </w:rPr>
        <w:instrText>ADDIN CSL_CITATION {"citationItems":[{"id":"ITEM-1","itemData":{"ISBN":"9781473127418","abstract":"Final Chapter 39 Bed occupancy Emergency and acute medical care in over 16s: service delivery and organisation NICE guideline 94","author":[{"dropping-particle":"","family":"NICE","given":"","non-dropping-particle":"","parse-names":false,"suffix":""}],"container-title":"Emergency and Acute Medical Care ","id":"ITEM-1","issue":"March","issued":{"date-parts":[["2018"]]},"number-of-pages":"16-21","title":"Chapter 39 Bed occupancy","type":"book"},"uris":["http://www.mendeley.com/documents/?uuid=7564e270-d813-476b-b8af-d2c928a0ea32"]}],"mendeley":{"formattedCitation":"(29)","plainTextFormattedCitation":"(29)","previouslyFormattedCitation":"(29)"},"properties":{"noteIndex":0},"schema":"https://github.com/citation-style-language/schema/raw/master/csl-citation.json"}</w:instrText>
      </w:r>
      <w:r w:rsidR="00DB4128" w:rsidRPr="00557263">
        <w:rPr>
          <w:rFonts w:ascii="Times New Roman" w:hAnsi="Times New Roman" w:cs="Times New Roman"/>
          <w:sz w:val="24"/>
          <w:szCs w:val="24"/>
        </w:rPr>
        <w:fldChar w:fldCharType="separate"/>
      </w:r>
      <w:r w:rsidR="00105048" w:rsidRPr="00105048">
        <w:rPr>
          <w:rFonts w:ascii="Times New Roman" w:hAnsi="Times New Roman" w:cs="Times New Roman"/>
          <w:noProof/>
          <w:sz w:val="24"/>
          <w:szCs w:val="24"/>
          <w:lang w:val="es-419"/>
        </w:rPr>
        <w:t>(29)</w:t>
      </w:r>
      <w:r w:rsidR="00DB4128" w:rsidRPr="00557263">
        <w:rPr>
          <w:rFonts w:ascii="Times New Roman" w:hAnsi="Times New Roman" w:cs="Times New Roman"/>
          <w:sz w:val="24"/>
          <w:szCs w:val="24"/>
        </w:rPr>
        <w:fldChar w:fldCharType="end"/>
      </w:r>
    </w:p>
    <w:p w14:paraId="12DAD9D9" w14:textId="3C585FA7" w:rsidR="00DA6BA3" w:rsidRPr="0039189E" w:rsidRDefault="00DA6BA3" w:rsidP="0039189E">
      <w:pPr>
        <w:spacing w:line="360" w:lineRule="auto"/>
        <w:ind w:right="709"/>
        <w:jc w:val="both"/>
        <w:rPr>
          <w:rFonts w:ascii="Times New Roman" w:hAnsi="Times New Roman" w:cs="Times New Roman"/>
          <w:b/>
          <w:bCs/>
          <w:sz w:val="24"/>
          <w:szCs w:val="24"/>
          <w:lang w:val="es-419"/>
        </w:rPr>
      </w:pPr>
      <w:r w:rsidRPr="4A2AA5A2">
        <w:rPr>
          <w:rFonts w:ascii="Times New Roman" w:hAnsi="Times New Roman" w:cs="Times New Roman"/>
          <w:b/>
          <w:bCs/>
          <w:sz w:val="24"/>
          <w:szCs w:val="24"/>
          <w:lang w:val="es-419"/>
        </w:rPr>
        <w:t>Variable desenlace</w:t>
      </w:r>
    </w:p>
    <w:p w14:paraId="7690B46F" w14:textId="1B5890F0" w:rsidR="004222E4" w:rsidRPr="00557263" w:rsidRDefault="21123CC6"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 xml:space="preserve">El deterioro cognitivo a los 3 meses corresponde a la variable </w:t>
      </w:r>
      <w:r w:rsidR="6D4A8AA9" w:rsidRPr="00557263">
        <w:rPr>
          <w:rFonts w:ascii="Times New Roman" w:hAnsi="Times New Roman" w:cs="Times New Roman"/>
          <w:sz w:val="24"/>
          <w:szCs w:val="24"/>
          <w:lang w:val="es-419"/>
        </w:rPr>
        <w:t>desenlace</w:t>
      </w:r>
      <w:r w:rsidRPr="00557263">
        <w:rPr>
          <w:rFonts w:ascii="Times New Roman" w:hAnsi="Times New Roman" w:cs="Times New Roman"/>
          <w:sz w:val="24"/>
          <w:szCs w:val="24"/>
          <w:lang w:val="es-419"/>
        </w:rPr>
        <w:t xml:space="preserve"> (</w:t>
      </w:r>
      <w:r w:rsidR="0C1F876A" w:rsidRPr="00557263">
        <w:rPr>
          <w:rFonts w:ascii="Times New Roman" w:hAnsi="Times New Roman" w:cs="Times New Roman"/>
          <w:sz w:val="24"/>
          <w:szCs w:val="24"/>
          <w:lang w:val="es-419"/>
        </w:rPr>
        <w:t>dependiente</w:t>
      </w:r>
      <w:r w:rsidRPr="00557263">
        <w:rPr>
          <w:rFonts w:ascii="Times New Roman" w:hAnsi="Times New Roman" w:cs="Times New Roman"/>
          <w:sz w:val="24"/>
          <w:szCs w:val="24"/>
          <w:lang w:val="es-419"/>
        </w:rPr>
        <w:t xml:space="preserve">) y se evaluó con el test </w:t>
      </w:r>
      <w:r w:rsidR="3D10B348" w:rsidRPr="00557263">
        <w:rPr>
          <w:rFonts w:ascii="Times New Roman" w:hAnsi="Times New Roman" w:cs="Times New Roman"/>
          <w:sz w:val="24"/>
          <w:szCs w:val="24"/>
          <w:lang w:val="es-419"/>
        </w:rPr>
        <w:t>MoCA-Blind</w:t>
      </w:r>
      <w:r w:rsidRPr="00557263">
        <w:rPr>
          <w:rFonts w:ascii="Times New Roman" w:hAnsi="Times New Roman" w:cs="Times New Roman"/>
          <w:sz w:val="24"/>
          <w:szCs w:val="24"/>
          <w:lang w:val="es-419"/>
        </w:rPr>
        <w:t xml:space="preserve"> que considera los dominios de memoria, atención, lenguaje, abstracción, recuerdo diferido</w:t>
      </w:r>
      <w:r w:rsidR="5F8CD807" w:rsidRPr="00557263">
        <w:rPr>
          <w:rFonts w:ascii="Times New Roman" w:hAnsi="Times New Roman" w:cs="Times New Roman"/>
          <w:sz w:val="24"/>
          <w:szCs w:val="24"/>
          <w:lang w:val="es-419"/>
        </w:rPr>
        <w:t>,</w:t>
      </w:r>
      <w:r w:rsidRPr="00557263">
        <w:rPr>
          <w:rFonts w:ascii="Times New Roman" w:hAnsi="Times New Roman" w:cs="Times New Roman"/>
          <w:sz w:val="24"/>
          <w:szCs w:val="24"/>
          <w:lang w:val="es-419"/>
        </w:rPr>
        <w:t xml:space="preserve"> y orientación temporo-espacial. El instrumento tiene un puntaje total de 30 p</w:t>
      </w:r>
      <w:r w:rsidR="28A1CF65" w:rsidRPr="00557263">
        <w:rPr>
          <w:rFonts w:ascii="Times New Roman" w:hAnsi="Times New Roman" w:cs="Times New Roman"/>
          <w:sz w:val="24"/>
          <w:szCs w:val="24"/>
          <w:lang w:val="es-419"/>
        </w:rPr>
        <w:t>untos</w:t>
      </w:r>
      <w:r w:rsidRPr="00557263">
        <w:rPr>
          <w:rFonts w:ascii="Times New Roman" w:hAnsi="Times New Roman" w:cs="Times New Roman"/>
          <w:sz w:val="24"/>
          <w:szCs w:val="24"/>
          <w:lang w:val="es-419"/>
        </w:rPr>
        <w:t xml:space="preserve"> y se considera que un sujeto tiene deterioro cognitivo con un puntaje &lt; 18 p</w:t>
      </w:r>
      <w:r w:rsidR="28A1CF65" w:rsidRPr="00557263">
        <w:rPr>
          <w:rFonts w:ascii="Times New Roman" w:hAnsi="Times New Roman" w:cs="Times New Roman"/>
          <w:sz w:val="24"/>
          <w:szCs w:val="24"/>
          <w:lang w:val="es-419"/>
        </w:rPr>
        <w:t>untos</w:t>
      </w:r>
      <w:r w:rsidR="00046433">
        <w:rPr>
          <w:rFonts w:ascii="Times New Roman" w:hAnsi="Times New Roman" w:cs="Times New Roman"/>
          <w:sz w:val="24"/>
          <w:szCs w:val="24"/>
          <w:lang w:val="es-419"/>
        </w:rPr>
        <w:fldChar w:fldCharType="begin" w:fldLock="1"/>
      </w:r>
      <w:r w:rsidR="009D5291">
        <w:rPr>
          <w:rFonts w:ascii="Times New Roman" w:hAnsi="Times New Roman" w:cs="Times New Roman"/>
          <w:sz w:val="24"/>
          <w:szCs w:val="24"/>
          <w:lang w:val="es-419"/>
        </w:rPr>
        <w:instrText>ADDIN CSL_CITATION {"citationItems":[{"id":"ITEM-1","itemData":{"DOI":"10.1038/s41598-021-86615-2","ISBN":"0123456789","ISSN":"20452322","PMID":"33785809","abstract":"The aim of the present study was to examine the concurrent validity of 2 Chinese versions of the short version of the Montreal Cognitive Assessment (MoCA) in patients with stroke, i.e., MoCA 5-minute protocol and National Institute for Neurological Disorders and Stroke and Canadian Stroke Network (NINDS-CSN) 5-minute Protocol. A total of 54 patients and 27 healthy controls were enrolled in this study. In this study, the Neurobehavioural Cognitive Status Examination (NCSE) was used as an external criterion of cognitive impairment. We found that the 5-min protocol did not differ from the MoCA in differentiating patients with cognitive impairments from those without (area under the receiver operating characteristic curve, AUC, of 0.948 for the MoCA 5-min protocol v.s. 0.984 for MoCA, P = 0.097). These three assessments demonstrated equal performance in differentiating patients with stroke from controls. The Chinese version of the MoCA 5-min protocol can be used as a valid screening for patients with stroke.","author":[{"dropping-particle":"","family":"Feng","given":"Yali","non-dropping-particle":"","parse-names":false,"suffix":""},{"dropping-particle":"","family":"Zhang","given":"Jiaqi","non-dropping-particle":"","parse-names":false,"suffix":""},{"dropping-particle":"","family":"Zhou","given":"Yi","non-dropping-particle":"","parse-names":false,"suffix":""},{"dropping-particle":"","family":"Chen","given":"Bo","non-dropping-particle":"","parse-names":false,"suffix":""},{"dropping-particle":"","family":"Yin","given":"Ying","non-dropping-particle":"","parse-names":false,"suffix":""}],"container-title":"Scientific Reports","id":"ITEM-1","issue":"1","issued":{"date-parts":[["2021"]]},"page":"1-7","publisher":"Nature Publishing Group UK","title":"Concurrent validity of the short version of Montreal Cognitive Assessment (MoCA) for patients with stroke","type":"article-journal","volume":"11"},"uris":["http://www.mendeley.com/documents/?uuid=9ec6a9bd-7b5e-4269-a133-39fdfe079c70"]},{"id":"ITEM-2","itemData":{"DOI":"10.1177/08919887211002640","ISSN":"15525708","PMID":"33858238","abstract":"Objective: Compare a telephone version and full version of the Montreal Cognitive Assessment (MoCA). Methods: Cross-sectional analysis of a prospective study. A 20-point telephone version of MoCA (Tele-MoCA) was compared to the Full-MoCA and Mini Mental State Examination. Results: Total of 140 participants enrolled. Mean scores for language were significantly lower with Tele-MoCA than with Full-MoCA (P =.003). Mean Tele-MoCA scores were significantly higher for participants with over 12 years of education (P &lt;.001). Cutoff score of 17 for the Tele-MoCA yielded good specificity (82.2%) and negative predictive value (84.4%), while sensitivity was low (18.2%). Conclusions: Remote screening of cognition with a 20-point Tele-MoCA is as specific for defining normal cognition as the Full-MoCA. This study shows that telephone evaluation is adequate for virtual cognitive screening. Our sample did not allow accurate assessment of sensitivity for Tele-MoCA in detecting MCI or dementia. Further studies with representative populations are needed to establish sensitivity.","author":[{"dropping-particle":"","family":"Klil-Drori","given":"Sivan","non-dropping-particle":"","parse-names":false,"suffix":""},{"dropping-particle":"","family":"Phillips","given":"Natalie","non-dropping-particle":"","parse-names":false,"suffix":""},{"dropping-particle":"","family":"Fernandez","given":"Alita","non-dropping-particle":"","parse-names":false,"suffix":""},{"dropping-particle":"","family":"Solomon","given":"Shelley","non-dropping-particle":"","parse-names":false,"suffix":""},{"dropping-particle":"","family":"Klil-Drori","given":"Adi J.","non-dropping-particle":"","parse-names":false,"suffix":""},{"dropping-particle":"","family":"Chertkow","given":"Howard","non-dropping-particle":"","parse-names":false,"suffix":""}],"container-title":"Journal of Geriatric Psychiatry and Neurology","id":"ITEM-2","issue":"3","issued":{"date-parts":[["2022"]]},"page":"374-381","title":"Evaluation of a Telephone Version for the Montreal Cognitive Assessment: Establishing a Cutoff for Normative Data From a Cross-Sectional Study","type":"article-journal","volume":"35"},"uris":["http://www.mendeley.com/documents/?uuid=4676f212-27ae-4a24-818d-a01cbd202b41"]}],"mendeley":{"formattedCitation":"(30,31)","plainTextFormattedCitation":"(30,31)","previouslyFormattedCitation":"(30,31)"},"properties":{"noteIndex":0},"schema":"https://github.com/citation-style-language/schema/raw/master/csl-citation.json"}</w:instrText>
      </w:r>
      <w:r w:rsidR="00046433">
        <w:rPr>
          <w:rFonts w:ascii="Times New Roman" w:hAnsi="Times New Roman" w:cs="Times New Roman"/>
          <w:sz w:val="24"/>
          <w:szCs w:val="24"/>
          <w:lang w:val="es-419"/>
        </w:rPr>
        <w:fldChar w:fldCharType="separate"/>
      </w:r>
      <w:r w:rsidR="00046433" w:rsidRPr="00046433">
        <w:rPr>
          <w:rFonts w:ascii="Times New Roman" w:hAnsi="Times New Roman" w:cs="Times New Roman"/>
          <w:noProof/>
          <w:sz w:val="24"/>
          <w:szCs w:val="24"/>
          <w:lang w:val="es-419"/>
        </w:rPr>
        <w:t>(30,31)</w:t>
      </w:r>
      <w:r w:rsidR="00046433">
        <w:rPr>
          <w:rFonts w:ascii="Times New Roman" w:hAnsi="Times New Roman" w:cs="Times New Roman"/>
          <w:sz w:val="24"/>
          <w:szCs w:val="24"/>
          <w:lang w:val="es-419"/>
        </w:rPr>
        <w:fldChar w:fldCharType="end"/>
      </w:r>
      <w:r w:rsidR="00046433">
        <w:rPr>
          <w:rFonts w:ascii="Times New Roman" w:hAnsi="Times New Roman" w:cs="Times New Roman"/>
          <w:sz w:val="24"/>
          <w:szCs w:val="24"/>
          <w:lang w:val="es-419"/>
        </w:rPr>
        <w:t>.</w:t>
      </w:r>
      <w:r w:rsidRPr="00557263">
        <w:rPr>
          <w:rFonts w:ascii="Times New Roman" w:hAnsi="Times New Roman" w:cs="Times New Roman"/>
          <w:sz w:val="24"/>
          <w:szCs w:val="24"/>
          <w:lang w:val="es-419"/>
        </w:rPr>
        <w:t xml:space="preserve"> </w:t>
      </w:r>
      <w:r w:rsidR="141B2F65" w:rsidRPr="00557263">
        <w:rPr>
          <w:rFonts w:ascii="Times New Roman" w:hAnsi="Times New Roman" w:cs="Times New Roman"/>
          <w:sz w:val="24"/>
          <w:szCs w:val="24"/>
          <w:lang w:val="es-419"/>
        </w:rPr>
        <w:t>Este test se encuentra validad</w:t>
      </w:r>
      <w:r w:rsidR="5896E1BA" w:rsidRPr="00557263">
        <w:rPr>
          <w:rFonts w:ascii="Times New Roman" w:hAnsi="Times New Roman" w:cs="Times New Roman"/>
          <w:sz w:val="24"/>
          <w:szCs w:val="24"/>
          <w:lang w:val="es-419"/>
        </w:rPr>
        <w:t>o</w:t>
      </w:r>
      <w:r w:rsidR="141B2F65" w:rsidRPr="00557263">
        <w:rPr>
          <w:rFonts w:ascii="Times New Roman" w:hAnsi="Times New Roman" w:cs="Times New Roman"/>
          <w:sz w:val="24"/>
          <w:szCs w:val="24"/>
          <w:lang w:val="es-419"/>
        </w:rPr>
        <w:t xml:space="preserve"> al español, pero no para la población chilena</w:t>
      </w:r>
      <w:r w:rsidR="004222E4" w:rsidRPr="00557263">
        <w:rPr>
          <w:rFonts w:ascii="Times New Roman" w:hAnsi="Times New Roman" w:cs="Times New Roman"/>
          <w:sz w:val="24"/>
          <w:szCs w:val="24"/>
          <w:lang w:val="es-419"/>
        </w:rPr>
        <w:fldChar w:fldCharType="begin" w:fldLock="1"/>
      </w:r>
      <w:r w:rsidR="00975F13">
        <w:rPr>
          <w:rFonts w:ascii="Times New Roman" w:hAnsi="Times New Roman" w:cs="Times New Roman"/>
          <w:sz w:val="24"/>
          <w:szCs w:val="24"/>
          <w:lang w:val="es-419"/>
        </w:rPr>
        <w:instrText>ADDIN CSL_CITATION {"citationItems":[{"id":"ITEM-1","itemData":{"DOI":"10.1016/j.nrl.2019.11.006","ISSN":"15781968","PMID":"31983477","abstract":"Introduction: The neuropsychological batteries traditionally used for the assessment of cognitive impairment (CI) in patients with multiple sclerosis are complex tests requiring a long time to administer. Simpler tests are needed to detect cognitive impairment in daily clinical practice. Objective: We aimed to evaluate the diagnostic validity and reliability of the Montreal Cognitive Assessment (MoCA) test as a screening tool for CI in patients with multiple sclerosis, as compared against the Brief Neuropsychological Battery. Material and methods: We recruited 52 patients with multiple sclerosis (61.5% women; mean age [standard deviation]: 41.7 [11.5] years). We analysed the reliability (internal consistency, interobserver reliability, and test-retest reliability), construct validity (factor analysis, Pearson correlation coefficient, and coefficient of determination), and criterion validity (ROC curve, sensitivity, specificity, total agreement, positive and negative predictive values, positive and negative likelihood ratios, and Fagan nomogram) of the MoCA test in this population. Results: The prevalence of CI was 21.2% according to findings from the Brief Neuropsychological Battery, and 25% according to the MoCA test. The MoCA test showed good internal consistency (Cronbach alpha, 0.822) and interobserver and test-retest reliability (intraclass correlation coefficient 0.80 and 0.96, respectively). The correlation coefficient between total Brief Neuropsychological Battery and MoCA test scores was 0.82. The optimal cut-off point on the ROC curve was 25-26, yielding 91% sensitivity and 93% specificity. Conclusion: The MoCA test is a valid and reliable tool for screening for CI in patients with multiple sclerosis.","author":[{"dropping-particle":"","family":"Gómez-Moreno","given":"S. M.","non-dropping-particle":"","parse-names":false,"suffix":""},{"dropping-particle":"","family":"Cuadrado","given":"M. L.","non-dropping-particle":"","parse-names":false,"suffix":""},{"dropping-particle":"","family":"Cruz-Orduña","given":"I.","non-dropping-particle":"","parse-names":false,"suffix":""},{"dropping-particle":"","family":"Martínez-Acebes","given":"E. M.","non-dropping-particle":"","parse-names":false,"suffix":""},{"dropping-particle":"","family":"Gordo-Mañas","given":"R.","non-dropping-particle":"","parse-names":false,"suffix":""},{"dropping-particle":"","family":"Fernández-Pérez","given":"C.","non-dropping-particle":"","parse-names":false,"suffix":""},{"dropping-particle":"","family":"García-Ramos","given":"R.","non-dropping-particle":"","parse-names":false,"suffix":""}],"container-title":"Neurologia","id":"ITEM-1","issue":"9","issued":{"date-parts":[["2022"]]},"page":"726-734","title":"Validation of the Spanish-language version of the Montreal Cognitive Assessment as a screening test for cognitive impairment in multiple sclerosis","type":"article-journal","volume":"37"},"uris":["http://www.mendeley.com/documents/?uuid=59439e05-35fe-42fb-8db0-c72adae3aa18"]}],"mendeley":{"formattedCitation":"(32)","plainTextFormattedCitation":"(32)","previouslyFormattedCitation":"(32)"},"properties":{"noteIndex":0},"schema":"https://github.com/citation-style-language/schema/raw/master/csl-citation.json"}</w:instrText>
      </w:r>
      <w:r w:rsidR="004222E4" w:rsidRPr="00557263">
        <w:rPr>
          <w:rFonts w:ascii="Times New Roman" w:hAnsi="Times New Roman" w:cs="Times New Roman"/>
          <w:sz w:val="24"/>
          <w:szCs w:val="24"/>
          <w:lang w:val="es-419"/>
        </w:rPr>
        <w:fldChar w:fldCharType="separate"/>
      </w:r>
      <w:r w:rsidR="00105048" w:rsidRPr="00105048">
        <w:rPr>
          <w:rFonts w:ascii="Times New Roman" w:hAnsi="Times New Roman" w:cs="Times New Roman"/>
          <w:noProof/>
          <w:sz w:val="24"/>
          <w:szCs w:val="24"/>
          <w:lang w:val="es-419"/>
        </w:rPr>
        <w:t>(32)</w:t>
      </w:r>
      <w:r w:rsidR="004222E4" w:rsidRPr="00557263">
        <w:rPr>
          <w:rFonts w:ascii="Times New Roman" w:hAnsi="Times New Roman" w:cs="Times New Roman"/>
          <w:sz w:val="24"/>
          <w:szCs w:val="24"/>
          <w:lang w:val="es-419"/>
        </w:rPr>
        <w:fldChar w:fldCharType="end"/>
      </w:r>
      <w:r w:rsidR="00046433">
        <w:rPr>
          <w:rFonts w:ascii="Times New Roman" w:hAnsi="Times New Roman" w:cs="Times New Roman"/>
          <w:sz w:val="24"/>
          <w:szCs w:val="24"/>
          <w:lang w:val="es-419"/>
        </w:rPr>
        <w:t>.</w:t>
      </w:r>
    </w:p>
    <w:p w14:paraId="570C996B" w14:textId="7F7A2C2A" w:rsidR="00457DA9" w:rsidRPr="00557263" w:rsidRDefault="00C51EC9" w:rsidP="0039189E">
      <w:pPr>
        <w:spacing w:line="360" w:lineRule="auto"/>
        <w:ind w:right="709"/>
        <w:jc w:val="both"/>
        <w:rPr>
          <w:rFonts w:ascii="Times New Roman" w:hAnsi="Times New Roman" w:cs="Times New Roman"/>
          <w:b/>
          <w:bCs/>
          <w:sz w:val="24"/>
          <w:szCs w:val="24"/>
          <w:lang w:val="es-419"/>
        </w:rPr>
      </w:pPr>
      <w:r w:rsidRPr="00557263">
        <w:rPr>
          <w:rFonts w:ascii="Times New Roman" w:hAnsi="Times New Roman" w:cs="Times New Roman"/>
          <w:b/>
          <w:bCs/>
          <w:sz w:val="24"/>
          <w:szCs w:val="24"/>
          <w:lang w:val="es-419"/>
        </w:rPr>
        <w:t>Plan de análisis</w:t>
      </w:r>
    </w:p>
    <w:p w14:paraId="29EF217D" w14:textId="32878F2A" w:rsidR="007C3C50" w:rsidRPr="00557263" w:rsidRDefault="67A6B4C2" w:rsidP="0039189E">
      <w:pPr>
        <w:spacing w:line="360" w:lineRule="auto"/>
        <w:ind w:right="709"/>
        <w:jc w:val="both"/>
        <w:rPr>
          <w:rFonts w:ascii="Times New Roman" w:hAnsi="Times New Roman" w:cs="Times New Roman"/>
          <w:sz w:val="24"/>
          <w:szCs w:val="24"/>
          <w:lang w:val="es-419"/>
        </w:rPr>
      </w:pPr>
      <w:r w:rsidRPr="1EEEACEB">
        <w:rPr>
          <w:rFonts w:ascii="Times New Roman" w:hAnsi="Times New Roman" w:cs="Times New Roman"/>
          <w:sz w:val="24"/>
          <w:szCs w:val="24"/>
          <w:lang w:val="es-419"/>
        </w:rPr>
        <w:t xml:space="preserve">Se utilizó el test de Shapiro-Wilk para determinar </w:t>
      </w:r>
      <w:r w:rsidR="145F0EFF" w:rsidRPr="1EEEACEB">
        <w:rPr>
          <w:rFonts w:ascii="Times New Roman" w:hAnsi="Times New Roman" w:cs="Times New Roman"/>
          <w:sz w:val="24"/>
          <w:szCs w:val="24"/>
          <w:lang w:val="es-419"/>
        </w:rPr>
        <w:t xml:space="preserve">si </w:t>
      </w:r>
      <w:r w:rsidR="00DA6BA3" w:rsidRPr="1EEEACEB">
        <w:rPr>
          <w:rFonts w:ascii="Times New Roman" w:hAnsi="Times New Roman" w:cs="Times New Roman"/>
          <w:sz w:val="24"/>
          <w:szCs w:val="24"/>
          <w:lang w:val="es-419"/>
        </w:rPr>
        <w:t xml:space="preserve">las variables </w:t>
      </w:r>
      <w:r w:rsidR="007739C2" w:rsidRPr="1EEEACEB">
        <w:rPr>
          <w:rFonts w:ascii="Times New Roman" w:hAnsi="Times New Roman" w:cs="Times New Roman"/>
          <w:sz w:val="24"/>
          <w:szCs w:val="24"/>
          <w:lang w:val="es-419"/>
        </w:rPr>
        <w:t>cuantitativas</w:t>
      </w:r>
      <w:r w:rsidR="6BC81FFC" w:rsidRPr="1EEEACEB">
        <w:rPr>
          <w:rFonts w:ascii="Times New Roman" w:hAnsi="Times New Roman" w:cs="Times New Roman"/>
          <w:sz w:val="24"/>
          <w:szCs w:val="24"/>
          <w:lang w:val="es-419"/>
        </w:rPr>
        <w:t xml:space="preserve"> </w:t>
      </w:r>
      <w:r w:rsidR="145F0EFF" w:rsidRPr="1EEEACEB">
        <w:rPr>
          <w:rFonts w:ascii="Times New Roman" w:hAnsi="Times New Roman" w:cs="Times New Roman"/>
          <w:sz w:val="24"/>
          <w:szCs w:val="24"/>
          <w:lang w:val="es-419"/>
        </w:rPr>
        <w:t xml:space="preserve">seguían una </w:t>
      </w:r>
      <w:r w:rsidRPr="1EEEACEB">
        <w:rPr>
          <w:rFonts w:ascii="Times New Roman" w:hAnsi="Times New Roman" w:cs="Times New Roman"/>
          <w:sz w:val="24"/>
          <w:szCs w:val="24"/>
          <w:lang w:val="es-419"/>
        </w:rPr>
        <w:t xml:space="preserve">distribución </w:t>
      </w:r>
      <w:r w:rsidR="145F0EFF" w:rsidRPr="1EEEACEB">
        <w:rPr>
          <w:rFonts w:ascii="Times New Roman" w:hAnsi="Times New Roman" w:cs="Times New Roman"/>
          <w:sz w:val="24"/>
          <w:szCs w:val="24"/>
          <w:lang w:val="es-419"/>
        </w:rPr>
        <w:t>normal</w:t>
      </w:r>
      <w:r w:rsidRPr="1EEEACEB">
        <w:rPr>
          <w:rFonts w:ascii="Times New Roman" w:hAnsi="Times New Roman" w:cs="Times New Roman"/>
          <w:sz w:val="24"/>
          <w:szCs w:val="24"/>
          <w:lang w:val="es-419"/>
        </w:rPr>
        <w:t>. Se expresaron en promedio (X) y desviación estándar (DE) aqu</w:t>
      </w:r>
      <w:r w:rsidR="0B6A32FF" w:rsidRPr="1EEEACEB">
        <w:rPr>
          <w:rFonts w:ascii="Times New Roman" w:hAnsi="Times New Roman" w:cs="Times New Roman"/>
          <w:sz w:val="24"/>
          <w:szCs w:val="24"/>
          <w:lang w:val="es-419"/>
        </w:rPr>
        <w:t>e</w:t>
      </w:r>
      <w:r w:rsidRPr="1EEEACEB">
        <w:rPr>
          <w:rFonts w:ascii="Times New Roman" w:hAnsi="Times New Roman" w:cs="Times New Roman"/>
          <w:sz w:val="24"/>
          <w:szCs w:val="24"/>
          <w:lang w:val="es-419"/>
        </w:rPr>
        <w:t>llas que distribuyeron normal</w:t>
      </w:r>
      <w:r w:rsidR="00E81A5E" w:rsidRPr="1EEEACEB">
        <w:rPr>
          <w:rFonts w:ascii="Times New Roman" w:hAnsi="Times New Roman" w:cs="Times New Roman"/>
          <w:sz w:val="24"/>
          <w:szCs w:val="24"/>
          <w:lang w:val="es-419"/>
        </w:rPr>
        <w:t xml:space="preserve">. </w:t>
      </w:r>
      <w:r w:rsidR="009C5C2E" w:rsidRPr="1EEEACEB">
        <w:rPr>
          <w:rFonts w:ascii="Times New Roman" w:hAnsi="Times New Roman" w:cs="Times New Roman"/>
          <w:sz w:val="24"/>
          <w:szCs w:val="24"/>
          <w:lang w:val="es-419"/>
        </w:rPr>
        <w:t>L</w:t>
      </w:r>
      <w:r w:rsidR="00E81A5E" w:rsidRPr="1EEEACEB">
        <w:rPr>
          <w:rFonts w:ascii="Times New Roman" w:hAnsi="Times New Roman" w:cs="Times New Roman"/>
          <w:sz w:val="24"/>
          <w:szCs w:val="24"/>
          <w:lang w:val="es-419"/>
        </w:rPr>
        <w:t>as variables ordinales y aquellas que no seguían una distribución normal</w:t>
      </w:r>
      <w:r w:rsidR="009C5C2E" w:rsidRPr="1EEEACEB">
        <w:rPr>
          <w:rFonts w:ascii="Times New Roman" w:hAnsi="Times New Roman" w:cs="Times New Roman"/>
          <w:sz w:val="24"/>
          <w:szCs w:val="24"/>
          <w:lang w:val="es-419"/>
        </w:rPr>
        <w:t xml:space="preserve"> se presentan </w:t>
      </w:r>
      <w:r w:rsidRPr="1EEEACEB">
        <w:rPr>
          <w:rFonts w:ascii="Times New Roman" w:hAnsi="Times New Roman" w:cs="Times New Roman"/>
          <w:sz w:val="24"/>
          <w:szCs w:val="24"/>
          <w:lang w:val="es-419"/>
        </w:rPr>
        <w:t>en mediana (P25</w:t>
      </w:r>
      <w:r w:rsidR="004C616E" w:rsidRPr="1EEEACEB">
        <w:rPr>
          <w:rFonts w:ascii="Times New Roman" w:hAnsi="Times New Roman" w:cs="Times New Roman"/>
          <w:sz w:val="24"/>
          <w:szCs w:val="24"/>
          <w:lang w:val="es-419"/>
        </w:rPr>
        <w:t xml:space="preserve">, </w:t>
      </w:r>
      <w:r w:rsidRPr="1EEEACEB">
        <w:rPr>
          <w:rFonts w:ascii="Times New Roman" w:hAnsi="Times New Roman" w:cs="Times New Roman"/>
          <w:sz w:val="24"/>
          <w:szCs w:val="24"/>
          <w:lang w:val="es-419"/>
        </w:rPr>
        <w:t xml:space="preserve">P75). </w:t>
      </w:r>
    </w:p>
    <w:p w14:paraId="7DFD8452" w14:textId="1A526E6A" w:rsidR="00CB5FA7" w:rsidRPr="00557263" w:rsidRDefault="007C3C50" w:rsidP="0039189E">
      <w:pPr>
        <w:spacing w:line="360" w:lineRule="auto"/>
        <w:ind w:right="709"/>
        <w:jc w:val="both"/>
        <w:rPr>
          <w:rFonts w:ascii="Times New Roman" w:hAnsi="Times New Roman" w:cs="Times New Roman"/>
          <w:sz w:val="24"/>
          <w:szCs w:val="24"/>
          <w:lang w:val="es-419"/>
        </w:rPr>
      </w:pPr>
      <w:r w:rsidRPr="4A2AA5A2">
        <w:rPr>
          <w:rFonts w:ascii="Times New Roman" w:hAnsi="Times New Roman" w:cs="Times New Roman"/>
          <w:sz w:val="24"/>
          <w:szCs w:val="24"/>
          <w:lang w:val="es-419"/>
        </w:rPr>
        <w:t xml:space="preserve">La presencia del deterioro cognitivo se </w:t>
      </w:r>
      <w:r w:rsidR="00733DDF" w:rsidRPr="4A2AA5A2">
        <w:rPr>
          <w:rFonts w:ascii="Times New Roman" w:hAnsi="Times New Roman" w:cs="Times New Roman"/>
          <w:sz w:val="24"/>
          <w:szCs w:val="24"/>
          <w:lang w:val="es-419"/>
        </w:rPr>
        <w:t xml:space="preserve">determinó al alta de UCI y a los 3 meses. Para ambos puntos se </w:t>
      </w:r>
      <w:r w:rsidRPr="4A2AA5A2">
        <w:rPr>
          <w:rFonts w:ascii="Times New Roman" w:hAnsi="Times New Roman" w:cs="Times New Roman"/>
          <w:sz w:val="24"/>
          <w:szCs w:val="24"/>
          <w:lang w:val="es-419"/>
        </w:rPr>
        <w:t>expresó en frecuencia absoluta y porcentaje</w:t>
      </w:r>
      <w:r w:rsidR="00CB5FA7" w:rsidRPr="4A2AA5A2">
        <w:rPr>
          <w:rFonts w:ascii="Times New Roman" w:hAnsi="Times New Roman" w:cs="Times New Roman"/>
          <w:sz w:val="24"/>
          <w:szCs w:val="24"/>
          <w:lang w:val="es-419"/>
        </w:rPr>
        <w:t>.</w:t>
      </w:r>
      <w:r w:rsidR="00597F67" w:rsidRPr="4A2AA5A2">
        <w:rPr>
          <w:rFonts w:ascii="Times New Roman" w:hAnsi="Times New Roman" w:cs="Times New Roman"/>
          <w:sz w:val="24"/>
          <w:szCs w:val="24"/>
          <w:lang w:val="es-419"/>
        </w:rPr>
        <w:t xml:space="preserve"> Para analizar la distribución de los puntajes según deterioro cognitivo, los puntajes para cada dominio del MoCA-Blind fueron transformados a una escala de 0 a 100 donde 0 era el puntaje mínimo y 100 el puntaje máximo para ese dominio.</w:t>
      </w:r>
    </w:p>
    <w:p w14:paraId="54A697A5" w14:textId="72BF7F93" w:rsidR="008C66BA" w:rsidRPr="00557263" w:rsidRDefault="6C36152A"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 xml:space="preserve">Se determinó asociación entre deterioro cognitivo a los 3 meses para cada una </w:t>
      </w:r>
      <w:r w:rsidR="28A1CF65" w:rsidRPr="00557263">
        <w:rPr>
          <w:rFonts w:ascii="Times New Roman" w:hAnsi="Times New Roman" w:cs="Times New Roman"/>
          <w:sz w:val="24"/>
          <w:szCs w:val="24"/>
          <w:lang w:val="es-419"/>
        </w:rPr>
        <w:t>las variables descritas previamente</w:t>
      </w:r>
      <w:r w:rsidRPr="00557263">
        <w:rPr>
          <w:rFonts w:ascii="Times New Roman" w:hAnsi="Times New Roman" w:cs="Times New Roman"/>
          <w:sz w:val="24"/>
          <w:szCs w:val="24"/>
          <w:lang w:val="es-419"/>
        </w:rPr>
        <w:t xml:space="preserve"> mediante una regresión logística simple. Luego, se hizo una regresión logística multivar</w:t>
      </w:r>
      <w:r w:rsidR="5896E1BA" w:rsidRPr="00557263">
        <w:rPr>
          <w:rFonts w:ascii="Times New Roman" w:hAnsi="Times New Roman" w:cs="Times New Roman"/>
          <w:sz w:val="24"/>
          <w:szCs w:val="24"/>
          <w:lang w:val="es-419"/>
        </w:rPr>
        <w:t>i</w:t>
      </w:r>
      <w:r w:rsidRPr="00557263">
        <w:rPr>
          <w:rFonts w:ascii="Times New Roman" w:hAnsi="Times New Roman" w:cs="Times New Roman"/>
          <w:sz w:val="24"/>
          <w:szCs w:val="24"/>
          <w:lang w:val="es-419"/>
        </w:rPr>
        <w:t>ada</w:t>
      </w:r>
      <w:r w:rsidR="0B6A32FF" w:rsidRPr="00557263">
        <w:rPr>
          <w:rFonts w:ascii="Times New Roman" w:hAnsi="Times New Roman" w:cs="Times New Roman"/>
          <w:sz w:val="24"/>
          <w:szCs w:val="24"/>
          <w:lang w:val="es-419"/>
        </w:rPr>
        <w:t xml:space="preserve"> incluyendo</w:t>
      </w:r>
      <w:r w:rsidR="2B0EF266" w:rsidRPr="00557263">
        <w:rPr>
          <w:rFonts w:ascii="Times New Roman" w:hAnsi="Times New Roman" w:cs="Times New Roman"/>
          <w:sz w:val="24"/>
          <w:szCs w:val="24"/>
          <w:lang w:val="es-419"/>
        </w:rPr>
        <w:t xml:space="preserve"> edad, años de educación, sexo(femenino), </w:t>
      </w:r>
      <w:r w:rsidR="4DF40C38" w:rsidRPr="00557263">
        <w:rPr>
          <w:rFonts w:ascii="Times New Roman" w:hAnsi="Times New Roman" w:cs="Times New Roman"/>
          <w:sz w:val="24"/>
          <w:szCs w:val="24"/>
          <w:lang w:val="es-419"/>
        </w:rPr>
        <w:t>diagnóstico</w:t>
      </w:r>
      <w:r w:rsidR="4BA5E0FD" w:rsidRPr="00557263">
        <w:rPr>
          <w:rFonts w:ascii="Times New Roman" w:hAnsi="Times New Roman" w:cs="Times New Roman"/>
          <w:sz w:val="24"/>
          <w:szCs w:val="24"/>
          <w:lang w:val="es-419"/>
        </w:rPr>
        <w:t xml:space="preserve"> d</w:t>
      </w:r>
      <w:r w:rsidR="2B0EF266" w:rsidRPr="00557263">
        <w:rPr>
          <w:rFonts w:ascii="Times New Roman" w:hAnsi="Times New Roman" w:cs="Times New Roman"/>
          <w:sz w:val="24"/>
          <w:szCs w:val="24"/>
          <w:lang w:val="es-419"/>
        </w:rPr>
        <w:t>e ingreso, fragilidad, alta ocupación de cama y comorbilidades</w:t>
      </w:r>
      <w:r w:rsidRPr="00557263">
        <w:rPr>
          <w:rFonts w:ascii="Times New Roman" w:hAnsi="Times New Roman" w:cs="Times New Roman"/>
          <w:sz w:val="24"/>
          <w:szCs w:val="24"/>
          <w:lang w:val="es-419"/>
        </w:rPr>
        <w:t xml:space="preserve">. </w:t>
      </w:r>
      <w:r w:rsidR="145F0EFF" w:rsidRPr="00557263">
        <w:rPr>
          <w:rFonts w:ascii="Times New Roman" w:hAnsi="Times New Roman" w:cs="Times New Roman"/>
          <w:sz w:val="24"/>
          <w:szCs w:val="24"/>
          <w:lang w:val="es-419"/>
        </w:rPr>
        <w:t xml:space="preserve">Los resultados se </w:t>
      </w:r>
      <w:r w:rsidRPr="00557263">
        <w:rPr>
          <w:rFonts w:ascii="Times New Roman" w:hAnsi="Times New Roman" w:cs="Times New Roman"/>
          <w:sz w:val="24"/>
          <w:szCs w:val="24"/>
          <w:lang w:val="es-419"/>
        </w:rPr>
        <w:t>expresan</w:t>
      </w:r>
      <w:r w:rsidR="145F0EFF" w:rsidRPr="00557263">
        <w:rPr>
          <w:rFonts w:ascii="Times New Roman" w:hAnsi="Times New Roman" w:cs="Times New Roman"/>
          <w:sz w:val="24"/>
          <w:szCs w:val="24"/>
          <w:lang w:val="es-419"/>
        </w:rPr>
        <w:t xml:space="preserve"> en Odds Ratio (OR) e intervalo de confianza del 95% (IC95%). </w:t>
      </w:r>
    </w:p>
    <w:p w14:paraId="69738087" w14:textId="5CD4804C" w:rsidR="00ED7800" w:rsidRPr="00557263" w:rsidRDefault="00ED7800" w:rsidP="0039189E">
      <w:pPr>
        <w:spacing w:line="360" w:lineRule="auto"/>
        <w:ind w:right="709"/>
        <w:jc w:val="both"/>
        <w:rPr>
          <w:rFonts w:ascii="Times New Roman" w:hAnsi="Times New Roman" w:cs="Times New Roman"/>
          <w:sz w:val="24"/>
          <w:szCs w:val="24"/>
          <w:lang w:val="es-419"/>
        </w:rPr>
      </w:pPr>
    </w:p>
    <w:p w14:paraId="789FAE0E" w14:textId="7DEBA7D9" w:rsidR="00553F32" w:rsidRPr="0039189E" w:rsidRDefault="48EEAC10" w:rsidP="0039189E">
      <w:pPr>
        <w:ind w:right="709"/>
        <w:rPr>
          <w:rFonts w:ascii="Times New Roman" w:hAnsi="Times New Roman" w:cs="Times New Roman"/>
          <w:b/>
          <w:bCs/>
          <w:sz w:val="24"/>
          <w:szCs w:val="24"/>
          <w:lang w:val="es-419"/>
        </w:rPr>
      </w:pPr>
      <w:r w:rsidRPr="00557263">
        <w:rPr>
          <w:rFonts w:ascii="Times New Roman" w:hAnsi="Times New Roman" w:cs="Times New Roman"/>
          <w:b/>
          <w:bCs/>
          <w:sz w:val="24"/>
          <w:szCs w:val="24"/>
          <w:lang w:val="es-419"/>
        </w:rPr>
        <w:t>RESULTADOS</w:t>
      </w:r>
      <w:r w:rsidR="38564893" w:rsidRPr="00557263">
        <w:rPr>
          <w:rFonts w:ascii="Times New Roman" w:hAnsi="Times New Roman" w:cs="Times New Roman"/>
          <w:b/>
          <w:bCs/>
          <w:sz w:val="24"/>
          <w:szCs w:val="24"/>
          <w:lang w:val="es-419"/>
        </w:rPr>
        <w:t xml:space="preserve"> </w:t>
      </w:r>
    </w:p>
    <w:p w14:paraId="2423862E" w14:textId="54140611" w:rsidR="007865B1" w:rsidRPr="00557263" w:rsidRDefault="002C44FE" w:rsidP="0039189E">
      <w:pPr>
        <w:spacing w:line="360" w:lineRule="auto"/>
        <w:ind w:right="709"/>
        <w:jc w:val="both"/>
        <w:rPr>
          <w:rFonts w:ascii="Times New Roman" w:hAnsi="Times New Roman" w:cs="Times New Roman"/>
          <w:sz w:val="24"/>
          <w:szCs w:val="24"/>
          <w:lang w:val="es-419"/>
        </w:rPr>
      </w:pPr>
      <w:r w:rsidRPr="16C47A3A">
        <w:rPr>
          <w:rFonts w:ascii="Times New Roman" w:hAnsi="Times New Roman" w:cs="Times New Roman"/>
          <w:sz w:val="24"/>
          <w:szCs w:val="24"/>
          <w:lang w:val="es-419"/>
        </w:rPr>
        <w:lastRenderedPageBreak/>
        <w:t xml:space="preserve">De </w:t>
      </w:r>
      <w:r w:rsidR="00244809" w:rsidRPr="16C47A3A">
        <w:rPr>
          <w:rFonts w:ascii="Times New Roman" w:hAnsi="Times New Roman" w:cs="Times New Roman"/>
          <w:sz w:val="24"/>
          <w:szCs w:val="24"/>
          <w:lang w:val="es-419"/>
        </w:rPr>
        <w:t>los 10</w:t>
      </w:r>
      <w:r w:rsidR="001021E1" w:rsidRPr="16C47A3A">
        <w:rPr>
          <w:rFonts w:ascii="Times New Roman" w:hAnsi="Times New Roman" w:cs="Times New Roman"/>
          <w:sz w:val="24"/>
          <w:szCs w:val="24"/>
          <w:lang w:val="es-419"/>
        </w:rPr>
        <w:t>5</w:t>
      </w:r>
      <w:r w:rsidR="00244809" w:rsidRPr="16C47A3A">
        <w:rPr>
          <w:rFonts w:ascii="Times New Roman" w:hAnsi="Times New Roman" w:cs="Times New Roman"/>
          <w:sz w:val="24"/>
          <w:szCs w:val="24"/>
          <w:lang w:val="es-419"/>
        </w:rPr>
        <w:t xml:space="preserve"> pacientes evaluados a los 3 meses</w:t>
      </w:r>
      <w:r w:rsidR="001021E1" w:rsidRPr="16C47A3A">
        <w:rPr>
          <w:rFonts w:ascii="Times New Roman" w:hAnsi="Times New Roman" w:cs="Times New Roman"/>
          <w:sz w:val="24"/>
          <w:szCs w:val="24"/>
          <w:lang w:val="es-419"/>
        </w:rPr>
        <w:t xml:space="preserve">, dos fueron excluidos </w:t>
      </w:r>
      <w:r w:rsidR="001306DD" w:rsidRPr="16C47A3A">
        <w:rPr>
          <w:rFonts w:ascii="Times New Roman" w:hAnsi="Times New Roman" w:cs="Times New Roman"/>
          <w:sz w:val="24"/>
          <w:szCs w:val="24"/>
          <w:lang w:val="es-419"/>
        </w:rPr>
        <w:t>porque</w:t>
      </w:r>
      <w:r w:rsidR="001021E1" w:rsidRPr="16C47A3A">
        <w:rPr>
          <w:rFonts w:ascii="Times New Roman" w:hAnsi="Times New Roman" w:cs="Times New Roman"/>
          <w:sz w:val="24"/>
          <w:szCs w:val="24"/>
          <w:lang w:val="es-419"/>
        </w:rPr>
        <w:t xml:space="preserve"> no tenían evaluación completa del </w:t>
      </w:r>
      <w:r w:rsidR="00DB4128" w:rsidRPr="16C47A3A">
        <w:rPr>
          <w:rFonts w:ascii="Times New Roman" w:hAnsi="Times New Roman" w:cs="Times New Roman"/>
          <w:sz w:val="24"/>
          <w:szCs w:val="24"/>
          <w:lang w:val="es-419"/>
        </w:rPr>
        <w:t>MoCA-Blind</w:t>
      </w:r>
      <w:r w:rsidR="001021E1" w:rsidRPr="16C47A3A">
        <w:rPr>
          <w:rFonts w:ascii="Times New Roman" w:hAnsi="Times New Roman" w:cs="Times New Roman"/>
          <w:sz w:val="24"/>
          <w:szCs w:val="24"/>
          <w:lang w:val="es-419"/>
        </w:rPr>
        <w:t xml:space="preserve">. </w:t>
      </w:r>
    </w:p>
    <w:p w14:paraId="40E6339D" w14:textId="628E7022" w:rsidR="00943FA0" w:rsidRPr="00557263" w:rsidRDefault="0A5DF9CD" w:rsidP="0039189E">
      <w:pPr>
        <w:spacing w:line="360" w:lineRule="auto"/>
        <w:ind w:right="709"/>
        <w:jc w:val="both"/>
        <w:rPr>
          <w:rFonts w:ascii="Times New Roman" w:hAnsi="Times New Roman" w:cs="Times New Roman"/>
          <w:sz w:val="24"/>
          <w:szCs w:val="24"/>
          <w:lang w:val="es-419"/>
        </w:rPr>
      </w:pPr>
      <w:r w:rsidRPr="4A2AA5A2">
        <w:rPr>
          <w:rFonts w:ascii="Times New Roman" w:hAnsi="Times New Roman" w:cs="Times New Roman"/>
          <w:sz w:val="24"/>
          <w:szCs w:val="24"/>
          <w:lang w:val="es-419"/>
        </w:rPr>
        <w:t>De los</w:t>
      </w:r>
      <w:r w:rsidR="30B0EC15" w:rsidRPr="4A2AA5A2">
        <w:rPr>
          <w:rFonts w:ascii="Times New Roman" w:hAnsi="Times New Roman" w:cs="Times New Roman"/>
          <w:sz w:val="24"/>
          <w:szCs w:val="24"/>
          <w:lang w:val="es-419"/>
        </w:rPr>
        <w:t xml:space="preserve"> pacientes analizados</w:t>
      </w:r>
      <w:r w:rsidRPr="4A2AA5A2">
        <w:rPr>
          <w:rFonts w:ascii="Times New Roman" w:hAnsi="Times New Roman" w:cs="Times New Roman"/>
          <w:sz w:val="24"/>
          <w:szCs w:val="24"/>
          <w:lang w:val="es-419"/>
        </w:rPr>
        <w:t xml:space="preserve">, </w:t>
      </w:r>
      <w:r w:rsidR="6A8FB88D" w:rsidRPr="4A2AA5A2">
        <w:rPr>
          <w:rFonts w:ascii="Times New Roman" w:hAnsi="Times New Roman" w:cs="Times New Roman"/>
          <w:sz w:val="24"/>
          <w:szCs w:val="24"/>
          <w:lang w:val="es-419"/>
        </w:rPr>
        <w:t>34(3</w:t>
      </w:r>
      <w:r w:rsidR="25369FF6" w:rsidRPr="4A2AA5A2">
        <w:rPr>
          <w:rFonts w:ascii="Times New Roman" w:hAnsi="Times New Roman" w:cs="Times New Roman"/>
          <w:sz w:val="24"/>
          <w:szCs w:val="24"/>
          <w:lang w:val="es-419"/>
        </w:rPr>
        <w:t>3</w:t>
      </w:r>
      <w:r w:rsidR="6A8FB88D" w:rsidRPr="4A2AA5A2">
        <w:rPr>
          <w:rFonts w:ascii="Times New Roman" w:hAnsi="Times New Roman" w:cs="Times New Roman"/>
          <w:sz w:val="24"/>
          <w:szCs w:val="24"/>
          <w:lang w:val="es-419"/>
        </w:rPr>
        <w:t>%) correspondía a mujeres, la mediana (</w:t>
      </w:r>
      <w:r w:rsidR="004C616E" w:rsidRPr="4A2AA5A2">
        <w:rPr>
          <w:rFonts w:ascii="Times New Roman" w:hAnsi="Times New Roman" w:cs="Times New Roman"/>
          <w:sz w:val="24"/>
          <w:szCs w:val="24"/>
          <w:lang w:val="es-419"/>
        </w:rPr>
        <w:t>P25</w:t>
      </w:r>
      <w:r w:rsidR="0C1FF2A0" w:rsidRPr="4A2AA5A2">
        <w:rPr>
          <w:rFonts w:ascii="Times New Roman" w:hAnsi="Times New Roman" w:cs="Times New Roman"/>
          <w:sz w:val="24"/>
          <w:szCs w:val="24"/>
          <w:lang w:val="es-419"/>
        </w:rPr>
        <w:t xml:space="preserve">, </w:t>
      </w:r>
      <w:r w:rsidR="004C616E" w:rsidRPr="4A2AA5A2">
        <w:rPr>
          <w:rFonts w:ascii="Times New Roman" w:hAnsi="Times New Roman" w:cs="Times New Roman"/>
          <w:sz w:val="24"/>
          <w:szCs w:val="24"/>
          <w:lang w:val="es-419"/>
        </w:rPr>
        <w:t>P</w:t>
      </w:r>
      <w:r w:rsidR="6A8FB88D" w:rsidRPr="4A2AA5A2">
        <w:rPr>
          <w:rFonts w:ascii="Times New Roman" w:hAnsi="Times New Roman" w:cs="Times New Roman"/>
          <w:sz w:val="24"/>
          <w:szCs w:val="24"/>
          <w:lang w:val="es-419"/>
        </w:rPr>
        <w:t>75) de edad fue 5</w:t>
      </w:r>
      <w:r w:rsidR="25369FF6" w:rsidRPr="4A2AA5A2">
        <w:rPr>
          <w:rFonts w:ascii="Times New Roman" w:hAnsi="Times New Roman" w:cs="Times New Roman"/>
          <w:sz w:val="24"/>
          <w:szCs w:val="24"/>
          <w:lang w:val="es-419"/>
        </w:rPr>
        <w:t>6</w:t>
      </w:r>
      <w:r w:rsidR="6A8FB88D" w:rsidRPr="4A2AA5A2">
        <w:rPr>
          <w:rFonts w:ascii="Times New Roman" w:hAnsi="Times New Roman" w:cs="Times New Roman"/>
          <w:sz w:val="24"/>
          <w:szCs w:val="24"/>
          <w:lang w:val="es-419"/>
        </w:rPr>
        <w:t xml:space="preserve"> (47,65) años</w:t>
      </w:r>
      <w:r w:rsidR="7ED089B1" w:rsidRPr="4A2AA5A2">
        <w:rPr>
          <w:rFonts w:ascii="Times New Roman" w:hAnsi="Times New Roman" w:cs="Times New Roman"/>
          <w:sz w:val="24"/>
          <w:szCs w:val="24"/>
          <w:lang w:val="es-419"/>
        </w:rPr>
        <w:t>,</w:t>
      </w:r>
      <w:r w:rsidR="6A8FB88D" w:rsidRPr="4A2AA5A2">
        <w:rPr>
          <w:rFonts w:ascii="Times New Roman" w:hAnsi="Times New Roman" w:cs="Times New Roman"/>
          <w:sz w:val="24"/>
          <w:szCs w:val="24"/>
          <w:lang w:val="es-419"/>
        </w:rPr>
        <w:t xml:space="preserve"> </w:t>
      </w:r>
      <w:r w:rsidR="25369FF6" w:rsidRPr="4A2AA5A2">
        <w:rPr>
          <w:rFonts w:ascii="Times New Roman" w:hAnsi="Times New Roman" w:cs="Times New Roman"/>
          <w:sz w:val="24"/>
          <w:szCs w:val="24"/>
          <w:lang w:val="es-419"/>
        </w:rPr>
        <w:t>59</w:t>
      </w:r>
      <w:r w:rsidR="2FFC93B9" w:rsidRPr="4A2AA5A2">
        <w:rPr>
          <w:rFonts w:ascii="Times New Roman" w:hAnsi="Times New Roman" w:cs="Times New Roman"/>
          <w:sz w:val="24"/>
          <w:szCs w:val="24"/>
          <w:lang w:val="es-419"/>
        </w:rPr>
        <w:t>(</w:t>
      </w:r>
      <w:r w:rsidR="25369FF6" w:rsidRPr="4A2AA5A2">
        <w:rPr>
          <w:rFonts w:ascii="Times New Roman" w:hAnsi="Times New Roman" w:cs="Times New Roman"/>
          <w:sz w:val="24"/>
          <w:szCs w:val="24"/>
          <w:lang w:val="es-419"/>
        </w:rPr>
        <w:t>57</w:t>
      </w:r>
      <w:r w:rsidR="2FFC93B9" w:rsidRPr="4A2AA5A2">
        <w:rPr>
          <w:rFonts w:ascii="Times New Roman" w:hAnsi="Times New Roman" w:cs="Times New Roman"/>
          <w:sz w:val="24"/>
          <w:szCs w:val="24"/>
          <w:lang w:val="es-419"/>
        </w:rPr>
        <w:t>%)</w:t>
      </w:r>
      <w:r w:rsidR="21B34E1D" w:rsidRPr="4A2AA5A2">
        <w:rPr>
          <w:rFonts w:ascii="Times New Roman" w:hAnsi="Times New Roman" w:cs="Times New Roman"/>
          <w:sz w:val="24"/>
          <w:szCs w:val="24"/>
          <w:lang w:val="es-419"/>
        </w:rPr>
        <w:t xml:space="preserve"> de los </w:t>
      </w:r>
      <w:r w:rsidR="54633142" w:rsidRPr="4A2AA5A2">
        <w:rPr>
          <w:rFonts w:ascii="Times New Roman" w:hAnsi="Times New Roman" w:cs="Times New Roman"/>
          <w:sz w:val="24"/>
          <w:szCs w:val="24"/>
          <w:lang w:val="es-419"/>
        </w:rPr>
        <w:t xml:space="preserve">pacientes </w:t>
      </w:r>
      <w:r w:rsidR="2FFC93B9" w:rsidRPr="4A2AA5A2">
        <w:rPr>
          <w:rFonts w:ascii="Times New Roman" w:hAnsi="Times New Roman" w:cs="Times New Roman"/>
          <w:sz w:val="24"/>
          <w:szCs w:val="24"/>
          <w:lang w:val="es-419"/>
        </w:rPr>
        <w:t>tenían más de 12 años de estudio</w:t>
      </w:r>
      <w:r w:rsidR="1928078C" w:rsidRPr="4A2AA5A2">
        <w:rPr>
          <w:rFonts w:ascii="Times New Roman" w:hAnsi="Times New Roman" w:cs="Times New Roman"/>
          <w:sz w:val="24"/>
          <w:szCs w:val="24"/>
          <w:lang w:val="es-419"/>
        </w:rPr>
        <w:t>, 5(</w:t>
      </w:r>
      <w:r w:rsidR="07E2A26C" w:rsidRPr="4A2AA5A2">
        <w:rPr>
          <w:rFonts w:ascii="Times New Roman" w:hAnsi="Times New Roman" w:cs="Times New Roman"/>
          <w:sz w:val="24"/>
          <w:szCs w:val="24"/>
          <w:lang w:val="es-419"/>
        </w:rPr>
        <w:t>5</w:t>
      </w:r>
      <w:r w:rsidR="1928078C" w:rsidRPr="4A2AA5A2">
        <w:rPr>
          <w:rFonts w:ascii="Times New Roman" w:hAnsi="Times New Roman" w:cs="Times New Roman"/>
          <w:sz w:val="24"/>
          <w:szCs w:val="24"/>
          <w:lang w:val="es-419"/>
        </w:rPr>
        <w:t>%) tuvieron fragilidad clínica al momento de ingresar a la UCI</w:t>
      </w:r>
      <w:r w:rsidR="6B5F5299" w:rsidRPr="4A2AA5A2">
        <w:rPr>
          <w:rFonts w:ascii="Times New Roman" w:hAnsi="Times New Roman" w:cs="Times New Roman"/>
          <w:sz w:val="24"/>
          <w:szCs w:val="24"/>
          <w:lang w:val="es-419"/>
        </w:rPr>
        <w:t>,</w:t>
      </w:r>
      <w:r w:rsidR="1928078C" w:rsidRPr="4A2AA5A2">
        <w:rPr>
          <w:rFonts w:ascii="Times New Roman" w:hAnsi="Times New Roman" w:cs="Times New Roman"/>
          <w:sz w:val="24"/>
          <w:szCs w:val="24"/>
          <w:lang w:val="es-419"/>
        </w:rPr>
        <w:t xml:space="preserve"> 46(4</w:t>
      </w:r>
      <w:r w:rsidR="25369FF6" w:rsidRPr="4A2AA5A2">
        <w:rPr>
          <w:rFonts w:ascii="Times New Roman" w:hAnsi="Times New Roman" w:cs="Times New Roman"/>
          <w:sz w:val="24"/>
          <w:szCs w:val="24"/>
          <w:lang w:val="es-419"/>
        </w:rPr>
        <w:t>5</w:t>
      </w:r>
      <w:r w:rsidR="1928078C" w:rsidRPr="4A2AA5A2">
        <w:rPr>
          <w:rFonts w:ascii="Times New Roman" w:hAnsi="Times New Roman" w:cs="Times New Roman"/>
          <w:sz w:val="24"/>
          <w:szCs w:val="24"/>
          <w:lang w:val="es-419"/>
        </w:rPr>
        <w:t xml:space="preserve">%) tenía al menos una comorbilidad al ingreso y 81(79%) ingresaron por neumonía por COVID-19. La mediana de días en UCI fue de </w:t>
      </w:r>
      <w:r w:rsidR="20114D52" w:rsidRPr="4A2AA5A2">
        <w:rPr>
          <w:rFonts w:ascii="Times New Roman" w:hAnsi="Times New Roman" w:cs="Times New Roman"/>
          <w:sz w:val="24"/>
          <w:szCs w:val="24"/>
          <w:lang w:val="es-419"/>
        </w:rPr>
        <w:t xml:space="preserve">14 (10-24) </w:t>
      </w:r>
      <w:r w:rsidR="1928078C" w:rsidRPr="4A2AA5A2">
        <w:rPr>
          <w:rFonts w:ascii="Times New Roman" w:hAnsi="Times New Roman" w:cs="Times New Roman"/>
          <w:sz w:val="24"/>
          <w:szCs w:val="24"/>
          <w:lang w:val="es-419"/>
        </w:rPr>
        <w:t>y</w:t>
      </w:r>
      <w:r w:rsidR="76C56318" w:rsidRPr="4A2AA5A2">
        <w:rPr>
          <w:rFonts w:ascii="Times New Roman" w:hAnsi="Times New Roman" w:cs="Times New Roman"/>
          <w:sz w:val="24"/>
          <w:szCs w:val="24"/>
          <w:lang w:val="es-419"/>
        </w:rPr>
        <w:t xml:space="preserve"> para VM</w:t>
      </w:r>
      <w:r w:rsidR="1928078C" w:rsidRPr="4A2AA5A2">
        <w:rPr>
          <w:rFonts w:ascii="Times New Roman" w:hAnsi="Times New Roman" w:cs="Times New Roman"/>
          <w:sz w:val="24"/>
          <w:szCs w:val="24"/>
          <w:lang w:val="es-419"/>
        </w:rPr>
        <w:t xml:space="preserve"> </w:t>
      </w:r>
      <w:r w:rsidR="20114D52" w:rsidRPr="4A2AA5A2">
        <w:rPr>
          <w:rFonts w:ascii="Times New Roman" w:hAnsi="Times New Roman" w:cs="Times New Roman"/>
          <w:sz w:val="24"/>
          <w:szCs w:val="24"/>
          <w:lang w:val="es-419"/>
        </w:rPr>
        <w:t xml:space="preserve">de 10 (6-14) </w:t>
      </w:r>
      <w:r w:rsidR="30B0EC15" w:rsidRPr="4A2AA5A2">
        <w:rPr>
          <w:rFonts w:ascii="Times New Roman" w:hAnsi="Times New Roman" w:cs="Times New Roman"/>
          <w:sz w:val="24"/>
          <w:szCs w:val="24"/>
          <w:lang w:val="es-419"/>
        </w:rPr>
        <w:t>(Tabla 1)</w:t>
      </w:r>
    </w:p>
    <w:p w14:paraId="277C7290" w14:textId="2B33C3CB" w:rsidR="00E94D75" w:rsidRPr="00557263" w:rsidRDefault="1B5A10A4"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 xml:space="preserve">Cuarenta (38%) </w:t>
      </w:r>
      <w:r w:rsidR="1CD9A2C4" w:rsidRPr="00557263">
        <w:rPr>
          <w:rFonts w:ascii="Times New Roman" w:hAnsi="Times New Roman" w:cs="Times New Roman"/>
          <w:sz w:val="24"/>
          <w:szCs w:val="24"/>
          <w:lang w:val="es-419"/>
        </w:rPr>
        <w:t xml:space="preserve">pacientes </w:t>
      </w:r>
      <w:r w:rsidRPr="00557263">
        <w:rPr>
          <w:rFonts w:ascii="Times New Roman" w:hAnsi="Times New Roman" w:cs="Times New Roman"/>
          <w:sz w:val="24"/>
          <w:szCs w:val="24"/>
          <w:lang w:val="es-419"/>
        </w:rPr>
        <w:t xml:space="preserve">presentaron deterioro cognitivo, </w:t>
      </w:r>
      <w:r w:rsidR="1CD9A2C4" w:rsidRPr="00557263">
        <w:rPr>
          <w:rFonts w:ascii="Times New Roman" w:hAnsi="Times New Roman" w:cs="Times New Roman"/>
          <w:sz w:val="24"/>
          <w:szCs w:val="24"/>
          <w:lang w:val="es-419"/>
        </w:rPr>
        <w:t xml:space="preserve">los cuales </w:t>
      </w:r>
      <w:r w:rsidR="3D97649E" w:rsidRPr="00557263">
        <w:rPr>
          <w:rFonts w:ascii="Times New Roman" w:hAnsi="Times New Roman" w:cs="Times New Roman"/>
          <w:sz w:val="24"/>
          <w:szCs w:val="24"/>
          <w:lang w:val="es-419"/>
        </w:rPr>
        <w:t xml:space="preserve">eran </w:t>
      </w:r>
      <w:r w:rsidR="594FB47B" w:rsidRPr="00557263">
        <w:rPr>
          <w:rFonts w:ascii="Times New Roman" w:hAnsi="Times New Roman" w:cs="Times New Roman"/>
          <w:sz w:val="24"/>
          <w:szCs w:val="24"/>
          <w:lang w:val="es-419"/>
        </w:rPr>
        <w:t>levemente</w:t>
      </w:r>
      <w:r w:rsidR="3D97649E" w:rsidRPr="00557263">
        <w:rPr>
          <w:rFonts w:ascii="Times New Roman" w:hAnsi="Times New Roman" w:cs="Times New Roman"/>
          <w:sz w:val="24"/>
          <w:szCs w:val="24"/>
          <w:lang w:val="es-419"/>
        </w:rPr>
        <w:t xml:space="preserve"> más añosos </w:t>
      </w:r>
      <w:r w:rsidR="7DF41C7A" w:rsidRPr="00557263">
        <w:rPr>
          <w:rFonts w:ascii="Times New Roman" w:hAnsi="Times New Roman" w:cs="Times New Roman"/>
          <w:sz w:val="24"/>
          <w:szCs w:val="24"/>
          <w:lang w:val="es-419"/>
        </w:rPr>
        <w:t>(</w:t>
      </w:r>
      <w:r w:rsidR="3D97649E" w:rsidRPr="00557263">
        <w:rPr>
          <w:rFonts w:ascii="Times New Roman" w:hAnsi="Times New Roman" w:cs="Times New Roman"/>
          <w:sz w:val="24"/>
          <w:szCs w:val="24"/>
          <w:lang w:val="es-419"/>
        </w:rPr>
        <w:t xml:space="preserve">mediana de 57 </w:t>
      </w:r>
      <w:r w:rsidR="7DF41C7A" w:rsidRPr="00557263">
        <w:rPr>
          <w:rFonts w:ascii="Times New Roman" w:hAnsi="Times New Roman" w:cs="Times New Roman"/>
          <w:sz w:val="24"/>
          <w:szCs w:val="24"/>
          <w:lang w:val="es-419"/>
        </w:rPr>
        <w:t>[</w:t>
      </w:r>
      <w:r w:rsidR="3D97649E" w:rsidRPr="00557263">
        <w:rPr>
          <w:rFonts w:ascii="Times New Roman" w:hAnsi="Times New Roman" w:cs="Times New Roman"/>
          <w:sz w:val="24"/>
          <w:szCs w:val="24"/>
          <w:lang w:val="es-419"/>
        </w:rPr>
        <w:t>52,66</w:t>
      </w:r>
      <w:r w:rsidR="7DF41C7A" w:rsidRPr="00557263">
        <w:rPr>
          <w:rFonts w:ascii="Times New Roman" w:hAnsi="Times New Roman" w:cs="Times New Roman"/>
          <w:sz w:val="24"/>
          <w:szCs w:val="24"/>
          <w:lang w:val="es-419"/>
        </w:rPr>
        <w:t>]</w:t>
      </w:r>
      <w:r w:rsidR="3D97649E" w:rsidRPr="00557263">
        <w:rPr>
          <w:rFonts w:ascii="Times New Roman" w:hAnsi="Times New Roman" w:cs="Times New Roman"/>
          <w:sz w:val="24"/>
          <w:szCs w:val="24"/>
          <w:lang w:val="es-419"/>
        </w:rPr>
        <w:t xml:space="preserve"> </w:t>
      </w:r>
      <w:r w:rsidR="594FB47B" w:rsidRPr="00557263">
        <w:rPr>
          <w:rFonts w:ascii="Times New Roman" w:hAnsi="Times New Roman" w:cs="Times New Roman"/>
          <w:sz w:val="24"/>
          <w:szCs w:val="24"/>
          <w:lang w:val="es-419"/>
        </w:rPr>
        <w:t>vs</w:t>
      </w:r>
      <w:r w:rsidR="3C125FEC" w:rsidRPr="00557263">
        <w:rPr>
          <w:rFonts w:ascii="Times New Roman" w:hAnsi="Times New Roman" w:cs="Times New Roman"/>
          <w:sz w:val="24"/>
          <w:szCs w:val="24"/>
          <w:lang w:val="es-419"/>
        </w:rPr>
        <w:t xml:space="preserve"> 52 </w:t>
      </w:r>
      <w:r w:rsidR="7DF41C7A" w:rsidRPr="00557263">
        <w:rPr>
          <w:rFonts w:ascii="Times New Roman" w:hAnsi="Times New Roman" w:cs="Times New Roman"/>
          <w:sz w:val="24"/>
          <w:szCs w:val="24"/>
          <w:lang w:val="es-419"/>
        </w:rPr>
        <w:t>[</w:t>
      </w:r>
      <w:r w:rsidR="3C125FEC" w:rsidRPr="00557263">
        <w:rPr>
          <w:rFonts w:ascii="Times New Roman" w:hAnsi="Times New Roman" w:cs="Times New Roman"/>
          <w:sz w:val="24"/>
          <w:szCs w:val="24"/>
          <w:lang w:val="es-419"/>
        </w:rPr>
        <w:t>47,65</w:t>
      </w:r>
      <w:r w:rsidR="0B6A32FF" w:rsidRPr="00557263">
        <w:rPr>
          <w:rFonts w:ascii="Times New Roman" w:hAnsi="Times New Roman" w:cs="Times New Roman"/>
          <w:sz w:val="24"/>
          <w:szCs w:val="24"/>
          <w:lang w:val="es-419"/>
        </w:rPr>
        <w:t xml:space="preserve"> años</w:t>
      </w:r>
      <w:r w:rsidR="7DF41C7A" w:rsidRPr="00557263">
        <w:rPr>
          <w:rFonts w:ascii="Times New Roman" w:hAnsi="Times New Roman" w:cs="Times New Roman"/>
          <w:sz w:val="24"/>
          <w:szCs w:val="24"/>
          <w:lang w:val="es-419"/>
        </w:rPr>
        <w:t>])</w:t>
      </w:r>
      <w:r w:rsidR="3D97649E" w:rsidRPr="00557263">
        <w:rPr>
          <w:rFonts w:ascii="Times New Roman" w:hAnsi="Times New Roman" w:cs="Times New Roman"/>
          <w:sz w:val="24"/>
          <w:szCs w:val="24"/>
          <w:lang w:val="es-419"/>
        </w:rPr>
        <w:t xml:space="preserve">, </w:t>
      </w:r>
      <w:r w:rsidR="594FB47B" w:rsidRPr="00557263">
        <w:rPr>
          <w:rFonts w:ascii="Times New Roman" w:hAnsi="Times New Roman" w:cs="Times New Roman"/>
          <w:sz w:val="24"/>
          <w:szCs w:val="24"/>
          <w:lang w:val="es-419"/>
        </w:rPr>
        <w:t>eran predominantemente mujeres (</w:t>
      </w:r>
      <w:r w:rsidR="3D97649E" w:rsidRPr="00557263">
        <w:rPr>
          <w:rFonts w:ascii="Times New Roman" w:hAnsi="Times New Roman" w:cs="Times New Roman"/>
          <w:sz w:val="24"/>
          <w:szCs w:val="24"/>
          <w:lang w:val="es-419"/>
        </w:rPr>
        <w:t xml:space="preserve">16 </w:t>
      </w:r>
      <w:r w:rsidR="594FB47B" w:rsidRPr="00557263">
        <w:rPr>
          <w:rFonts w:ascii="Times New Roman" w:hAnsi="Times New Roman" w:cs="Times New Roman"/>
          <w:sz w:val="24"/>
          <w:szCs w:val="24"/>
          <w:lang w:val="es-419"/>
        </w:rPr>
        <w:t>[</w:t>
      </w:r>
      <w:r w:rsidR="3D97649E" w:rsidRPr="00557263">
        <w:rPr>
          <w:rFonts w:ascii="Times New Roman" w:hAnsi="Times New Roman" w:cs="Times New Roman"/>
          <w:sz w:val="24"/>
          <w:szCs w:val="24"/>
          <w:lang w:val="es-419"/>
        </w:rPr>
        <w:t>40%</w:t>
      </w:r>
      <w:r w:rsidR="594FB47B" w:rsidRPr="00557263">
        <w:rPr>
          <w:rFonts w:ascii="Times New Roman" w:hAnsi="Times New Roman" w:cs="Times New Roman"/>
          <w:sz w:val="24"/>
          <w:szCs w:val="24"/>
          <w:lang w:val="es-419"/>
        </w:rPr>
        <w:t>]</w:t>
      </w:r>
      <w:r w:rsidR="3D97649E" w:rsidRPr="00557263">
        <w:rPr>
          <w:rFonts w:ascii="Times New Roman" w:hAnsi="Times New Roman" w:cs="Times New Roman"/>
          <w:sz w:val="24"/>
          <w:szCs w:val="24"/>
          <w:lang w:val="es-419"/>
        </w:rPr>
        <w:t xml:space="preserve"> </w:t>
      </w:r>
      <w:r w:rsidR="594FB47B" w:rsidRPr="00557263">
        <w:rPr>
          <w:rFonts w:ascii="Times New Roman" w:hAnsi="Times New Roman" w:cs="Times New Roman"/>
          <w:sz w:val="24"/>
          <w:szCs w:val="24"/>
          <w:lang w:val="es-419"/>
        </w:rPr>
        <w:t>vs 18 [29%])</w:t>
      </w:r>
      <w:r w:rsidR="3D97649E" w:rsidRPr="00557263">
        <w:rPr>
          <w:rFonts w:ascii="Times New Roman" w:hAnsi="Times New Roman" w:cs="Times New Roman"/>
          <w:sz w:val="24"/>
          <w:szCs w:val="24"/>
          <w:lang w:val="es-419"/>
        </w:rPr>
        <w:t>,</w:t>
      </w:r>
      <w:r w:rsidR="0C68F66D" w:rsidRPr="00557263">
        <w:rPr>
          <w:rFonts w:ascii="Times New Roman" w:hAnsi="Times New Roman" w:cs="Times New Roman"/>
          <w:sz w:val="24"/>
          <w:szCs w:val="24"/>
          <w:lang w:val="es-419"/>
        </w:rPr>
        <w:t xml:space="preserve"> </w:t>
      </w:r>
      <w:r w:rsidR="00235E60">
        <w:rPr>
          <w:rFonts w:ascii="Times New Roman" w:hAnsi="Times New Roman" w:cs="Times New Roman"/>
          <w:sz w:val="24"/>
          <w:szCs w:val="24"/>
          <w:lang w:val="es-419"/>
        </w:rPr>
        <w:t xml:space="preserve">y </w:t>
      </w:r>
      <w:r w:rsidR="0073A7A8" w:rsidRPr="00557263">
        <w:rPr>
          <w:rFonts w:ascii="Times New Roman" w:hAnsi="Times New Roman" w:cs="Times New Roman"/>
          <w:sz w:val="24"/>
          <w:szCs w:val="24"/>
          <w:lang w:val="es-419"/>
        </w:rPr>
        <w:t>tenían mayor pro</w:t>
      </w:r>
      <w:r w:rsidR="73CE85D3" w:rsidRPr="00557263">
        <w:rPr>
          <w:rFonts w:ascii="Times New Roman" w:hAnsi="Times New Roman" w:cs="Times New Roman"/>
          <w:sz w:val="24"/>
          <w:szCs w:val="24"/>
          <w:lang w:val="es-419"/>
        </w:rPr>
        <w:t xml:space="preserve">babilidad de tener </w:t>
      </w:r>
      <w:r w:rsidR="0C68F66D" w:rsidRPr="00557263">
        <w:rPr>
          <w:rFonts w:ascii="Times New Roman" w:hAnsi="Times New Roman" w:cs="Times New Roman"/>
          <w:sz w:val="24"/>
          <w:szCs w:val="24"/>
          <w:lang w:val="es-419"/>
        </w:rPr>
        <w:t>&lt;8 años de educación</w:t>
      </w:r>
      <w:r w:rsidR="3C125FEC" w:rsidRPr="00557263">
        <w:rPr>
          <w:rFonts w:ascii="Times New Roman" w:hAnsi="Times New Roman" w:cs="Times New Roman"/>
          <w:sz w:val="24"/>
          <w:szCs w:val="24"/>
          <w:lang w:val="es-419"/>
        </w:rPr>
        <w:t xml:space="preserve"> </w:t>
      </w:r>
      <w:r w:rsidR="73CE85D3" w:rsidRPr="00557263">
        <w:rPr>
          <w:rFonts w:ascii="Times New Roman" w:hAnsi="Times New Roman" w:cs="Times New Roman"/>
          <w:sz w:val="24"/>
          <w:szCs w:val="24"/>
          <w:lang w:val="es-419"/>
        </w:rPr>
        <w:t xml:space="preserve">(15[38%] </w:t>
      </w:r>
      <w:r w:rsidR="3C125FEC" w:rsidRPr="00557263">
        <w:rPr>
          <w:rFonts w:ascii="Times New Roman" w:hAnsi="Times New Roman" w:cs="Times New Roman"/>
          <w:sz w:val="24"/>
          <w:szCs w:val="24"/>
          <w:lang w:val="es-419"/>
        </w:rPr>
        <w:t>vs 1</w:t>
      </w:r>
      <w:r w:rsidR="73CE85D3" w:rsidRPr="00557263">
        <w:rPr>
          <w:rFonts w:ascii="Times New Roman" w:hAnsi="Times New Roman" w:cs="Times New Roman"/>
          <w:sz w:val="24"/>
          <w:szCs w:val="24"/>
          <w:lang w:val="es-419"/>
        </w:rPr>
        <w:t>[</w:t>
      </w:r>
      <w:r w:rsidR="3C125FEC" w:rsidRPr="00557263">
        <w:rPr>
          <w:rFonts w:ascii="Times New Roman" w:hAnsi="Times New Roman" w:cs="Times New Roman"/>
          <w:sz w:val="24"/>
          <w:szCs w:val="24"/>
          <w:lang w:val="es-419"/>
        </w:rPr>
        <w:t>2%</w:t>
      </w:r>
      <w:r w:rsidR="73CE85D3" w:rsidRPr="00557263">
        <w:rPr>
          <w:rFonts w:ascii="Times New Roman" w:hAnsi="Times New Roman" w:cs="Times New Roman"/>
          <w:sz w:val="24"/>
          <w:szCs w:val="24"/>
          <w:lang w:val="es-419"/>
        </w:rPr>
        <w:t>])</w:t>
      </w:r>
      <w:r w:rsidR="772A27E9" w:rsidRPr="00557263">
        <w:rPr>
          <w:rFonts w:ascii="Times New Roman" w:hAnsi="Times New Roman" w:cs="Times New Roman"/>
          <w:sz w:val="24"/>
          <w:szCs w:val="24"/>
          <w:lang w:val="es-419"/>
        </w:rPr>
        <w:t xml:space="preserve">. </w:t>
      </w:r>
      <w:r w:rsidR="0C68F66D" w:rsidRPr="00557263">
        <w:rPr>
          <w:rFonts w:ascii="Times New Roman" w:hAnsi="Times New Roman" w:cs="Times New Roman"/>
          <w:sz w:val="24"/>
          <w:szCs w:val="24"/>
          <w:lang w:val="es-419"/>
        </w:rPr>
        <w:t>De</w:t>
      </w:r>
      <w:r w:rsidR="6392CC3F" w:rsidRPr="00557263">
        <w:rPr>
          <w:rFonts w:ascii="Times New Roman" w:hAnsi="Times New Roman" w:cs="Times New Roman"/>
          <w:sz w:val="24"/>
          <w:szCs w:val="24"/>
          <w:lang w:val="es-419"/>
        </w:rPr>
        <w:t xml:space="preserve"> </w:t>
      </w:r>
      <w:r w:rsidR="0B083486" w:rsidRPr="00557263">
        <w:rPr>
          <w:rFonts w:ascii="Times New Roman" w:hAnsi="Times New Roman" w:cs="Times New Roman"/>
          <w:sz w:val="24"/>
          <w:szCs w:val="24"/>
          <w:lang w:val="es-419"/>
        </w:rPr>
        <w:t xml:space="preserve">los 40 pacientes con deterioro cognitivo a los 3 meses, </w:t>
      </w:r>
      <w:r w:rsidR="07E2A26C" w:rsidRPr="00557263">
        <w:rPr>
          <w:rFonts w:ascii="Times New Roman" w:hAnsi="Times New Roman" w:cs="Times New Roman"/>
          <w:sz w:val="24"/>
          <w:szCs w:val="24"/>
          <w:lang w:val="es-419"/>
        </w:rPr>
        <w:t>3</w:t>
      </w:r>
      <w:r w:rsidR="7EA51E3F" w:rsidRPr="00557263">
        <w:rPr>
          <w:rFonts w:ascii="Times New Roman" w:hAnsi="Times New Roman" w:cs="Times New Roman"/>
          <w:sz w:val="24"/>
          <w:szCs w:val="24"/>
          <w:lang w:val="es-419"/>
        </w:rPr>
        <w:t>3</w:t>
      </w:r>
      <w:r w:rsidR="07E2A26C" w:rsidRPr="00557263">
        <w:rPr>
          <w:rFonts w:ascii="Times New Roman" w:hAnsi="Times New Roman" w:cs="Times New Roman"/>
          <w:sz w:val="24"/>
          <w:szCs w:val="24"/>
          <w:lang w:val="es-419"/>
        </w:rPr>
        <w:t xml:space="preserve">(82%) </w:t>
      </w:r>
      <w:r w:rsidR="0B083486" w:rsidRPr="00557263">
        <w:rPr>
          <w:rFonts w:ascii="Times New Roman" w:hAnsi="Times New Roman" w:cs="Times New Roman"/>
          <w:sz w:val="24"/>
          <w:szCs w:val="24"/>
          <w:lang w:val="es-419"/>
        </w:rPr>
        <w:t>tuvieron deterioro cognitivo al alta de UCI</w:t>
      </w:r>
      <w:r w:rsidR="0C68F66D" w:rsidRPr="00557263">
        <w:rPr>
          <w:rFonts w:ascii="Times New Roman" w:hAnsi="Times New Roman" w:cs="Times New Roman"/>
          <w:i/>
          <w:iCs/>
          <w:sz w:val="24"/>
          <w:szCs w:val="24"/>
          <w:lang w:val="es-419"/>
        </w:rPr>
        <w:t xml:space="preserve"> </w:t>
      </w:r>
      <w:r w:rsidR="0C68F66D" w:rsidRPr="00557263">
        <w:rPr>
          <w:rFonts w:ascii="Times New Roman" w:hAnsi="Times New Roman" w:cs="Times New Roman"/>
          <w:sz w:val="24"/>
          <w:szCs w:val="24"/>
          <w:lang w:val="es-419"/>
        </w:rPr>
        <w:t>y 24(60%) tenía</w:t>
      </w:r>
      <w:r w:rsidR="7B6856FC" w:rsidRPr="00557263">
        <w:rPr>
          <w:rFonts w:ascii="Times New Roman" w:hAnsi="Times New Roman" w:cs="Times New Roman"/>
          <w:sz w:val="24"/>
          <w:szCs w:val="24"/>
          <w:lang w:val="es-419"/>
        </w:rPr>
        <w:t>n</w:t>
      </w:r>
      <w:r w:rsidR="0C68F66D" w:rsidRPr="00557263">
        <w:rPr>
          <w:rFonts w:ascii="Times New Roman" w:hAnsi="Times New Roman" w:cs="Times New Roman"/>
          <w:sz w:val="24"/>
          <w:szCs w:val="24"/>
          <w:lang w:val="es-419"/>
        </w:rPr>
        <w:t xml:space="preserve"> al menos una comorbilidad.</w:t>
      </w:r>
      <w:r w:rsidR="0C68F66D" w:rsidRPr="00557263">
        <w:rPr>
          <w:rFonts w:ascii="Times New Roman" w:hAnsi="Times New Roman" w:cs="Times New Roman"/>
          <w:i/>
          <w:iCs/>
          <w:sz w:val="24"/>
          <w:szCs w:val="24"/>
          <w:lang w:val="es-419"/>
        </w:rPr>
        <w:t xml:space="preserve"> </w:t>
      </w:r>
    </w:p>
    <w:p w14:paraId="248A2B7D" w14:textId="67648B9C" w:rsidR="002D2F9E" w:rsidRPr="00557263" w:rsidRDefault="3F1A4CB0" w:rsidP="0039189E">
      <w:pPr>
        <w:spacing w:line="360" w:lineRule="auto"/>
        <w:ind w:right="709"/>
        <w:jc w:val="both"/>
        <w:rPr>
          <w:rFonts w:ascii="Times New Roman" w:hAnsi="Times New Roman" w:cs="Times New Roman"/>
          <w:sz w:val="24"/>
          <w:szCs w:val="24"/>
          <w:lang w:val="es-419"/>
        </w:rPr>
      </w:pPr>
      <w:r w:rsidRPr="16C47A3A">
        <w:rPr>
          <w:rFonts w:ascii="Times New Roman" w:hAnsi="Times New Roman" w:cs="Times New Roman"/>
          <w:sz w:val="24"/>
          <w:szCs w:val="24"/>
          <w:lang w:val="es-419"/>
        </w:rPr>
        <w:t>La fragilidad clínica no fue estadísticamente significativa</w:t>
      </w:r>
      <w:r w:rsidR="2AEA79F6" w:rsidRPr="16C47A3A">
        <w:rPr>
          <w:rFonts w:ascii="Times New Roman" w:hAnsi="Times New Roman" w:cs="Times New Roman"/>
          <w:sz w:val="24"/>
          <w:szCs w:val="24"/>
          <w:lang w:val="es-419"/>
        </w:rPr>
        <w:t xml:space="preserve"> entre ambos grupos</w:t>
      </w:r>
      <w:r w:rsidRPr="16C47A3A">
        <w:rPr>
          <w:rFonts w:ascii="Times New Roman" w:hAnsi="Times New Roman" w:cs="Times New Roman"/>
          <w:sz w:val="24"/>
          <w:szCs w:val="24"/>
          <w:lang w:val="es-419"/>
        </w:rPr>
        <w:t>,</w:t>
      </w:r>
      <w:r w:rsidR="5BB50F7E" w:rsidRPr="16C47A3A">
        <w:rPr>
          <w:rFonts w:ascii="Times New Roman" w:hAnsi="Times New Roman" w:cs="Times New Roman"/>
          <w:sz w:val="24"/>
          <w:szCs w:val="24"/>
          <w:lang w:val="es-419"/>
        </w:rPr>
        <w:t xml:space="preserve"> aunque</w:t>
      </w:r>
      <w:r w:rsidRPr="16C47A3A">
        <w:rPr>
          <w:rFonts w:ascii="Times New Roman" w:hAnsi="Times New Roman" w:cs="Times New Roman"/>
          <w:sz w:val="24"/>
          <w:szCs w:val="24"/>
          <w:lang w:val="es-419"/>
        </w:rPr>
        <w:t xml:space="preserve"> de </w:t>
      </w:r>
      <w:r w:rsidR="05F5CB02" w:rsidRPr="16C47A3A">
        <w:rPr>
          <w:rFonts w:ascii="Times New Roman" w:hAnsi="Times New Roman" w:cs="Times New Roman"/>
          <w:sz w:val="24"/>
          <w:szCs w:val="24"/>
          <w:lang w:val="es-419"/>
        </w:rPr>
        <w:t xml:space="preserve">los </w:t>
      </w:r>
      <w:r w:rsidRPr="16C47A3A">
        <w:rPr>
          <w:rFonts w:ascii="Times New Roman" w:hAnsi="Times New Roman" w:cs="Times New Roman"/>
          <w:sz w:val="24"/>
          <w:szCs w:val="24"/>
          <w:lang w:val="es-419"/>
        </w:rPr>
        <w:t xml:space="preserve">5 pacientes que presentaron fragilidad clínica, 4(80%) tuvieron deterioro </w:t>
      </w:r>
      <w:r w:rsidR="21219FB9" w:rsidRPr="16C47A3A">
        <w:rPr>
          <w:rFonts w:ascii="Times New Roman" w:hAnsi="Times New Roman" w:cs="Times New Roman"/>
          <w:sz w:val="24"/>
          <w:szCs w:val="24"/>
          <w:lang w:val="es-419"/>
        </w:rPr>
        <w:t>cognitivo</w:t>
      </w:r>
      <w:r w:rsidRPr="16C47A3A">
        <w:rPr>
          <w:rFonts w:ascii="Times New Roman" w:hAnsi="Times New Roman" w:cs="Times New Roman"/>
          <w:sz w:val="24"/>
          <w:szCs w:val="24"/>
          <w:lang w:val="es-419"/>
        </w:rPr>
        <w:t xml:space="preserve"> a los 3 meses.</w:t>
      </w:r>
      <w:r w:rsidR="1CD9A2C4" w:rsidRPr="16C47A3A">
        <w:rPr>
          <w:rFonts w:ascii="Times New Roman" w:hAnsi="Times New Roman" w:cs="Times New Roman"/>
          <w:sz w:val="24"/>
          <w:szCs w:val="24"/>
          <w:lang w:val="es-419"/>
        </w:rPr>
        <w:t xml:space="preserve"> </w:t>
      </w:r>
      <w:r w:rsidR="3A3CA45C" w:rsidRPr="16C47A3A">
        <w:rPr>
          <w:rFonts w:ascii="Times New Roman" w:hAnsi="Times New Roman" w:cs="Times New Roman"/>
          <w:sz w:val="24"/>
          <w:szCs w:val="24"/>
          <w:lang w:val="es-419"/>
        </w:rPr>
        <w:t xml:space="preserve">No hubo diferencia en la presencia de </w:t>
      </w:r>
      <w:r w:rsidR="6CFFB0FD" w:rsidRPr="16C47A3A">
        <w:rPr>
          <w:rFonts w:ascii="Times New Roman" w:hAnsi="Times New Roman" w:cs="Times New Roman"/>
          <w:sz w:val="24"/>
          <w:szCs w:val="24"/>
          <w:lang w:val="es-419"/>
        </w:rPr>
        <w:t>deterioro</w:t>
      </w:r>
      <w:r w:rsidR="3A3CA45C" w:rsidRPr="16C47A3A">
        <w:rPr>
          <w:rFonts w:ascii="Times New Roman" w:hAnsi="Times New Roman" w:cs="Times New Roman"/>
          <w:sz w:val="24"/>
          <w:szCs w:val="24"/>
          <w:lang w:val="es-419"/>
        </w:rPr>
        <w:t xml:space="preserve"> cognitivo según infección por COVID-19.</w:t>
      </w:r>
    </w:p>
    <w:p w14:paraId="63B314C7" w14:textId="7E921F70" w:rsidR="002D2F9E" w:rsidRPr="00557263" w:rsidRDefault="002D2F9E"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En la regresión logística simple encontramos que los pacientes que presentaban deterioro cognitivo a los 3 meses tenían más probabilidad de tener al menos una comorbilidad (OR 1.9 IC95% 1.0</w:t>
      </w:r>
      <w:r w:rsidR="002E26EA" w:rsidRPr="00557263">
        <w:rPr>
          <w:rFonts w:ascii="Times New Roman" w:hAnsi="Times New Roman" w:cs="Times New Roman"/>
          <w:i/>
          <w:iCs/>
          <w:sz w:val="24"/>
          <w:szCs w:val="24"/>
          <w:lang w:val="es-419"/>
        </w:rPr>
        <w:t>–</w:t>
      </w:r>
      <w:r w:rsidRPr="00557263">
        <w:rPr>
          <w:rFonts w:ascii="Times New Roman" w:hAnsi="Times New Roman" w:cs="Times New Roman"/>
          <w:sz w:val="24"/>
          <w:szCs w:val="24"/>
          <w:lang w:val="es-419"/>
        </w:rPr>
        <w:t>3.3; p</w:t>
      </w:r>
      <w:r w:rsidR="002E26EA">
        <w:rPr>
          <w:rFonts w:ascii="Times New Roman" w:hAnsi="Times New Roman" w:cs="Times New Roman"/>
          <w:sz w:val="24"/>
          <w:szCs w:val="24"/>
          <w:lang w:val="es-419"/>
        </w:rPr>
        <w:t>-</w:t>
      </w:r>
      <w:r w:rsidRPr="00557263">
        <w:rPr>
          <w:rFonts w:ascii="Times New Roman" w:hAnsi="Times New Roman" w:cs="Times New Roman"/>
          <w:sz w:val="24"/>
          <w:szCs w:val="24"/>
          <w:lang w:val="es-419"/>
        </w:rPr>
        <w:t>value =0.024), más probabilidad de tener fragilidad clínica al ingreso (OR 6.8 IC95% 0.74</w:t>
      </w:r>
      <w:r w:rsidR="002E26EA" w:rsidRPr="00557263">
        <w:rPr>
          <w:rFonts w:ascii="Times New Roman" w:hAnsi="Times New Roman" w:cs="Times New Roman"/>
          <w:i/>
          <w:iCs/>
          <w:sz w:val="24"/>
          <w:szCs w:val="24"/>
          <w:lang w:val="es-419"/>
        </w:rPr>
        <w:t>–</w:t>
      </w:r>
      <w:r w:rsidRPr="00557263">
        <w:rPr>
          <w:rFonts w:ascii="Times New Roman" w:hAnsi="Times New Roman" w:cs="Times New Roman"/>
          <w:sz w:val="24"/>
          <w:szCs w:val="24"/>
          <w:lang w:val="es-419"/>
        </w:rPr>
        <w:t>64; p</w:t>
      </w:r>
      <w:r w:rsidR="002E26EA">
        <w:rPr>
          <w:rFonts w:ascii="Times New Roman" w:hAnsi="Times New Roman" w:cs="Times New Roman"/>
          <w:sz w:val="24"/>
          <w:szCs w:val="24"/>
          <w:lang w:val="es-419"/>
        </w:rPr>
        <w:t>-</w:t>
      </w:r>
      <w:r w:rsidRPr="00557263">
        <w:rPr>
          <w:rFonts w:ascii="Times New Roman" w:hAnsi="Times New Roman" w:cs="Times New Roman"/>
          <w:sz w:val="24"/>
          <w:szCs w:val="24"/>
          <w:lang w:val="es-419"/>
        </w:rPr>
        <w:t>value=0.09), menos de 8 años de educación (</w:t>
      </w:r>
      <w:r w:rsidRPr="00557263">
        <w:rPr>
          <w:rFonts w:ascii="Times New Roman" w:hAnsi="Times New Roman" w:cs="Times New Roman"/>
          <w:i/>
          <w:iCs/>
          <w:sz w:val="24"/>
          <w:szCs w:val="24"/>
          <w:lang w:val="es-419"/>
        </w:rPr>
        <w:t>OR 15 IC95% 2 – 113; p-value &lt;0.009</w:t>
      </w:r>
      <w:r w:rsidRPr="00557263">
        <w:rPr>
          <w:rFonts w:ascii="Times New Roman" w:hAnsi="Times New Roman" w:cs="Times New Roman"/>
          <w:sz w:val="24"/>
          <w:szCs w:val="24"/>
          <w:lang w:val="es-419"/>
        </w:rPr>
        <w:t xml:space="preserve">) y haber tenido deterioro cognitivo al alta de la UCI </w:t>
      </w:r>
      <w:r w:rsidRPr="00557263">
        <w:rPr>
          <w:rFonts w:ascii="Times New Roman" w:hAnsi="Times New Roman" w:cs="Times New Roman"/>
          <w:i/>
          <w:iCs/>
          <w:sz w:val="24"/>
          <w:szCs w:val="24"/>
          <w:lang w:val="es-419"/>
        </w:rPr>
        <w:t>(OR 2.9 IC95% 1.1</w:t>
      </w:r>
      <w:r w:rsidR="002E26EA" w:rsidRPr="00557263">
        <w:rPr>
          <w:rFonts w:ascii="Times New Roman" w:hAnsi="Times New Roman" w:cs="Times New Roman"/>
          <w:i/>
          <w:iCs/>
          <w:sz w:val="24"/>
          <w:szCs w:val="24"/>
          <w:lang w:val="es-419"/>
        </w:rPr>
        <w:t>–</w:t>
      </w:r>
      <w:r w:rsidRPr="00557263">
        <w:rPr>
          <w:rFonts w:ascii="Times New Roman" w:hAnsi="Times New Roman" w:cs="Times New Roman"/>
          <w:i/>
          <w:iCs/>
          <w:sz w:val="24"/>
          <w:szCs w:val="24"/>
          <w:lang w:val="es-419"/>
        </w:rPr>
        <w:t>7.6; p</w:t>
      </w:r>
      <w:r w:rsidR="0047092C">
        <w:rPr>
          <w:rFonts w:ascii="Times New Roman" w:hAnsi="Times New Roman" w:cs="Times New Roman"/>
          <w:i/>
          <w:iCs/>
          <w:sz w:val="24"/>
          <w:szCs w:val="24"/>
          <w:lang w:val="es-419"/>
        </w:rPr>
        <w:t>-</w:t>
      </w:r>
      <w:r w:rsidRPr="00557263">
        <w:rPr>
          <w:rFonts w:ascii="Times New Roman" w:hAnsi="Times New Roman" w:cs="Times New Roman"/>
          <w:i/>
          <w:iCs/>
          <w:sz w:val="24"/>
          <w:szCs w:val="24"/>
          <w:lang w:val="es-419"/>
        </w:rPr>
        <w:t>value=0.030).</w:t>
      </w:r>
    </w:p>
    <w:p w14:paraId="572AD539" w14:textId="1EE5E44C" w:rsidR="0019512C" w:rsidRDefault="0613DC92" w:rsidP="00E8170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 xml:space="preserve">Además, el análisis estadístico no mostró asociación entre el deterioro cognitivo a los 3 meses y </w:t>
      </w:r>
      <w:r w:rsidR="002036EE" w:rsidRPr="00557263">
        <w:rPr>
          <w:rFonts w:ascii="Times New Roman" w:hAnsi="Times New Roman" w:cs="Times New Roman"/>
          <w:sz w:val="24"/>
          <w:szCs w:val="24"/>
          <w:lang w:val="es-419"/>
        </w:rPr>
        <w:t xml:space="preserve">la duración de </w:t>
      </w:r>
      <w:r w:rsidRPr="00557263">
        <w:rPr>
          <w:rFonts w:ascii="Times New Roman" w:hAnsi="Times New Roman" w:cs="Times New Roman"/>
          <w:sz w:val="24"/>
          <w:szCs w:val="24"/>
          <w:lang w:val="es-419"/>
        </w:rPr>
        <w:t>la estadía en UCI, días de VM, diagnóstico de ingreso</w:t>
      </w:r>
      <w:r w:rsidR="6F86C552" w:rsidRPr="00557263">
        <w:rPr>
          <w:rFonts w:ascii="Times New Roman" w:hAnsi="Times New Roman" w:cs="Times New Roman"/>
          <w:sz w:val="24"/>
          <w:szCs w:val="24"/>
          <w:lang w:val="es-419"/>
        </w:rPr>
        <w:t>, infección por COVID-19</w:t>
      </w:r>
      <w:r w:rsidRPr="00557263">
        <w:rPr>
          <w:rFonts w:ascii="Times New Roman" w:hAnsi="Times New Roman" w:cs="Times New Roman"/>
          <w:sz w:val="24"/>
          <w:szCs w:val="24"/>
          <w:lang w:val="es-419"/>
        </w:rPr>
        <w:t xml:space="preserve"> y nivel de ocupación de camas en contexto de pandemia por COVID-19</w:t>
      </w:r>
      <w:r w:rsidR="00E8170E">
        <w:rPr>
          <w:rFonts w:ascii="Times New Roman" w:hAnsi="Times New Roman" w:cs="Times New Roman"/>
          <w:sz w:val="24"/>
          <w:szCs w:val="24"/>
          <w:lang w:val="es-419"/>
        </w:rPr>
        <w:t>.</w:t>
      </w:r>
    </w:p>
    <w:p w14:paraId="2142DF40" w14:textId="77777777" w:rsidR="0019512C" w:rsidRDefault="0019512C" w:rsidP="0019512C">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En la regresión logística múltiple sólo el nivel educacional mantuvo significancia estadística, donde sujetos con 9 a 12 años tenían un odds ratio de 0.02 (IC 95% 0-0.3) y aquellos con más de 12 años un odds ratio de 0.01 (IC 95% 0-0.22)</w:t>
      </w:r>
      <w:r>
        <w:rPr>
          <w:rFonts w:ascii="Times New Roman" w:hAnsi="Times New Roman" w:cs="Times New Roman"/>
          <w:sz w:val="24"/>
          <w:szCs w:val="24"/>
          <w:lang w:val="es-419"/>
        </w:rPr>
        <w:t xml:space="preserve"> de presentar deterior cognitivo a las 3 meses.</w:t>
      </w:r>
    </w:p>
    <w:p w14:paraId="1D7B512D" w14:textId="77777777" w:rsidR="0019512C" w:rsidRPr="00557263" w:rsidRDefault="0019512C" w:rsidP="0019512C">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sz w:val="24"/>
          <w:szCs w:val="24"/>
          <w:lang w:val="es-419"/>
        </w:rPr>
        <w:t xml:space="preserve">En el análisis de los dominios del instrumento MOCA-Blind, no hubo diferencias significativas. Si el deterioro cognitivo está presente, los puntajes son bajos en todos los dominios. Aunque, hay </w:t>
      </w:r>
      <w:r w:rsidRPr="00557263">
        <w:rPr>
          <w:rFonts w:ascii="Times New Roman" w:hAnsi="Times New Roman" w:cs="Times New Roman"/>
          <w:sz w:val="24"/>
          <w:szCs w:val="24"/>
          <w:lang w:val="es-419"/>
        </w:rPr>
        <w:lastRenderedPageBreak/>
        <w:t>más variabilidad en los puntajes para “memoria” (</w:t>
      </w:r>
      <w:r>
        <w:rPr>
          <w:rFonts w:ascii="Times New Roman" w:hAnsi="Times New Roman" w:cs="Times New Roman"/>
          <w:sz w:val="24"/>
          <w:szCs w:val="24"/>
          <w:lang w:val="es-419"/>
        </w:rPr>
        <w:t>P</w:t>
      </w:r>
      <w:r w:rsidRPr="00557263">
        <w:rPr>
          <w:rFonts w:ascii="Times New Roman" w:hAnsi="Times New Roman" w:cs="Times New Roman"/>
          <w:sz w:val="24"/>
          <w:szCs w:val="24"/>
          <w:lang w:val="es-419"/>
        </w:rPr>
        <w:t xml:space="preserve">25, </w:t>
      </w:r>
      <w:r>
        <w:rPr>
          <w:rFonts w:ascii="Times New Roman" w:hAnsi="Times New Roman" w:cs="Times New Roman"/>
          <w:sz w:val="24"/>
          <w:szCs w:val="24"/>
          <w:lang w:val="es-419"/>
        </w:rPr>
        <w:t>P</w:t>
      </w:r>
      <w:r w:rsidRPr="00557263">
        <w:rPr>
          <w:rFonts w:ascii="Times New Roman" w:hAnsi="Times New Roman" w:cs="Times New Roman"/>
          <w:sz w:val="24"/>
          <w:szCs w:val="24"/>
          <w:lang w:val="es-419"/>
        </w:rPr>
        <w:t>75:</w:t>
      </w:r>
      <w:r>
        <w:rPr>
          <w:rFonts w:ascii="Times New Roman" w:hAnsi="Times New Roman" w:cs="Times New Roman"/>
          <w:sz w:val="24"/>
          <w:szCs w:val="24"/>
          <w:lang w:val="es-419"/>
        </w:rPr>
        <w:t xml:space="preserve"> </w:t>
      </w:r>
      <w:r w:rsidRPr="00557263">
        <w:rPr>
          <w:rFonts w:ascii="Times New Roman" w:hAnsi="Times New Roman" w:cs="Times New Roman"/>
          <w:sz w:val="24"/>
          <w:szCs w:val="24"/>
          <w:lang w:val="es-419"/>
        </w:rPr>
        <w:t>60, 100) y “abstracción” (</w:t>
      </w:r>
      <w:r>
        <w:rPr>
          <w:rFonts w:ascii="Times New Roman" w:hAnsi="Times New Roman" w:cs="Times New Roman"/>
          <w:sz w:val="24"/>
          <w:szCs w:val="24"/>
          <w:lang w:val="es-419"/>
        </w:rPr>
        <w:t>P</w:t>
      </w:r>
      <w:r w:rsidRPr="00557263">
        <w:rPr>
          <w:rFonts w:ascii="Times New Roman" w:hAnsi="Times New Roman" w:cs="Times New Roman"/>
          <w:sz w:val="24"/>
          <w:szCs w:val="24"/>
          <w:lang w:val="es-419"/>
        </w:rPr>
        <w:t xml:space="preserve">25, </w:t>
      </w:r>
      <w:r>
        <w:rPr>
          <w:rFonts w:ascii="Times New Roman" w:hAnsi="Times New Roman" w:cs="Times New Roman"/>
          <w:sz w:val="24"/>
          <w:szCs w:val="24"/>
          <w:lang w:val="es-419"/>
        </w:rPr>
        <w:t>P</w:t>
      </w:r>
      <w:r w:rsidRPr="00557263">
        <w:rPr>
          <w:rFonts w:ascii="Times New Roman" w:hAnsi="Times New Roman" w:cs="Times New Roman"/>
          <w:sz w:val="24"/>
          <w:szCs w:val="24"/>
          <w:lang w:val="es-419"/>
        </w:rPr>
        <w:t xml:space="preserve">75: 50, 100). </w:t>
      </w:r>
      <w:r w:rsidRPr="00557263">
        <w:rPr>
          <w:rFonts w:ascii="Times New Roman" w:hAnsi="Times New Roman" w:cs="Times New Roman"/>
          <w:sz w:val="24"/>
          <w:szCs w:val="24"/>
        </w:rPr>
        <w:t xml:space="preserve">(Fig.1) </w:t>
      </w:r>
    </w:p>
    <w:p w14:paraId="1E537990" w14:textId="77777777" w:rsidR="0019512C" w:rsidRDefault="0019512C" w:rsidP="00E8170E">
      <w:pPr>
        <w:spacing w:line="360" w:lineRule="auto"/>
        <w:ind w:right="709"/>
        <w:jc w:val="both"/>
        <w:rPr>
          <w:rFonts w:ascii="Times New Roman" w:hAnsi="Times New Roman" w:cs="Times New Roman"/>
          <w:sz w:val="24"/>
          <w:szCs w:val="24"/>
          <w:lang w:val="es-419"/>
        </w:rPr>
      </w:pPr>
    </w:p>
    <w:p w14:paraId="5B8531E3" w14:textId="7473ECE1" w:rsidR="0019512C" w:rsidRPr="00E8170E" w:rsidRDefault="0019512C" w:rsidP="00E8170E">
      <w:pPr>
        <w:spacing w:line="360" w:lineRule="auto"/>
        <w:ind w:right="709"/>
        <w:jc w:val="both"/>
        <w:rPr>
          <w:rFonts w:ascii="Times New Roman" w:hAnsi="Times New Roman" w:cs="Times New Roman"/>
          <w:sz w:val="24"/>
          <w:szCs w:val="24"/>
          <w:lang w:val="es-419"/>
        </w:rPr>
        <w:sectPr w:rsidR="0019512C" w:rsidRPr="00E8170E" w:rsidSect="00064EA0">
          <w:pgSz w:w="12240" w:h="15840"/>
          <w:pgMar w:top="1440" w:right="1080" w:bottom="1440" w:left="1080" w:header="709" w:footer="709" w:gutter="0"/>
          <w:cols w:space="708"/>
          <w:docGrid w:linePitch="360"/>
        </w:sectPr>
      </w:pPr>
    </w:p>
    <w:p w14:paraId="604C6FC0" w14:textId="77777777" w:rsidR="000138B9" w:rsidRPr="00557263" w:rsidRDefault="000138B9" w:rsidP="0039189E">
      <w:pPr>
        <w:spacing w:line="360" w:lineRule="auto"/>
        <w:ind w:right="709"/>
        <w:rPr>
          <w:rFonts w:ascii="Times New Roman" w:hAnsi="Times New Roman" w:cs="Times New Roman"/>
          <w:sz w:val="24"/>
          <w:szCs w:val="24"/>
          <w:lang w:val="es-419"/>
        </w:rPr>
      </w:pPr>
    </w:p>
    <w:p w14:paraId="03EBE459" w14:textId="7CB2E68F" w:rsidR="000138B9" w:rsidRPr="00965CE8" w:rsidRDefault="007A6F0B" w:rsidP="0039189E">
      <w:pPr>
        <w:spacing w:line="360" w:lineRule="auto"/>
        <w:ind w:right="709"/>
        <w:rPr>
          <w:rFonts w:ascii="Times New Roman" w:hAnsi="Times New Roman" w:cs="Times New Roman"/>
          <w:b/>
          <w:bCs/>
          <w:sz w:val="24"/>
          <w:szCs w:val="24"/>
          <w:lang w:val="es-419"/>
        </w:rPr>
      </w:pPr>
      <w:r w:rsidRPr="16C47A3A">
        <w:rPr>
          <w:rFonts w:ascii="Times New Roman" w:hAnsi="Times New Roman" w:cs="Times New Roman"/>
          <w:b/>
          <w:bCs/>
          <w:sz w:val="24"/>
          <w:szCs w:val="24"/>
          <w:lang w:val="es-419"/>
        </w:rPr>
        <w:t>DISCUSIÓN</w:t>
      </w:r>
    </w:p>
    <w:p w14:paraId="00CAC03D" w14:textId="7D94FF6F" w:rsidR="00200162" w:rsidRPr="00557263" w:rsidRDefault="1DEEF040" w:rsidP="0039189E">
      <w:pPr>
        <w:spacing w:line="360" w:lineRule="auto"/>
        <w:ind w:right="709"/>
        <w:jc w:val="both"/>
        <w:rPr>
          <w:rFonts w:ascii="Times New Roman" w:hAnsi="Times New Roman" w:cs="Times New Roman"/>
          <w:sz w:val="24"/>
          <w:szCs w:val="24"/>
          <w:lang w:val="es-419"/>
        </w:rPr>
      </w:pPr>
      <w:r w:rsidRPr="16C47A3A">
        <w:rPr>
          <w:rFonts w:ascii="Times New Roman" w:hAnsi="Times New Roman" w:cs="Times New Roman"/>
          <w:sz w:val="24"/>
          <w:szCs w:val="24"/>
          <w:lang w:val="es-419"/>
        </w:rPr>
        <w:t xml:space="preserve">En este estudio </w:t>
      </w:r>
      <w:r w:rsidR="58215F18" w:rsidRPr="16C47A3A">
        <w:rPr>
          <w:rFonts w:ascii="Times New Roman" w:hAnsi="Times New Roman" w:cs="Times New Roman"/>
          <w:sz w:val="24"/>
          <w:szCs w:val="24"/>
          <w:lang w:val="es-419"/>
        </w:rPr>
        <w:t xml:space="preserve">multicéntrico y </w:t>
      </w:r>
      <w:r w:rsidRPr="16C47A3A">
        <w:rPr>
          <w:rFonts w:ascii="Times New Roman" w:hAnsi="Times New Roman" w:cs="Times New Roman"/>
          <w:sz w:val="24"/>
          <w:szCs w:val="24"/>
          <w:lang w:val="es-419"/>
        </w:rPr>
        <w:t>de cohorte prospectiv</w:t>
      </w:r>
      <w:r w:rsidR="58215F18" w:rsidRPr="16C47A3A">
        <w:rPr>
          <w:rFonts w:ascii="Times New Roman" w:hAnsi="Times New Roman" w:cs="Times New Roman"/>
          <w:sz w:val="24"/>
          <w:szCs w:val="24"/>
          <w:lang w:val="es-419"/>
        </w:rPr>
        <w:t xml:space="preserve">a </w:t>
      </w:r>
      <w:r w:rsidRPr="16C47A3A">
        <w:rPr>
          <w:rFonts w:ascii="Times New Roman" w:hAnsi="Times New Roman" w:cs="Times New Roman"/>
          <w:sz w:val="24"/>
          <w:szCs w:val="24"/>
          <w:lang w:val="es-419"/>
        </w:rPr>
        <w:t>que incluyó a pacientes adultos que egresaron de UCI durante una pandemia</w:t>
      </w:r>
      <w:r w:rsidR="11DA6073" w:rsidRPr="16C47A3A">
        <w:rPr>
          <w:rFonts w:ascii="Times New Roman" w:hAnsi="Times New Roman" w:cs="Times New Roman"/>
          <w:sz w:val="24"/>
          <w:szCs w:val="24"/>
          <w:lang w:val="es-419"/>
        </w:rPr>
        <w:t xml:space="preserve"> por COVID-19</w:t>
      </w:r>
      <w:r w:rsidR="58215F18" w:rsidRPr="16C47A3A">
        <w:rPr>
          <w:rFonts w:ascii="Times New Roman" w:hAnsi="Times New Roman" w:cs="Times New Roman"/>
          <w:sz w:val="24"/>
          <w:szCs w:val="24"/>
          <w:lang w:val="es-419"/>
        </w:rPr>
        <w:t>,</w:t>
      </w:r>
      <w:r w:rsidR="14D43CAF" w:rsidRPr="16C47A3A">
        <w:rPr>
          <w:rFonts w:ascii="Times New Roman" w:hAnsi="Times New Roman" w:cs="Times New Roman"/>
          <w:sz w:val="24"/>
          <w:szCs w:val="24"/>
          <w:lang w:val="es-419"/>
        </w:rPr>
        <w:t xml:space="preserve"> tener </w:t>
      </w:r>
      <w:r w:rsidR="5D3FB884" w:rsidRPr="16C47A3A">
        <w:rPr>
          <w:rFonts w:ascii="Times New Roman" w:hAnsi="Times New Roman" w:cs="Times New Roman"/>
          <w:sz w:val="24"/>
          <w:szCs w:val="24"/>
          <w:lang w:val="es-419"/>
        </w:rPr>
        <w:t>más de 8 años</w:t>
      </w:r>
      <w:r w:rsidR="14D43CAF" w:rsidRPr="16C47A3A">
        <w:rPr>
          <w:rFonts w:ascii="Times New Roman" w:hAnsi="Times New Roman" w:cs="Times New Roman"/>
          <w:sz w:val="24"/>
          <w:szCs w:val="24"/>
          <w:lang w:val="es-419"/>
        </w:rPr>
        <w:t xml:space="preserve"> de educación</w:t>
      </w:r>
      <w:r w:rsidR="58215F18" w:rsidRPr="16C47A3A">
        <w:rPr>
          <w:rFonts w:ascii="Times New Roman" w:hAnsi="Times New Roman" w:cs="Times New Roman"/>
          <w:sz w:val="24"/>
          <w:szCs w:val="24"/>
          <w:lang w:val="es-419"/>
        </w:rPr>
        <w:t xml:space="preserve"> fue un</w:t>
      </w:r>
      <w:r w:rsidR="126CE16F" w:rsidRPr="16C47A3A">
        <w:rPr>
          <w:rFonts w:ascii="Times New Roman" w:hAnsi="Times New Roman" w:cs="Times New Roman"/>
          <w:sz w:val="24"/>
          <w:szCs w:val="24"/>
          <w:lang w:val="es-419"/>
        </w:rPr>
        <w:t xml:space="preserve"> factor </w:t>
      </w:r>
      <w:r w:rsidR="5D3FB884" w:rsidRPr="16C47A3A">
        <w:rPr>
          <w:rFonts w:ascii="Times New Roman" w:hAnsi="Times New Roman" w:cs="Times New Roman"/>
          <w:sz w:val="24"/>
          <w:szCs w:val="24"/>
          <w:lang w:val="es-419"/>
        </w:rPr>
        <w:t>protector</w:t>
      </w:r>
      <w:r w:rsidR="126CE16F" w:rsidRPr="16C47A3A">
        <w:rPr>
          <w:rFonts w:ascii="Times New Roman" w:hAnsi="Times New Roman" w:cs="Times New Roman"/>
          <w:sz w:val="24"/>
          <w:szCs w:val="24"/>
          <w:lang w:val="es-419"/>
        </w:rPr>
        <w:t xml:space="preserve"> para el deterioro cognitivo a los 3 meses.</w:t>
      </w:r>
      <w:r w:rsidR="0C06E79F" w:rsidRPr="16C47A3A">
        <w:rPr>
          <w:rFonts w:ascii="Times New Roman" w:hAnsi="Times New Roman" w:cs="Times New Roman"/>
          <w:sz w:val="24"/>
          <w:szCs w:val="24"/>
          <w:lang w:val="es-419"/>
        </w:rPr>
        <w:t xml:space="preserve"> </w:t>
      </w:r>
      <w:r w:rsidR="19E6AA4C" w:rsidRPr="16C47A3A">
        <w:rPr>
          <w:rFonts w:ascii="Times New Roman" w:hAnsi="Times New Roman" w:cs="Times New Roman"/>
          <w:sz w:val="24"/>
          <w:szCs w:val="24"/>
          <w:lang w:val="es-419"/>
        </w:rPr>
        <w:t>Esto coincide con un estudio de cohorte en</w:t>
      </w:r>
      <w:r w:rsidR="51B5D1D1" w:rsidRPr="16C47A3A">
        <w:rPr>
          <w:rFonts w:ascii="Times New Roman" w:hAnsi="Times New Roman" w:cs="Times New Roman"/>
          <w:sz w:val="24"/>
          <w:szCs w:val="24"/>
          <w:lang w:val="es-419"/>
        </w:rPr>
        <w:t xml:space="preserve"> China</w:t>
      </w:r>
      <w:r w:rsidR="19E6AA4C" w:rsidRPr="16C47A3A">
        <w:rPr>
          <w:rFonts w:ascii="Times New Roman" w:hAnsi="Times New Roman" w:cs="Times New Roman"/>
          <w:sz w:val="24"/>
          <w:szCs w:val="24"/>
          <w:lang w:val="es-419"/>
        </w:rPr>
        <w:t xml:space="preserve"> que siguió </w:t>
      </w:r>
      <w:r w:rsidR="6AC76244" w:rsidRPr="16C47A3A">
        <w:rPr>
          <w:rFonts w:ascii="Times New Roman" w:hAnsi="Times New Roman" w:cs="Times New Roman"/>
          <w:sz w:val="24"/>
          <w:szCs w:val="24"/>
          <w:lang w:val="es-419"/>
        </w:rPr>
        <w:t xml:space="preserve">a </w:t>
      </w:r>
      <w:r w:rsidR="19E6AA4C" w:rsidRPr="16C47A3A">
        <w:rPr>
          <w:rFonts w:ascii="Times New Roman" w:hAnsi="Times New Roman" w:cs="Times New Roman"/>
          <w:sz w:val="24"/>
          <w:szCs w:val="24"/>
          <w:lang w:val="es-419"/>
        </w:rPr>
        <w:t xml:space="preserve">los pacientes por un año e identificó que más de 7-12 años de educación y la movilización temprana actúan como factores protectores para el deterioro cognitivo. </w:t>
      </w:r>
      <w:r w:rsidR="4C76CB66" w:rsidRPr="16C47A3A">
        <w:rPr>
          <w:rFonts w:ascii="Times New Roman" w:hAnsi="Times New Roman" w:cs="Times New Roman"/>
          <w:sz w:val="24"/>
          <w:szCs w:val="24"/>
          <w:lang w:val="es-419"/>
        </w:rPr>
        <w:t xml:space="preserve">Por lo tanto, los programas de intervención temprana en UCI deberían concentrarse en este grupo de </w:t>
      </w:r>
      <w:commentRangeStart w:id="0"/>
      <w:r w:rsidR="4C76CB66" w:rsidRPr="16C47A3A">
        <w:rPr>
          <w:rFonts w:ascii="Times New Roman" w:hAnsi="Times New Roman" w:cs="Times New Roman"/>
          <w:sz w:val="24"/>
          <w:szCs w:val="24"/>
          <w:lang w:val="es-419"/>
        </w:rPr>
        <w:t>riesgo</w:t>
      </w:r>
      <w:commentRangeEnd w:id="0"/>
      <w:r w:rsidR="00440489">
        <w:rPr>
          <w:rStyle w:val="Refdecomentario"/>
        </w:rPr>
        <w:commentReference w:id="0"/>
      </w:r>
      <w:r w:rsidR="4C76CB66" w:rsidRPr="16C47A3A">
        <w:rPr>
          <w:rFonts w:ascii="Times New Roman" w:hAnsi="Times New Roman" w:cs="Times New Roman"/>
          <w:sz w:val="24"/>
          <w:szCs w:val="24"/>
          <w:lang w:val="es-419"/>
        </w:rPr>
        <w:t>.</w:t>
      </w:r>
    </w:p>
    <w:p w14:paraId="4B3C2138" w14:textId="26CB7C4C" w:rsidR="00CF0DB3" w:rsidRPr="00557263" w:rsidRDefault="5D856E4C" w:rsidP="0039189E">
      <w:pPr>
        <w:spacing w:line="360" w:lineRule="auto"/>
        <w:ind w:right="709"/>
        <w:jc w:val="both"/>
        <w:rPr>
          <w:rFonts w:ascii="Times New Roman" w:hAnsi="Times New Roman" w:cs="Times New Roman"/>
          <w:sz w:val="24"/>
          <w:szCs w:val="24"/>
          <w:lang w:val="es-419"/>
        </w:rPr>
      </w:pPr>
      <w:r w:rsidRPr="1EEEACEB">
        <w:rPr>
          <w:rFonts w:ascii="Times New Roman" w:hAnsi="Times New Roman" w:cs="Times New Roman"/>
          <w:sz w:val="24"/>
          <w:szCs w:val="24"/>
          <w:lang w:val="es-419"/>
        </w:rPr>
        <w:t>Múltiples estudios han encontrado que la edad ha sido un factor de riesgo</w:t>
      </w:r>
      <w:r w:rsidR="70B18D47" w:rsidRPr="1EEEACEB">
        <w:rPr>
          <w:rFonts w:ascii="Times New Roman" w:hAnsi="Times New Roman" w:cs="Times New Roman"/>
          <w:sz w:val="24"/>
          <w:szCs w:val="24"/>
          <w:lang w:val="es-419"/>
        </w:rPr>
        <w:t xml:space="preserve"> para el deterioro cognitivo</w:t>
      </w:r>
      <w:r w:rsidRPr="1EEEACEB">
        <w:rPr>
          <w:rFonts w:ascii="Times New Roman" w:hAnsi="Times New Roman" w:cs="Times New Roman"/>
          <w:sz w:val="24"/>
          <w:szCs w:val="24"/>
          <w:lang w:val="es-419"/>
        </w:rPr>
        <w:t xml:space="preserve">. </w:t>
      </w:r>
      <w:r w:rsidR="009D5291">
        <w:rPr>
          <w:rFonts w:ascii="Times New Roman" w:hAnsi="Times New Roman" w:cs="Times New Roman"/>
          <w:sz w:val="24"/>
          <w:szCs w:val="24"/>
          <w:lang w:val="es-419"/>
        </w:rPr>
        <w:fldChar w:fldCharType="begin" w:fldLock="1"/>
      </w:r>
      <w:r w:rsidR="009D5291">
        <w:rPr>
          <w:rFonts w:ascii="Times New Roman" w:hAnsi="Times New Roman" w:cs="Times New Roman"/>
          <w:sz w:val="24"/>
          <w:szCs w:val="24"/>
          <w:lang w:val="es-419"/>
        </w:rPr>
        <w:instrText>ADDIN CSL_CITATION {"citationItems":[{"id":"ITEM-1","itemData":{"DOI":"10.1097/CCM.0b013e3182a16946","ISSN":"00903493","PMID":"23989098","abstract":"In contrast to other clinical outcomes, long-term cognitive function in critical care survivors has not been deeply studied. In this narrative review, we summarize the existing literature on the prevalence, mechanisms, risk factors, and prediction of cognitive impairment after surviving critical illness. Depending on the exact clinical subgroup, up to 100% of critical care survivors may suffer some degree of long-term cognitive impairment at hospital discharge; in approximately 50%, decrements in cognitive function will persist years later. Although the mechanisms of acquiring this impairment are poorly understood, several risk factors have been identified. Unfortunately, no easy means of predicting long-term cognitive impairment exists. Despite this barrier, research is ongoing to test possible treatments for cognitive impairment. In particular, the potential role of exercise on cognitive recovery is an exciting area of exploration. Opportunities exist to incorporate physical and cognitive rehabilitation strategies across a spectrum of environments (in the ICU, on the hospital ward, and at home, posthospital discharge). © 2013 by the Society of Critical Care Medicine and Lippincott Williams &amp; Wilkins.","author":[{"dropping-particle":"","family":"Elizabeth Wilcox","given":"M.","non-dropping-particle":"","parse-names":false,"suffix":""},{"dropping-particle":"","family":"Brummel","given":"Nathan E.","non-dropping-particle":"","parse-names":false,"suffix":""},{"dropping-particle":"","family":"Archer","given":"Kristin","non-dropping-particle":"","parse-names":false,"suffix":""},{"dropping-particle":"","family":"Wesley Ely","given":"E.","non-dropping-particle":"","parse-names":false,"suffix":""},{"dropping-particle":"","family":"Jackson","given":"James C.","non-dropping-particle":"","parse-names":false,"suffix":""},{"dropping-particle":"","family":"Hopkins","given":"Ramona O.","non-dropping-particle":"","parse-names":false,"suffix":""}],"container-title":"Critical Care Medicine","id":"ITEM-1","issue":"9 SUPPL.1","issued":{"date-parts":[["2013"]]},"title":"Cognitive dysfunction in ICU patients: Risk factors, predictors, and rehabilitation interventions","type":"article-journal","volume":"41"},"uris":["http://www.mendeley.com/documents/?uuid=ddfa9b6b-fe88-43d9-9c8c-855910f84195"]},{"id":"ITEM-2","itemData":{"DOI":"10.1016/j.aucc.2019.10.004","ISSN":"10367314","PMID":"31839375","abstract":"Objective: The objective of this study was to identify the risk factors for each area of post–intensive care syndrome (PICS) and to determine their effect size. Review method used: This study used systematic review and meta-analysis. Data sources: PubMed, CINAHL, EMBASE, PsycINFO, and Cochrane Library were searched. Review methods: Eighty-nine studies were selected for the review based on the Preferred Reporting Items for Systematic Reviews and Meta-Analyses guidelines. The PICS areas and risk factors reported in the individual studies were reviewed and categorised. We used the Newcastle–Ottawa Scale to evaluate the quality of studies. The effect size of each risk factor was calculated as odds ratio (OR). Results: There were 33 mental health studies, 15 cognitive impairment studies, 32 physical impairment studies, eight studies on two areas, and one study on all three areas. Sixty risk factors were identified, including 33 personal and 27 intensive care unit (ICU)–related factors. Significant risk factors for mental health included female sex (odds ratio [OR] = 3.37, 95% confidence interval [CI]: 1.12–10.17), previous mental health problems (OR = 9.45, 95% CI: 2.08–42.90), and negative ICU experience (OR = 2.59, 95% CI: 2.04–3.28). The only significant risk factor for cognitive impairment was delirium (OR = 2.85, 95% CI: 1.10–7.38). Significant risk factors for physical impairment included older age (OR = 2.19, 95% CI: 1.11–4.33), female sex (OR = 1.96, 95% CI: 1.32–2.91), and high disease severity (OR = 2.54, 95% CI: 1.76–3.66). Conclusions: Although PICS is a multidimensional concept, each area has been studied separately. Significant risk factors for PICS included older age, female sex, previous mental health problems, disease severity, negative ICU experience, and delirium. To prevent PICS, the multidisciplinary team should pay attention to modifiable risk factors such as delirium and patients’ ICU experience.","author":[{"dropping-particle":"","family":"Lee","given":"Minju","non-dropping-particle":"","parse-names":false,"suffix":""},{"dropping-particle":"","family":"Kang","given":"Jiyeon","non-dropping-particle":"","parse-names":false,"suffix":""},{"dropping-particle":"","family":"Jeong","given":"Yeon Jin","non-dropping-particle":"","parse-names":false,"suffix":""}],"container-title":"Australian Critical Care","id":"ITEM-2","issue":"3","issued":{"date-parts":[["2020"]]},"page":"287-294","publisher":"Elsevier Ltd","title":"Risk factors for post–intensive care syndrome: A systematic review and meta-analysis","type":"article-journal","volume":"33"},"uris":["http://www.mendeley.com/documents/?uuid=c10304cb-3e2d-43f3-aea5-ef5eef666f22"]},{"id":"ITEM-3","itemData":{"DOI":"10.1111/aas.13692","ISSN":"13996576","PMID":"32852053","abstract":"Purpose: To describe the incidence of and risk factors for impaired cognitive function in intensive care unit (ICU) survivors. We hypothesized that age, severity of illness, and days in coma, delirium, mechanical ventilation in the ICU would be associated with impaired cognitive function. Methods: We included all adults, alive 6 months after acute admission to one of the 24 Danish ICUs participating in the AID-ICU cohort study. Trained professionals assessed cognitive function in patients’ homes or in outpatient clinics using the Repeatable Battery for the Assessment of Neuropsychological Status (RBANS) 6 months after ICU admission. Potential risk factors for cognitive impairment were analyzed with linear regression models. Results: In total, 237 ICU patients were alive 6 months after ICU admission and did not meet the exclusion criteria. A total of 106 patients completed the cognitive assessment. The median RBANS global cognitive score was 76 (interquartile range, 62-91), and 52% had a global cognitive score 1.5 SD below the normative mean and 36% displayed a global cognitive score 2 SD below the normative mean, similar to that of Alzheimer's disease. Higher age was associated with poorer RBANS global cognitive score (estimate −0.35 [95% confidence interval −0.63 to −0.07] per year). Conclusions: In this multicenter study of adult ICU survivors, cognitive impairment was frequent and severe in those assessed at 6 months. Higher age was a risk factor for cognitive impairment, but events related to the ICU stay were not associated with poorer cognitive performance at 6 months.","author":[{"dropping-particle":"","family":"Collet","given":"Marie O.","non-dropping-particle":"","parse-names":false,"suffix":""},{"dropping-particle":"","family":"Egerod","given":"Ingrid","non-dropping-particle":"","parse-names":false,"suffix":""},{"dropping-particle":"","family":"Thomsen","given":"Thordis","non-dropping-particle":"","parse-names":false,"suffix":""},{"dropping-particle":"","family":"Wetterslev","given":"Jørn","non-dropping-particle":"","parse-names":false,"suffix":""},{"dropping-particle":"","family":"Lange","given":"Theis","non-dropping-particle":"","parse-names":false,"suffix":""},{"dropping-particle":"","family":"Ebdrup","given":"Bjørn H.","non-dropping-particle":"","parse-names":false,"suffix":""},{"dropping-particle":"","family":"Perner","given":"Anders","non-dropping-particle":"","parse-names":false,"suffix":""}],"container-title":"Acta Anaesthesiologica Scandinavica","id":"ITEM-3","issue":"1","issued":{"date-parts":[["2021"]]},"page":"92-99","title":"Risk factors for long-term cognitive impairment in ICU survivors: A multicenter, prospective cohort study","type":"article-journal","volume":"65"},"uris":["http://www.mendeley.com/documents/?uuid=f428e007-7318-48d0-a357-0662ad1e138f"]}],"mendeley":{"formattedCitation":"(33–35)","plainTextFormattedCitation":"(33–35)"},"properties":{"noteIndex":0},"schema":"https://github.com/citation-style-language/schema/raw/master/csl-citation.json"}</w:instrText>
      </w:r>
      <w:r w:rsidR="009D5291">
        <w:rPr>
          <w:rFonts w:ascii="Times New Roman" w:hAnsi="Times New Roman" w:cs="Times New Roman"/>
          <w:sz w:val="24"/>
          <w:szCs w:val="24"/>
          <w:lang w:val="es-419"/>
        </w:rPr>
        <w:fldChar w:fldCharType="separate"/>
      </w:r>
      <w:r w:rsidR="009D5291" w:rsidRPr="009D5291">
        <w:rPr>
          <w:rFonts w:ascii="Times New Roman" w:hAnsi="Times New Roman" w:cs="Times New Roman"/>
          <w:noProof/>
          <w:sz w:val="24"/>
          <w:szCs w:val="24"/>
          <w:lang w:val="es-419"/>
        </w:rPr>
        <w:t>(33–35)</w:t>
      </w:r>
      <w:r w:rsidR="009D5291">
        <w:rPr>
          <w:rFonts w:ascii="Times New Roman" w:hAnsi="Times New Roman" w:cs="Times New Roman"/>
          <w:sz w:val="24"/>
          <w:szCs w:val="24"/>
          <w:lang w:val="es-419"/>
        </w:rPr>
        <w:fldChar w:fldCharType="end"/>
      </w:r>
      <w:r w:rsidR="3C77135F" w:rsidRPr="1EEEACEB">
        <w:rPr>
          <w:rFonts w:ascii="Times New Roman" w:hAnsi="Times New Roman" w:cs="Times New Roman"/>
          <w:sz w:val="24"/>
          <w:szCs w:val="24"/>
          <w:lang w:val="es-419"/>
        </w:rPr>
        <w:t xml:space="preserve"> </w:t>
      </w:r>
      <w:r w:rsidRPr="1EEEACEB">
        <w:rPr>
          <w:rFonts w:ascii="Times New Roman" w:hAnsi="Times New Roman" w:cs="Times New Roman"/>
          <w:sz w:val="24"/>
          <w:szCs w:val="24"/>
          <w:lang w:val="es-419"/>
        </w:rPr>
        <w:t>En nuestro estudio,</w:t>
      </w:r>
      <w:r w:rsidR="72C7F257" w:rsidRPr="1EEEACEB">
        <w:rPr>
          <w:rFonts w:ascii="Times New Roman" w:hAnsi="Times New Roman" w:cs="Times New Roman"/>
          <w:sz w:val="24"/>
          <w:szCs w:val="24"/>
          <w:lang w:val="es-419"/>
        </w:rPr>
        <w:t xml:space="preserve"> la edad</w:t>
      </w:r>
      <w:r w:rsidRPr="1EEEACEB">
        <w:rPr>
          <w:rFonts w:ascii="Times New Roman" w:hAnsi="Times New Roman" w:cs="Times New Roman"/>
          <w:sz w:val="24"/>
          <w:szCs w:val="24"/>
          <w:lang w:val="es-419"/>
        </w:rPr>
        <w:t xml:space="preserve"> se</w:t>
      </w:r>
      <w:r w:rsidR="41E95666" w:rsidRPr="1EEEACEB">
        <w:rPr>
          <w:rFonts w:ascii="Times New Roman" w:hAnsi="Times New Roman" w:cs="Times New Roman"/>
          <w:sz w:val="24"/>
          <w:szCs w:val="24"/>
          <w:lang w:val="es-419"/>
        </w:rPr>
        <w:t xml:space="preserve"> </w:t>
      </w:r>
      <w:r w:rsidR="26EAE5ED" w:rsidRPr="1EEEACEB">
        <w:rPr>
          <w:rFonts w:ascii="Times New Roman" w:hAnsi="Times New Roman" w:cs="Times New Roman"/>
          <w:sz w:val="24"/>
          <w:szCs w:val="24"/>
          <w:lang w:val="es-419"/>
        </w:rPr>
        <w:t xml:space="preserve">identificó como FR en el análisis univariado, pero no </w:t>
      </w:r>
      <w:r w:rsidR="41E95666" w:rsidRPr="1EEEACEB">
        <w:rPr>
          <w:rFonts w:ascii="Times New Roman" w:hAnsi="Times New Roman" w:cs="Times New Roman"/>
          <w:sz w:val="24"/>
          <w:szCs w:val="24"/>
          <w:lang w:val="es-419"/>
        </w:rPr>
        <w:t xml:space="preserve">en el análisis multivariado. Esto pudiese ser explicado, porque aquellos pacientes con menos de 8 años de educación son también los más añosos. </w:t>
      </w:r>
      <w:r w:rsidR="75C94A9A" w:rsidRPr="1EEEACEB">
        <w:rPr>
          <w:rFonts w:ascii="Times New Roman" w:hAnsi="Times New Roman" w:cs="Times New Roman"/>
          <w:sz w:val="24"/>
          <w:szCs w:val="24"/>
          <w:lang w:val="es-419"/>
        </w:rPr>
        <w:t>Además,</w:t>
      </w:r>
      <w:r w:rsidR="20D65E84" w:rsidRPr="1EEEACEB">
        <w:rPr>
          <w:rFonts w:ascii="Times New Roman" w:hAnsi="Times New Roman" w:cs="Times New Roman"/>
          <w:sz w:val="24"/>
          <w:szCs w:val="24"/>
          <w:lang w:val="es-419"/>
        </w:rPr>
        <w:t xml:space="preserve"> los pacientes </w:t>
      </w:r>
      <w:r w:rsidR="75C94A9A" w:rsidRPr="1EEEACEB">
        <w:rPr>
          <w:rFonts w:ascii="Times New Roman" w:hAnsi="Times New Roman" w:cs="Times New Roman"/>
          <w:sz w:val="24"/>
          <w:szCs w:val="24"/>
          <w:lang w:val="es-419"/>
        </w:rPr>
        <w:t xml:space="preserve">de este estudio </w:t>
      </w:r>
      <w:r w:rsidR="20D65E84" w:rsidRPr="1EEEACEB">
        <w:rPr>
          <w:rFonts w:ascii="Times New Roman" w:hAnsi="Times New Roman" w:cs="Times New Roman"/>
          <w:sz w:val="24"/>
          <w:szCs w:val="24"/>
          <w:lang w:val="es-419"/>
        </w:rPr>
        <w:t>eran jóvenes</w:t>
      </w:r>
      <w:r w:rsidR="65C3DA9D" w:rsidRPr="1EEEACEB">
        <w:rPr>
          <w:rFonts w:ascii="Times New Roman" w:hAnsi="Times New Roman" w:cs="Times New Roman"/>
          <w:sz w:val="24"/>
          <w:szCs w:val="24"/>
          <w:lang w:val="es-419"/>
        </w:rPr>
        <w:t xml:space="preserve">, </w:t>
      </w:r>
      <w:r w:rsidR="20D65E84" w:rsidRPr="1EEEACEB">
        <w:rPr>
          <w:rFonts w:ascii="Times New Roman" w:hAnsi="Times New Roman" w:cs="Times New Roman"/>
          <w:sz w:val="24"/>
          <w:szCs w:val="24"/>
          <w:lang w:val="es-419"/>
        </w:rPr>
        <w:t>con una</w:t>
      </w:r>
      <w:r w:rsidR="65C3DA9D" w:rsidRPr="1EEEACEB">
        <w:rPr>
          <w:rFonts w:ascii="Times New Roman" w:hAnsi="Times New Roman" w:cs="Times New Roman"/>
          <w:sz w:val="24"/>
          <w:szCs w:val="24"/>
          <w:lang w:val="es-419"/>
        </w:rPr>
        <w:t xml:space="preserve"> mediana de edad</w:t>
      </w:r>
      <w:r w:rsidR="20D65E84" w:rsidRPr="1EEEACEB">
        <w:rPr>
          <w:rFonts w:ascii="Times New Roman" w:hAnsi="Times New Roman" w:cs="Times New Roman"/>
          <w:sz w:val="24"/>
          <w:szCs w:val="24"/>
          <w:lang w:val="es-419"/>
        </w:rPr>
        <w:t xml:space="preserve"> de</w:t>
      </w:r>
      <w:r w:rsidR="65C3DA9D" w:rsidRPr="1EEEACEB">
        <w:rPr>
          <w:rFonts w:ascii="Times New Roman" w:hAnsi="Times New Roman" w:cs="Times New Roman"/>
          <w:sz w:val="24"/>
          <w:szCs w:val="24"/>
          <w:lang w:val="es-419"/>
        </w:rPr>
        <w:t xml:space="preserve"> 57.5 (52, 67)</w:t>
      </w:r>
      <w:r w:rsidR="20D65E84" w:rsidRPr="1EEEACEB">
        <w:rPr>
          <w:rFonts w:ascii="Times New Roman" w:hAnsi="Times New Roman" w:cs="Times New Roman"/>
          <w:sz w:val="24"/>
          <w:szCs w:val="24"/>
          <w:lang w:val="es-419"/>
        </w:rPr>
        <w:t xml:space="preserve"> años</w:t>
      </w:r>
      <w:r w:rsidR="65C3DA9D" w:rsidRPr="1EEEACEB">
        <w:rPr>
          <w:rFonts w:ascii="Times New Roman" w:hAnsi="Times New Roman" w:cs="Times New Roman"/>
          <w:sz w:val="24"/>
          <w:szCs w:val="24"/>
          <w:lang w:val="es-419"/>
        </w:rPr>
        <w:t>.</w:t>
      </w:r>
      <w:r w:rsidR="2E9D12AA" w:rsidRPr="1EEEACEB">
        <w:rPr>
          <w:rFonts w:ascii="Times New Roman" w:hAnsi="Times New Roman" w:cs="Times New Roman"/>
          <w:sz w:val="24"/>
          <w:szCs w:val="24"/>
          <w:lang w:val="es-419"/>
        </w:rPr>
        <w:t xml:space="preserve"> </w:t>
      </w:r>
      <w:r w:rsidR="6F15DD7F" w:rsidRPr="1EEEACEB">
        <w:rPr>
          <w:rFonts w:ascii="Times New Roman" w:hAnsi="Times New Roman" w:cs="Times New Roman"/>
          <w:sz w:val="24"/>
          <w:szCs w:val="24"/>
          <w:lang w:val="es-419"/>
        </w:rPr>
        <w:t>En cambio</w:t>
      </w:r>
      <w:r w:rsidR="08418CF1" w:rsidRPr="1EEEACEB">
        <w:rPr>
          <w:rFonts w:ascii="Times New Roman" w:hAnsi="Times New Roman" w:cs="Times New Roman"/>
          <w:sz w:val="24"/>
          <w:szCs w:val="24"/>
          <w:lang w:val="es-419"/>
        </w:rPr>
        <w:t xml:space="preserve">, </w:t>
      </w:r>
      <w:r w:rsidR="4CCBE89B" w:rsidRPr="1EEEACEB">
        <w:rPr>
          <w:rFonts w:ascii="Times New Roman" w:hAnsi="Times New Roman" w:cs="Times New Roman"/>
          <w:sz w:val="24"/>
          <w:szCs w:val="24"/>
          <w:lang w:val="es-419"/>
        </w:rPr>
        <w:t xml:space="preserve">Collet et al (2021) </w:t>
      </w:r>
      <w:r w:rsidR="3778A26F" w:rsidRPr="1EEEACEB">
        <w:rPr>
          <w:rFonts w:ascii="Times New Roman" w:hAnsi="Times New Roman" w:cs="Times New Roman"/>
          <w:sz w:val="24"/>
          <w:szCs w:val="24"/>
          <w:lang w:val="es-419"/>
        </w:rPr>
        <w:t xml:space="preserve">en una </w:t>
      </w:r>
      <w:r w:rsidR="08418CF1" w:rsidRPr="1EEEACEB">
        <w:rPr>
          <w:rFonts w:ascii="Times New Roman" w:hAnsi="Times New Roman" w:cs="Times New Roman"/>
          <w:sz w:val="24"/>
          <w:szCs w:val="24"/>
          <w:lang w:val="es-419"/>
        </w:rPr>
        <w:t>cohorte prospectiva en Dinamarca</w:t>
      </w:r>
      <w:r w:rsidR="3778A26F" w:rsidRPr="1EEEACEB">
        <w:rPr>
          <w:rFonts w:ascii="Times New Roman" w:hAnsi="Times New Roman" w:cs="Times New Roman"/>
          <w:sz w:val="24"/>
          <w:szCs w:val="24"/>
          <w:lang w:val="es-419"/>
        </w:rPr>
        <w:t xml:space="preserve"> encontraron</w:t>
      </w:r>
      <w:r w:rsidR="08418CF1" w:rsidRPr="1EEEACEB">
        <w:rPr>
          <w:rFonts w:ascii="Times New Roman" w:hAnsi="Times New Roman" w:cs="Times New Roman"/>
          <w:sz w:val="24"/>
          <w:szCs w:val="24"/>
          <w:lang w:val="es-419"/>
        </w:rPr>
        <w:t xml:space="preserve"> </w:t>
      </w:r>
      <w:r w:rsidR="3778A26F" w:rsidRPr="1EEEACEB">
        <w:rPr>
          <w:rFonts w:ascii="Times New Roman" w:hAnsi="Times New Roman" w:cs="Times New Roman"/>
          <w:sz w:val="24"/>
          <w:szCs w:val="24"/>
          <w:lang w:val="es-419"/>
        </w:rPr>
        <w:t>q</w:t>
      </w:r>
      <w:r w:rsidR="64871682" w:rsidRPr="1EEEACEB">
        <w:rPr>
          <w:rFonts w:ascii="Times New Roman" w:hAnsi="Times New Roman" w:cs="Times New Roman"/>
          <w:sz w:val="24"/>
          <w:szCs w:val="24"/>
          <w:lang w:val="es-419"/>
        </w:rPr>
        <w:t>u</w:t>
      </w:r>
      <w:r w:rsidR="3778A26F" w:rsidRPr="1EEEACEB">
        <w:rPr>
          <w:rFonts w:ascii="Times New Roman" w:hAnsi="Times New Roman" w:cs="Times New Roman"/>
          <w:sz w:val="24"/>
          <w:szCs w:val="24"/>
          <w:lang w:val="es-419"/>
        </w:rPr>
        <w:t xml:space="preserve">e </w:t>
      </w:r>
      <w:r w:rsidR="08418CF1" w:rsidRPr="1EEEACEB">
        <w:rPr>
          <w:rFonts w:ascii="Times New Roman" w:hAnsi="Times New Roman" w:cs="Times New Roman"/>
          <w:sz w:val="24"/>
          <w:szCs w:val="24"/>
          <w:lang w:val="es-419"/>
        </w:rPr>
        <w:t>la edad se asoci</w:t>
      </w:r>
      <w:r w:rsidR="64871682" w:rsidRPr="1EEEACEB">
        <w:rPr>
          <w:rFonts w:ascii="Times New Roman" w:hAnsi="Times New Roman" w:cs="Times New Roman"/>
          <w:sz w:val="24"/>
          <w:szCs w:val="24"/>
          <w:lang w:val="es-419"/>
        </w:rPr>
        <w:t>a</w:t>
      </w:r>
      <w:r w:rsidR="08418CF1" w:rsidRPr="1EEEACEB">
        <w:rPr>
          <w:rFonts w:ascii="Times New Roman" w:hAnsi="Times New Roman" w:cs="Times New Roman"/>
          <w:sz w:val="24"/>
          <w:szCs w:val="24"/>
          <w:lang w:val="es-419"/>
        </w:rPr>
        <w:t xml:space="preserve"> a deterioro cognitivo a los 6 meses, pero la mediana de edad fue de 67(56-76) años. </w:t>
      </w:r>
      <w:r w:rsidRPr="1EEEACEB">
        <w:rPr>
          <w:rFonts w:ascii="Times New Roman" w:hAnsi="Times New Roman" w:cs="Times New Roman"/>
          <w:sz w:val="24"/>
          <w:szCs w:val="24"/>
          <w:lang w:val="es-419"/>
        </w:rPr>
        <w:fldChar w:fldCharType="begin" w:fldLock="1"/>
      </w:r>
      <w:r w:rsidRPr="1EEEACEB">
        <w:rPr>
          <w:rFonts w:ascii="Times New Roman" w:hAnsi="Times New Roman" w:cs="Times New Roman"/>
          <w:sz w:val="24"/>
          <w:szCs w:val="24"/>
          <w:lang w:val="es-419"/>
        </w:rPr>
        <w:instrText>ADDIN CSL_CITATION {"citationItems":[{"id":"ITEM-1","itemData":{"DOI":"10.1111/aas.13692","ISSN":"13996576","PMID":"32852053","abstract":"Purpose: To describe the incidence of and risk factors for impaired cognitive function in intensive care unit (ICU) survivors. We hypothesized that age, severity of illness, and days in coma, delirium, mechanical ventilation in the ICU would be associated with impaired cognitive function. Methods: We included all adults, alive 6 months after acute admission to one of the 24 Danish ICUs participating in the AID-ICU cohort study. Trained professionals assessed cognitive function in patients’ homes or in outpatient clinics using the Repeatable Battery for the Assessment of Neuropsychological Status (RBANS) 6 months after ICU admission. Potential risk factors for cognitive impairment were analyzed with linear regression models. Results: In total, 237 ICU patients were alive 6 months after ICU admission and did not meet the exclusion criteria. A total of 106 patients completed the cognitive assessment. The median RBANS global cognitive score was 76 (interquartile range, 62-91), and 52% had a global cognitive score 1.5 SD below the normative mean and 36% displayed a global cognitive score 2 SD below the normative mean, similar to that of Alzheimer's disease. Higher age was associated with poorer RBANS global cognitive score (estimate −0.35 [95% confidence interval −0.63 to −0.07] per year). Conclusions: In this multicenter study of adult ICU survivors, cognitive impairment was frequent and severe in those assessed at 6 months. Higher age was a risk factor for cognitive impairment, but events related to the ICU stay were not associated with poorer cognitive performance at 6 months.","author":[{"dropping-particle":"","family":"Collet","given":"Marie O.","non-dropping-particle":"","parse-names":false,"suffix":""},{"dropping-particle":"","family":"Egerod","given":"Ingrid","non-dropping-particle":"","parse-names":false,"suffix":""},{"dropping-particle":"","family":"Thomsen","given":"Thordis","non-dropping-particle":"","parse-names":false,"suffix":""},{"dropping-particle":"","family":"Wetterslev","given":"Jørn","non-dropping-particle":"","parse-names":false,"suffix":""},{"dropping-particle":"","family":"Lange","given":"Theis","non-dropping-particle":"","parse-names":false,"suffix":""},{"dropping-particle":"","family":"Ebdrup","given":"Bjørn H.","non-dropping-particle":"","parse-names":false,"suffix":""},{"dropping-particle":"","family":"Perner","given":"Anders","non-dropping-particle":"","parse-names":false,"suffix":""}],"container-title":"Acta Anaesthesiologica Scandinavica","id":"ITEM-1","issue":"1","issued":{"date-parts":[["2021"]]},"page":"92-99","title":"Risk factors for long-term cognitive impairment in ICU survivors: A multicenter, prospective cohort study","type":"article-journal","volume":"65"},"uris":["http://www.mendeley.com/documents/?uuid=f80dbbed-59b7-4509-9450-b4bec60791d2"]}],"mendeley":{"formattedCitation":"(35)","plainTextFormattedCitation":"(35)","previouslyFormattedCitation":"(35)"},"properties":{"noteIndex":0},"schema":"https://github.com/citation-style-language/schema/raw/master/csl-citation.json"}</w:instrText>
      </w:r>
      <w:r w:rsidRPr="1EEEACEB">
        <w:rPr>
          <w:rFonts w:ascii="Times New Roman" w:hAnsi="Times New Roman" w:cs="Times New Roman"/>
          <w:sz w:val="24"/>
          <w:szCs w:val="24"/>
          <w:lang w:val="es-419"/>
        </w:rPr>
        <w:fldChar w:fldCharType="separate"/>
      </w:r>
      <w:r w:rsidR="00105048" w:rsidRPr="1EEEACEB">
        <w:rPr>
          <w:rFonts w:ascii="Times New Roman" w:hAnsi="Times New Roman" w:cs="Times New Roman"/>
          <w:noProof/>
          <w:sz w:val="24"/>
          <w:szCs w:val="24"/>
          <w:lang w:val="es-419"/>
        </w:rPr>
        <w:t>(35)</w:t>
      </w:r>
      <w:r w:rsidRPr="1EEEACEB">
        <w:rPr>
          <w:rFonts w:ascii="Times New Roman" w:hAnsi="Times New Roman" w:cs="Times New Roman"/>
          <w:sz w:val="24"/>
          <w:szCs w:val="24"/>
          <w:lang w:val="es-419"/>
        </w:rPr>
        <w:fldChar w:fldCharType="end"/>
      </w:r>
      <w:r w:rsidR="08418CF1" w:rsidRPr="1EEEACEB">
        <w:rPr>
          <w:rFonts w:ascii="Times New Roman" w:hAnsi="Times New Roman" w:cs="Times New Roman"/>
          <w:sz w:val="24"/>
          <w:szCs w:val="24"/>
          <w:lang w:val="es-419"/>
        </w:rPr>
        <w:t xml:space="preserve"> </w:t>
      </w:r>
      <w:r w:rsidR="29CEACB4" w:rsidRPr="1EEEACEB">
        <w:rPr>
          <w:rFonts w:ascii="Times New Roman" w:hAnsi="Times New Roman" w:cs="Times New Roman"/>
          <w:sz w:val="24"/>
          <w:szCs w:val="24"/>
          <w:lang w:val="es-419"/>
        </w:rPr>
        <w:t xml:space="preserve">Por lo tanto, pareciera ser que la edad es un FR necesario, pero no suficiente para producir deterioro cognitivo. </w:t>
      </w:r>
    </w:p>
    <w:p w14:paraId="7F7DC29C" w14:textId="716EE88C" w:rsidR="00DB4128" w:rsidRPr="00557263" w:rsidRDefault="002036EE" w:rsidP="0039189E">
      <w:pPr>
        <w:spacing w:line="360" w:lineRule="auto"/>
        <w:ind w:right="709"/>
        <w:jc w:val="both"/>
        <w:rPr>
          <w:rFonts w:ascii="Times New Roman" w:eastAsia="Times New Roman" w:hAnsi="Times New Roman" w:cs="Times New Roman"/>
          <w:color w:val="5B616B"/>
          <w:sz w:val="24"/>
          <w:szCs w:val="24"/>
          <w:lang w:val="es-419"/>
        </w:rPr>
      </w:pPr>
      <w:r w:rsidRPr="16C47A3A">
        <w:rPr>
          <w:rFonts w:ascii="Times New Roman" w:hAnsi="Times New Roman" w:cs="Times New Roman"/>
          <w:sz w:val="24"/>
          <w:szCs w:val="24"/>
          <w:lang w:val="es-419"/>
        </w:rPr>
        <w:t>E</w:t>
      </w:r>
      <w:r w:rsidR="3BA41D38" w:rsidRPr="16C47A3A">
        <w:rPr>
          <w:rFonts w:ascii="Times New Roman" w:hAnsi="Times New Roman" w:cs="Times New Roman"/>
          <w:sz w:val="24"/>
          <w:szCs w:val="24"/>
          <w:lang w:val="es-419"/>
        </w:rPr>
        <w:t>l sexo femenino se ha asociado a secuelas de salud mental en PICS, representando hasta tres veces más riesgo para ansiedad y depresión</w:t>
      </w:r>
      <w:r w:rsidR="004D1F9D" w:rsidRPr="16C47A3A">
        <w:rPr>
          <w:rFonts w:ascii="Times New Roman" w:hAnsi="Times New Roman" w:cs="Times New Roman"/>
          <w:sz w:val="24"/>
          <w:szCs w:val="24"/>
          <w:lang w:val="es-419"/>
        </w:rPr>
        <w:t>; m</w:t>
      </w:r>
      <w:r w:rsidR="3BA41D38" w:rsidRPr="16C47A3A">
        <w:rPr>
          <w:rFonts w:ascii="Times New Roman" w:hAnsi="Times New Roman" w:cs="Times New Roman"/>
          <w:sz w:val="24"/>
          <w:szCs w:val="24"/>
          <w:lang w:val="es-419"/>
        </w:rPr>
        <w:t>ientras que</w:t>
      </w:r>
      <w:r w:rsidR="00AE3F43" w:rsidRPr="16C47A3A">
        <w:rPr>
          <w:rFonts w:ascii="Times New Roman" w:hAnsi="Times New Roman" w:cs="Times New Roman"/>
          <w:sz w:val="24"/>
          <w:szCs w:val="24"/>
          <w:lang w:val="es-419"/>
        </w:rPr>
        <w:t xml:space="preserve"> para</w:t>
      </w:r>
      <w:r w:rsidR="3BA41D38" w:rsidRPr="16C47A3A">
        <w:rPr>
          <w:rFonts w:ascii="Times New Roman" w:hAnsi="Times New Roman" w:cs="Times New Roman"/>
          <w:sz w:val="24"/>
          <w:szCs w:val="24"/>
          <w:lang w:val="es-419"/>
        </w:rPr>
        <w:t xml:space="preserve"> las secuelas físicas</w:t>
      </w:r>
      <w:r w:rsidR="00AE3F43" w:rsidRPr="16C47A3A">
        <w:rPr>
          <w:rFonts w:ascii="Times New Roman" w:hAnsi="Times New Roman" w:cs="Times New Roman"/>
          <w:sz w:val="24"/>
          <w:szCs w:val="24"/>
          <w:lang w:val="es-419"/>
        </w:rPr>
        <w:t xml:space="preserve"> existe</w:t>
      </w:r>
      <w:r w:rsidR="3BA41D38" w:rsidRPr="16C47A3A">
        <w:rPr>
          <w:rFonts w:ascii="Times New Roman" w:hAnsi="Times New Roman" w:cs="Times New Roman"/>
          <w:sz w:val="24"/>
          <w:szCs w:val="24"/>
          <w:lang w:val="es-419"/>
        </w:rPr>
        <w:t xml:space="preserve"> casi dos veces más riesgo.</w:t>
      </w:r>
      <w:r w:rsidRPr="16C47A3A">
        <w:rPr>
          <w:rFonts w:ascii="Times New Roman" w:hAnsi="Times New Roman" w:cs="Times New Roman"/>
          <w:sz w:val="24"/>
          <w:szCs w:val="24"/>
          <w:lang w:val="es-419"/>
        </w:rPr>
        <w:fldChar w:fldCharType="begin" w:fldLock="1"/>
      </w:r>
      <w:r w:rsidRPr="16C47A3A">
        <w:rPr>
          <w:rFonts w:ascii="Times New Roman" w:hAnsi="Times New Roman" w:cs="Times New Roman"/>
          <w:sz w:val="24"/>
          <w:szCs w:val="24"/>
          <w:lang w:val="es-419"/>
        </w:rPr>
        <w:instrText>ADDIN CSL_CITATION {"citationItems":[{"id":"ITEM-1","itemData":{"DOI":"10.1016/j.aucc.2019.10.004","ISSN":"10367314","PMID":"31839375","abstract":"Objective: The objective of this study was to identify the risk factors for each area of post–intensive care syndrome (PICS) and to determine their effect size. Review method used: This study used systematic review and meta-analysis. Data sources: PubMed, CINAHL, EMBASE, PsycINFO, and Cochrane Library were searched. Review methods: Eighty-nine studies were selected for the review based on the Preferred Reporting Items for Systematic Reviews and Meta-Analyses guidelines. The PICS areas and risk factors reported in the individual studies were reviewed and categorised. We used the Newcastle–Ottawa Scale to evaluate the quality of studies. The effect size of each risk factor was calculated as odds ratio (OR). Results: There were 33 mental health studies, 15 cognitive impairment studies, 32 physical impairment studies, eight studies on two areas, and one study on all three areas. Sixty risk factors were identified, including 33 personal and 27 intensive care unit (ICU)–related factors. Significant risk factors for mental health included female sex (odds ratio [OR] = 3.37, 95% confidence interval [CI]: 1.12–10.17), previous mental health problems (OR = 9.45, 95% CI: 2.08–42.90), and negative ICU experience (OR = 2.59, 95% CI: 2.04–3.28). The only significant risk factor for cognitive impairment was delirium (OR = 2.85, 95% CI: 1.10–7.38). Significant risk factors for physical impairment included older age (OR = 2.19, 95% CI: 1.11–4.33), female sex (OR = 1.96, 95% CI: 1.32–2.91), and high disease severity (OR = 2.54, 95% CI: 1.76–3.66). Conclusions: Although PICS is a multidimensional concept, each area has been studied separately. Significant risk factors for PICS included older age, female sex, previous mental health problems, disease severity, negative ICU experience, and delirium. To prevent PICS, the multidisciplinary team should pay attention to modifiable risk factors such as delirium and patients’ ICU experience.","author":[{"dropping-particle":"","family":"Lee","given":"Minju","non-dropping-particle":"","parse-names":false,"suffix":""},{"dropping-particle":"","family":"Kang","given":"Jiyeon","non-dropping-particle":"","parse-names":false,"suffix":""},{"dropping-particle":"","family":"Jeong","given":"Yeon Jin","non-dropping-particle":"","parse-names":false,"suffix":""}],"container-title":"Australian Critical Care","id":"ITEM-1","issue":"3","issued":{"date-parts":[["2020"]]},"page":"287-294","publisher":"Elsevier Ltd","title":"Risk factors for post–intensive care syndrome: A systematic review and meta-analysis","type":"article-journal","volume":"33"},"uris":["http://www.mendeley.com/documents/?uuid=c10304cb-3e2d-43f3-aea5-ef5eef666f22"]}],"mendeley":{"formattedCitation":"(34)","plainTextFormattedCitation":"(34)","previouslyFormattedCitation":"(34)"},"properties":{"noteIndex":0},"schema":"https://github.com/citation-style-language/schema/raw/master/csl-citation.json"}</w:instrText>
      </w:r>
      <w:r w:rsidRPr="16C47A3A">
        <w:rPr>
          <w:rFonts w:ascii="Times New Roman" w:hAnsi="Times New Roman" w:cs="Times New Roman"/>
          <w:sz w:val="24"/>
          <w:szCs w:val="24"/>
          <w:lang w:val="es-419"/>
        </w:rPr>
        <w:fldChar w:fldCharType="separate"/>
      </w:r>
      <w:r w:rsidR="00105048" w:rsidRPr="16C47A3A">
        <w:rPr>
          <w:rFonts w:ascii="Times New Roman" w:hAnsi="Times New Roman" w:cs="Times New Roman"/>
          <w:noProof/>
          <w:sz w:val="24"/>
          <w:szCs w:val="24"/>
          <w:lang w:val="es-419"/>
        </w:rPr>
        <w:t>(34)</w:t>
      </w:r>
      <w:r w:rsidRPr="16C47A3A">
        <w:rPr>
          <w:rFonts w:ascii="Times New Roman" w:hAnsi="Times New Roman" w:cs="Times New Roman"/>
          <w:sz w:val="24"/>
          <w:szCs w:val="24"/>
          <w:lang w:val="es-419"/>
        </w:rPr>
        <w:fldChar w:fldCharType="end"/>
      </w:r>
      <w:r w:rsidR="1CB71EB6" w:rsidRPr="16C47A3A">
        <w:rPr>
          <w:rFonts w:ascii="Times New Roman" w:hAnsi="Times New Roman" w:cs="Times New Roman"/>
          <w:sz w:val="24"/>
          <w:szCs w:val="24"/>
          <w:lang w:val="es-419"/>
        </w:rPr>
        <w:t>En este estudio, similar a otros que han explorado FR para el deterioro cognitivo</w:t>
      </w:r>
      <w:r w:rsidRPr="16C47A3A">
        <w:rPr>
          <w:rFonts w:ascii="Times New Roman" w:hAnsi="Times New Roman" w:cs="Times New Roman"/>
          <w:sz w:val="24"/>
          <w:szCs w:val="24"/>
        </w:rPr>
        <w:fldChar w:fldCharType="begin" w:fldLock="1"/>
      </w:r>
      <w:r w:rsidRPr="16C47A3A">
        <w:rPr>
          <w:rFonts w:ascii="Times New Roman" w:hAnsi="Times New Roman" w:cs="Times New Roman"/>
          <w:sz w:val="24"/>
          <w:szCs w:val="24"/>
          <w:lang w:val="es-419"/>
        </w:rPr>
        <w:instrText>ADDIN CSL_CITATION {"citationItems":[{"id":"ITEM-1","itemData":{"DOI":"10.1016/j.iccn.2021.103106","ISSN":"15324036","PMID":"34246526","abstract":"Objective: To evaluate the incidence and risks factors of short-term post-intensive care (ICU) cognitive impairment. Design: Prospective, observational study. Setting: Closed university-affiliated intensive care unit. Patients: We enrolled consecutive patients &gt;18 yrs of age expected to be in intensive care unit for ≥24 hours. Interventions: None. Measurements and main results: The score of Montreal Cognitive Assessment (MoCA) less than 26 was defined as cognitive impairment at hospital discharge and short-term post-ICU cognitive impairment was diagnosed in 185 of 409 assessed patients (45.2%). According to univariate analysis, age, years of education, occupation, past medical history, main ICU diagnosis, Acute Physiology and Chronic Evaluation Scoring System (APACHE II) score, Sequential Organ Failure Assessment (SOFA) score, Charlson comorbidity index, ICU length-of-stay (LOS), total hospital LOS, sedation, vasoactive agents, muscle relaxants, mechanical ventilation and duration of mechanical ventilation, constraints, early active mobilisation, hypoxemia, frequency and severity of delirium, blood pressure, rescue experience, and infection were significant predictors of post-ICU cognitive impairment. Multivariate analysis results showed that the frequency and severity of delirium, and advanced age were risk factors of post-ICU cognitive impairment; high years of education and early active mobilisation were protective factors. Conclusions: Incidence of post-ICU cognitive impairment is at a high level, which is similar to former researches’ results; the frequency and severity of delirium, and advanced age were risk factors of post-ICU cognitive impairment; high years of education and early active mobilisation were protective factors of post-ICU cognitive impairment.","author":[{"dropping-particle":"","family":"Yao","given":"Li","non-dropping-particle":"","parse-names":false,"suffix":""},{"dropping-particle":"","family":"Li","given":"Yaling","non-dropping-particle":"","parse-names":false,"suffix":""},{"dropping-particle":"","family":"Yin","given":"Ruiyuan","non-dropping-particle":"","parse-names":false,"suffix":""},{"dropping-particle":"","family":"Yang","given":"Liping","non-dropping-particle":"","parse-names":false,"suffix":""},{"dropping-particle":"","family":"Ding","given":"Nannan","non-dropping-particle":"","parse-names":false,"suffix":""},{"dropping-particle":"","family":"Li","given":"Bin","non-dropping-particle":"","parse-names":false,"suffix":""},{"dropping-particle":"","family":"Shen","given":"Xiping","non-dropping-particle":"","parse-names":false,"suffix":""},{"dropping-particle":"","family":"Zhang","given":"Zhigang","non-dropping-particle":"","parse-names":false,"suffix":""}],"container-title":"Intensive and Critical Care Nursing","id":"ITEM-1","issue":"1","issued":{"date-parts":[["2021"]]},"page":"103106","publisher":"Elsevier Ltd","title":"Incidence and influencing factors of post-intensive care cognitive impairment","type":"article-journal","volume":"67"},"uris":["http://www.mendeley.com/documents/?uuid=2d8015af-3fc1-4f76-8e63-36b46d0d6b5e"]}],"mendeley":{"formattedCitation":"(36)","plainTextFormattedCitation":"(36)","previouslyFormattedCitation":"(36)"},"properties":{"noteIndex":0},"schema":"https://github.com/citation-style-language/schema/raw/master/csl-citation.json"}</w:instrText>
      </w:r>
      <w:r w:rsidRPr="16C47A3A">
        <w:rPr>
          <w:rFonts w:ascii="Times New Roman" w:hAnsi="Times New Roman" w:cs="Times New Roman"/>
          <w:sz w:val="24"/>
          <w:szCs w:val="24"/>
        </w:rPr>
        <w:fldChar w:fldCharType="separate"/>
      </w:r>
      <w:r w:rsidR="00105048" w:rsidRPr="16C47A3A">
        <w:rPr>
          <w:rFonts w:ascii="Times New Roman" w:hAnsi="Times New Roman" w:cs="Times New Roman"/>
          <w:noProof/>
          <w:sz w:val="24"/>
          <w:szCs w:val="24"/>
        </w:rPr>
        <w:t>(36)</w:t>
      </w:r>
      <w:r w:rsidRPr="16C47A3A">
        <w:rPr>
          <w:rFonts w:ascii="Times New Roman" w:hAnsi="Times New Roman" w:cs="Times New Roman"/>
          <w:sz w:val="24"/>
          <w:szCs w:val="24"/>
        </w:rPr>
        <w:fldChar w:fldCharType="end"/>
      </w:r>
      <w:r w:rsidRPr="16C47A3A">
        <w:rPr>
          <w:rFonts w:ascii="Times New Roman" w:hAnsi="Times New Roman" w:cs="Times New Roman"/>
          <w:sz w:val="24"/>
          <w:szCs w:val="24"/>
        </w:rPr>
        <w:t xml:space="preserve"> </w:t>
      </w:r>
      <w:r w:rsidRPr="16C47A3A">
        <w:rPr>
          <w:rFonts w:ascii="Times New Roman" w:hAnsi="Times New Roman" w:cs="Times New Roman"/>
          <w:sz w:val="24"/>
          <w:szCs w:val="24"/>
        </w:rPr>
        <w:fldChar w:fldCharType="begin" w:fldLock="1"/>
      </w:r>
      <w:r w:rsidRPr="16C47A3A">
        <w:rPr>
          <w:rFonts w:ascii="Times New Roman" w:hAnsi="Times New Roman" w:cs="Times New Roman"/>
          <w:sz w:val="24"/>
          <w:szCs w:val="24"/>
        </w:rPr>
        <w:instrText>ADDIN CSL_CITATION {"citationItems":[{"id":"ITEM-1","itemData":{"DOI":"10.1111/aas.13692","ISSN":"13996576","PMID":"32852053","abstract":"Purpose: To describe the incidence of and risk factors for impaired cognitive function in intensive care unit (ICU) survivors. We hypothesized that age, severity of illness, and days in coma, delirium, mechanical ventilation in the ICU would be associated with impaired cognitive function. Methods: We included all adults, alive 6 months after acute admission to one of the 24 Danish ICUs participating in the AID-ICU cohort study. Trained professionals assessed cognitive function in patients’ homes or in outpatient clinics using the Repeatable Battery for the Assessment of Neuropsychological Status (RBANS) 6 months after ICU admission. Potential risk factors for cognitive impairment were analyzed with linear regression models. Results: In total, 237 ICU patients were alive 6 months after ICU admission and did not meet the exclusion criteria. A total of 106 patients completed the cognitive assessment. The median RBANS global cognitive score was 76 (interquartile range, 62-91), and 52% had a global cognitive score 1.5 SD below the normative mean and 36% displayed a global cognitive score 2 SD below the normative mean, similar to that of Alzheimer's disease. Higher age was associated with poorer RBANS global cognitive score (estimate −0.35 [95% confidence interval −0.63 to −0.07] per year). Conclusions: In this multicenter study of adult ICU survivors, cognitive impairment was frequent and severe in those assessed at 6 months. Higher age was a risk factor for cognitive impairment, but events related to the ICU stay were not associated with poorer cognitive performance at 6 months.","author":[{"dropping-particle":"","family":"Collet","given":"Marie O.","non-dropping-particle":"","parse-names":false,"suffix":""},{"dropping-particle":"","family":"Egerod","given":"Ingrid","non-dropping-particle":"","parse-names":false,"suffix":""},{"dropping-particle":"","family":"Thomsen","given":"Thordis","non-dropping-particle":"","parse-names":false,"suffix":""},{"dropping-particle":"","family":"Wetterslev","given":"Jørn","non-dropping-particle":"","parse-names":false,"suffix":""},{"dropping-particle":"","family":"Lange","given":"Theis","non-dropping-particle":"","parse-names":false,"suffix":""},{"dropping-particle":"","family":"Ebdrup","given":"Bjørn H.","non-dropping-particle":"","parse-names":false,"suffix":""},{"dropping-particle":"","family":"Perner","given":"Anders","non-dropping-particle":"","parse-names":false,"suffix":""}],"container-title":"Acta Anaesthesiologica Scandinavica","id":"ITEM-1","issue":"1","issued":{"date-parts":[["2021"]]},"page":"92-99","title":"Risk factors for long-term cognitive impairment in ICU survivors: A multicenter, prospective cohort study","type":"article-journal","volume":"65"},"uris":["http://www.mendeley.com/documents/?uuid=f428e007-7318-48d0-a357-0662ad1e138f"]}],"mendeley":{"formattedCitation":"(35)","plainTextFormattedCitation":"(35)","previouslyFormattedCitation":"(35)"},"properties":{"noteIndex":0},"schema":"https://github.com/citation-style-language/schema/raw/master/csl-citation.json"}</w:instrText>
      </w:r>
      <w:r w:rsidRPr="16C47A3A">
        <w:rPr>
          <w:rFonts w:ascii="Times New Roman" w:hAnsi="Times New Roman" w:cs="Times New Roman"/>
          <w:sz w:val="24"/>
          <w:szCs w:val="24"/>
        </w:rPr>
        <w:fldChar w:fldCharType="separate"/>
      </w:r>
      <w:r w:rsidR="00105048" w:rsidRPr="16C47A3A">
        <w:rPr>
          <w:rFonts w:ascii="Times New Roman" w:hAnsi="Times New Roman" w:cs="Times New Roman"/>
          <w:noProof/>
          <w:sz w:val="24"/>
          <w:szCs w:val="24"/>
          <w:lang w:val="es-419"/>
        </w:rPr>
        <w:t>(35)</w:t>
      </w:r>
      <w:r w:rsidRPr="16C47A3A">
        <w:rPr>
          <w:rFonts w:ascii="Times New Roman" w:hAnsi="Times New Roman" w:cs="Times New Roman"/>
          <w:sz w:val="24"/>
          <w:szCs w:val="24"/>
        </w:rPr>
        <w:fldChar w:fldCharType="end"/>
      </w:r>
      <w:r w:rsidR="1CB71EB6" w:rsidRPr="16C47A3A">
        <w:rPr>
          <w:rFonts w:ascii="Times New Roman" w:hAnsi="Times New Roman" w:cs="Times New Roman"/>
          <w:sz w:val="24"/>
          <w:szCs w:val="24"/>
          <w:lang w:val="es-419"/>
        </w:rPr>
        <w:t xml:space="preserve">, el sexo </w:t>
      </w:r>
      <w:r w:rsidRPr="16C47A3A">
        <w:rPr>
          <w:rFonts w:ascii="Times New Roman" w:hAnsi="Times New Roman" w:cs="Times New Roman"/>
          <w:sz w:val="24"/>
          <w:szCs w:val="24"/>
          <w:lang w:val="es-419"/>
        </w:rPr>
        <w:t>no se asoció a la probabilidad de presentar deterioro cognitivo</w:t>
      </w:r>
      <w:r w:rsidR="1CB71EB6" w:rsidRPr="16C47A3A">
        <w:rPr>
          <w:rFonts w:ascii="Times New Roman" w:hAnsi="Times New Roman" w:cs="Times New Roman"/>
          <w:sz w:val="24"/>
          <w:szCs w:val="24"/>
          <w:lang w:val="es-419"/>
        </w:rPr>
        <w:t>.</w:t>
      </w:r>
    </w:p>
    <w:p w14:paraId="5571712B" w14:textId="2F16F05E" w:rsidR="00BA3E69" w:rsidRPr="00557263" w:rsidRDefault="122B7B6D" w:rsidP="0039189E">
      <w:pPr>
        <w:spacing w:line="360" w:lineRule="auto"/>
        <w:ind w:right="709"/>
        <w:jc w:val="both"/>
        <w:rPr>
          <w:rFonts w:ascii="Times New Roman" w:hAnsi="Times New Roman" w:cs="Times New Roman"/>
          <w:color w:val="FF0000"/>
          <w:sz w:val="24"/>
          <w:szCs w:val="24"/>
          <w:lang w:val="es-419"/>
        </w:rPr>
      </w:pPr>
      <w:r w:rsidRPr="16C47A3A">
        <w:rPr>
          <w:rFonts w:ascii="Times New Roman" w:hAnsi="Times New Roman" w:cs="Times New Roman"/>
          <w:sz w:val="24"/>
          <w:szCs w:val="24"/>
          <w:lang w:val="es-419"/>
        </w:rPr>
        <w:t>La fragilidad se ha establecido como un posible factor de riesgo</w:t>
      </w:r>
      <w:r w:rsidR="73E42E22" w:rsidRPr="16C47A3A">
        <w:rPr>
          <w:rFonts w:ascii="Times New Roman" w:hAnsi="Times New Roman" w:cs="Times New Roman"/>
          <w:sz w:val="24"/>
          <w:szCs w:val="24"/>
          <w:lang w:val="es-419"/>
        </w:rPr>
        <w:t xml:space="preserve"> para secuelas</w:t>
      </w:r>
      <w:r w:rsidRPr="16C47A3A">
        <w:rPr>
          <w:rFonts w:ascii="Times New Roman" w:hAnsi="Times New Roman" w:cs="Times New Roman"/>
          <w:sz w:val="24"/>
          <w:szCs w:val="24"/>
          <w:lang w:val="es-419"/>
        </w:rPr>
        <w:t xml:space="preserve"> a mediano-largo plazo entre 3-12 meses </w:t>
      </w:r>
      <w:r w:rsidR="1D99D769" w:rsidRPr="16C47A3A">
        <w:rPr>
          <w:rFonts w:ascii="Times New Roman" w:hAnsi="Times New Roman" w:cs="Times New Roman"/>
          <w:sz w:val="24"/>
          <w:szCs w:val="24"/>
          <w:lang w:val="es-419"/>
        </w:rPr>
        <w:t>post cuidados intensivos</w:t>
      </w:r>
      <w:r w:rsidRPr="16C47A3A">
        <w:rPr>
          <w:rFonts w:ascii="Times New Roman" w:hAnsi="Times New Roman" w:cs="Times New Roman"/>
          <w:sz w:val="24"/>
          <w:szCs w:val="24"/>
        </w:rPr>
        <w:fldChar w:fldCharType="begin" w:fldLock="1"/>
      </w:r>
      <w:r w:rsidRPr="16C47A3A">
        <w:rPr>
          <w:rFonts w:ascii="Times New Roman" w:hAnsi="Times New Roman" w:cs="Times New Roman"/>
          <w:sz w:val="24"/>
          <w:szCs w:val="24"/>
          <w:lang w:val="es-419"/>
        </w:rPr>
        <w:instrText>ADDIN CSL_CITATION {"citationItems":[{"id":"ITEM-1","itemData":{"DOI":"10.1097/CCM.0000000000003218","ISBN":"0000000000","ISSN":"15300293","PMID":"29787415","abstract":"Objectives: To describe the frequency of co-occurring newly acquired cognitive impairment, disability in activities of daily livings, and depression among survivors of a critical illness and to evaluate predictors of being free of post-intensive care syndrome problems. Design: Prospective cohort study. Setting: Medical and surgical ICUs from five U.S. centers. Patients: Patients with respiratory failure or shock, excluding those with preexisting cognitive impairment or disability in activities of daily livings. Interventions: None. Measurements and Main Results: At 3 and 12 months after hospital discharge, we assessed patients for cognitive impairment, disability, and depression. We categorized patients into eight groups reflecting combinations of cognitive, disability, and mental health problems. Using multivariable logistic regression, we modeled the association between age, education, frailty, durations of mechanical ventilation, delirium, and severe sepsis with the odds of being post-intensive care syndrome free. We analyzed 406 patients with a median age of 61 years and an Acute Physiology and Chronic Health Evaluation II of 23. At 3 and 12 months, one or more postintensive care syndrome problems were present in 64% and 56%, respectively. Nevertheless, co-occurring post-intensive care syndrome problems (i.e., in two or more domains) were present in 25% at 3 months and 21% at 12 months. Post-intensive care syndrome problems in all three domains were present in only 6% at 3 months and 4% at 12 months. More years of education was associated with greater odds of being post-intensive care syndrome free (p &lt; 0.001 at 3 and 12 mo). More severe frailty was associated with lower odds of being post-intensive care syndrome free (p = 0.005 at 3 mo and p = 0.048 at 12 mo). Conclusions: In this multicenter cohort study, one or more postintensive care syndrome problems were present in the majority of survivors, but co-occurring problems were present in only one out of four. Education was protective from post-intensive care syndrome problems and frailty predictive of the development of postintensive care syndrome problems. Future studies are needed to understand better the heterogeneous subtypes of post-intensive care syndrome and to identify modifiable risk factors.","author":[{"dropping-particle":"","family":"Marra","given":"Annachiara","non-dropping-particle":"","parse-names":false,"suffix":""},{"dropping-particle":"","family":"Pandharipande","given":"Pratik P.","non-dropping-particle":"","parse-names":false,"suffix":""},{"dropping-particle":"","family":"Girard","given":"Timothy D.","non-dropping-particle":"","parse-names":false,"suffix":""},{"dropping-particle":"","family":"Patel","given":"Mayur B.","non-dropping-particle":"","parse-names":false,"suffix":""},{"dropping-particle":"","family":"Hughes","given":"Christopher G.","non-dropping-particle":"","parse-names":false,"suffix":""},{"dropping-particle":"","family":"Jackson","given":"James C.","non-dropping-particle":"","parse-names":false,"suffix":""},{"dropping-particle":"","family":"Thompson","given":"Jennifer L.","non-dropping-particle":"","parse-names":false,"suffix":""},{"dropping-particle":"","family":"Chandrasekhar","given":"Rameela","non-dropping-particle":"","parse-names":false,"suffix":""},{"dropping-particle":"","family":"Ely","given":"Eugene Wesley","non-dropping-particle":"","parse-names":false,"suffix":""},{"dropping-particle":"","family":"Brummel","given":"Nathan E.","non-dropping-particle":"","parse-names":false,"suffix":""}],"container-title":"Critical Care Medicine","id":"ITEM-1","issue":"9","issued":{"date-parts":[["2018"]]},"page":"1393-1401","title":"Co-Occurrence of Post-Intensive Care Syndrome Problems among 406 Survivors of Critical Illness","type":"article-journal","volume":"46"},"uris":["http://www.mendeley.com/documents/?uuid=2a83bbb1-ccdd-4d8c-91b5-ff042f0d0faf"]}],"mendeley":{"formattedCitation":"(37)","plainTextFormattedCitation":"(37)","previouslyFormattedCitation":"(37)"},"properties":{"noteIndex":0},"schema":"https://github.com/citation-style-language/schema/raw/master/csl-citation.json"}</w:instrText>
      </w:r>
      <w:r w:rsidRPr="16C47A3A">
        <w:rPr>
          <w:rFonts w:ascii="Times New Roman" w:hAnsi="Times New Roman" w:cs="Times New Roman"/>
          <w:sz w:val="24"/>
          <w:szCs w:val="24"/>
        </w:rPr>
        <w:fldChar w:fldCharType="separate"/>
      </w:r>
      <w:r w:rsidR="00105048" w:rsidRPr="16C47A3A">
        <w:rPr>
          <w:rFonts w:ascii="Times New Roman" w:hAnsi="Times New Roman" w:cs="Times New Roman"/>
          <w:noProof/>
          <w:sz w:val="24"/>
          <w:szCs w:val="24"/>
          <w:lang w:val="es-419"/>
        </w:rPr>
        <w:t>(37)</w:t>
      </w:r>
      <w:r w:rsidRPr="16C47A3A">
        <w:rPr>
          <w:rFonts w:ascii="Times New Roman" w:hAnsi="Times New Roman" w:cs="Times New Roman"/>
          <w:sz w:val="24"/>
          <w:szCs w:val="24"/>
          <w:lang w:val="es-419"/>
        </w:rPr>
        <w:fldChar w:fldCharType="end"/>
      </w:r>
      <w:r w:rsidR="003E5668">
        <w:rPr>
          <w:rFonts w:ascii="Times New Roman" w:hAnsi="Times New Roman" w:cs="Times New Roman"/>
          <w:sz w:val="24"/>
          <w:szCs w:val="24"/>
          <w:lang w:val="es-419"/>
        </w:rPr>
        <w:t>,</w:t>
      </w:r>
      <w:r w:rsidRPr="16C47A3A">
        <w:rPr>
          <w:rFonts w:ascii="Times New Roman" w:hAnsi="Times New Roman" w:cs="Times New Roman"/>
          <w:sz w:val="24"/>
          <w:szCs w:val="24"/>
          <w:lang w:val="es-419"/>
        </w:rPr>
        <w:t xml:space="preserve"> </w:t>
      </w:r>
      <w:r w:rsidR="003E5668">
        <w:rPr>
          <w:rFonts w:ascii="Times New Roman" w:hAnsi="Times New Roman" w:cs="Times New Roman"/>
          <w:sz w:val="24"/>
          <w:szCs w:val="24"/>
          <w:lang w:val="es-419"/>
        </w:rPr>
        <w:t>s</w:t>
      </w:r>
      <w:r w:rsidR="290B32D5" w:rsidRPr="16C47A3A">
        <w:rPr>
          <w:rFonts w:ascii="Times New Roman" w:hAnsi="Times New Roman" w:cs="Times New Roman"/>
          <w:sz w:val="24"/>
          <w:szCs w:val="24"/>
          <w:lang w:val="es-419"/>
        </w:rPr>
        <w:t>in embargo,</w:t>
      </w:r>
      <w:r w:rsidRPr="16C47A3A">
        <w:rPr>
          <w:rFonts w:ascii="Times New Roman" w:hAnsi="Times New Roman" w:cs="Times New Roman"/>
          <w:sz w:val="24"/>
          <w:szCs w:val="24"/>
          <w:lang w:val="es-419"/>
        </w:rPr>
        <w:t xml:space="preserve"> </w:t>
      </w:r>
      <w:r w:rsidR="5ABAA19C" w:rsidRPr="16C47A3A">
        <w:rPr>
          <w:rFonts w:ascii="Times New Roman" w:hAnsi="Times New Roman" w:cs="Times New Roman"/>
          <w:sz w:val="24"/>
          <w:szCs w:val="24"/>
          <w:lang w:val="es-419"/>
        </w:rPr>
        <w:t xml:space="preserve">no fue </w:t>
      </w:r>
      <w:r w:rsidR="110217AF" w:rsidRPr="16C47A3A">
        <w:rPr>
          <w:rFonts w:ascii="Times New Roman" w:hAnsi="Times New Roman" w:cs="Times New Roman"/>
          <w:sz w:val="24"/>
          <w:szCs w:val="24"/>
          <w:lang w:val="es-419"/>
        </w:rPr>
        <w:t>un factor de riesgo en este análisis</w:t>
      </w:r>
      <w:r w:rsidR="003E5668">
        <w:rPr>
          <w:rFonts w:ascii="Times New Roman" w:hAnsi="Times New Roman" w:cs="Times New Roman"/>
          <w:sz w:val="24"/>
          <w:szCs w:val="24"/>
          <w:lang w:val="es-419"/>
        </w:rPr>
        <w:t>.</w:t>
      </w:r>
      <w:r w:rsidR="110217AF" w:rsidRPr="16C47A3A">
        <w:rPr>
          <w:rFonts w:ascii="Times New Roman" w:hAnsi="Times New Roman" w:cs="Times New Roman"/>
          <w:sz w:val="24"/>
          <w:szCs w:val="24"/>
          <w:lang w:val="es-419"/>
        </w:rPr>
        <w:t xml:space="preserve"> </w:t>
      </w:r>
      <w:r w:rsidR="003E5668">
        <w:rPr>
          <w:rFonts w:ascii="Times New Roman" w:hAnsi="Times New Roman" w:cs="Times New Roman"/>
          <w:sz w:val="24"/>
          <w:szCs w:val="24"/>
          <w:lang w:val="es-419"/>
        </w:rPr>
        <w:t>Esto</w:t>
      </w:r>
      <w:r w:rsidR="110217AF" w:rsidRPr="16C47A3A">
        <w:rPr>
          <w:rFonts w:ascii="Times New Roman" w:hAnsi="Times New Roman" w:cs="Times New Roman"/>
          <w:sz w:val="24"/>
          <w:szCs w:val="24"/>
          <w:lang w:val="es-419"/>
        </w:rPr>
        <w:t xml:space="preserve"> se podría explicar porque </w:t>
      </w:r>
      <w:r w:rsidR="7F2342E3" w:rsidRPr="16C47A3A">
        <w:rPr>
          <w:rFonts w:ascii="Times New Roman" w:hAnsi="Times New Roman" w:cs="Times New Roman"/>
          <w:sz w:val="24"/>
          <w:szCs w:val="24"/>
          <w:lang w:val="es-419"/>
        </w:rPr>
        <w:t>se exclu</w:t>
      </w:r>
      <w:r w:rsidR="1B72DEC1" w:rsidRPr="16C47A3A">
        <w:rPr>
          <w:rFonts w:ascii="Times New Roman" w:hAnsi="Times New Roman" w:cs="Times New Roman"/>
          <w:sz w:val="24"/>
          <w:szCs w:val="24"/>
          <w:lang w:val="es-419"/>
        </w:rPr>
        <w:t>yeron</w:t>
      </w:r>
      <w:r w:rsidR="7F2342E3" w:rsidRPr="16C47A3A">
        <w:rPr>
          <w:rFonts w:ascii="Times New Roman" w:hAnsi="Times New Roman" w:cs="Times New Roman"/>
          <w:sz w:val="24"/>
          <w:szCs w:val="24"/>
          <w:lang w:val="es-419"/>
        </w:rPr>
        <w:t xml:space="preserve"> a aquellos </w:t>
      </w:r>
      <w:r w:rsidR="110217AF" w:rsidRPr="16C47A3A">
        <w:rPr>
          <w:rFonts w:ascii="Times New Roman" w:hAnsi="Times New Roman" w:cs="Times New Roman"/>
          <w:sz w:val="24"/>
          <w:szCs w:val="24"/>
          <w:lang w:val="es-419"/>
        </w:rPr>
        <w:t xml:space="preserve">pacientes </w:t>
      </w:r>
      <w:r w:rsidR="7F2342E3" w:rsidRPr="16C47A3A">
        <w:rPr>
          <w:rFonts w:ascii="Times New Roman" w:hAnsi="Times New Roman" w:cs="Times New Roman"/>
          <w:sz w:val="24"/>
          <w:szCs w:val="24"/>
          <w:lang w:val="es-419"/>
        </w:rPr>
        <w:t xml:space="preserve">que </w:t>
      </w:r>
      <w:r w:rsidR="3D45F041" w:rsidRPr="16C47A3A">
        <w:rPr>
          <w:rFonts w:ascii="Times New Roman" w:hAnsi="Times New Roman" w:cs="Times New Roman"/>
          <w:sz w:val="24"/>
          <w:szCs w:val="24"/>
          <w:lang w:val="es-419"/>
        </w:rPr>
        <w:t>tenían</w:t>
      </w:r>
      <w:r w:rsidR="7F2342E3" w:rsidRPr="16C47A3A">
        <w:rPr>
          <w:rFonts w:ascii="Times New Roman" w:hAnsi="Times New Roman" w:cs="Times New Roman"/>
          <w:sz w:val="24"/>
          <w:szCs w:val="24"/>
          <w:lang w:val="es-419"/>
        </w:rPr>
        <w:t xml:space="preserve"> dependencia física</w:t>
      </w:r>
      <w:r w:rsidR="0C14005E" w:rsidRPr="16C47A3A">
        <w:rPr>
          <w:rFonts w:ascii="Times New Roman" w:hAnsi="Times New Roman" w:cs="Times New Roman"/>
          <w:sz w:val="24"/>
          <w:szCs w:val="24"/>
          <w:lang w:val="es-419"/>
        </w:rPr>
        <w:t xml:space="preserve"> dos semanas</w:t>
      </w:r>
      <w:r w:rsidR="7F2342E3" w:rsidRPr="16C47A3A">
        <w:rPr>
          <w:rFonts w:ascii="Times New Roman" w:hAnsi="Times New Roman" w:cs="Times New Roman"/>
          <w:sz w:val="24"/>
          <w:szCs w:val="24"/>
          <w:lang w:val="es-419"/>
        </w:rPr>
        <w:t xml:space="preserve"> </w:t>
      </w:r>
      <w:r w:rsidR="27C3C835" w:rsidRPr="16C47A3A">
        <w:rPr>
          <w:rFonts w:ascii="Times New Roman" w:hAnsi="Times New Roman" w:cs="Times New Roman"/>
          <w:sz w:val="24"/>
          <w:szCs w:val="24"/>
          <w:lang w:val="es-419"/>
        </w:rPr>
        <w:t>previas</w:t>
      </w:r>
      <w:r w:rsidR="7F2342E3" w:rsidRPr="16C47A3A">
        <w:rPr>
          <w:rFonts w:ascii="Times New Roman" w:hAnsi="Times New Roman" w:cs="Times New Roman"/>
          <w:sz w:val="24"/>
          <w:szCs w:val="24"/>
          <w:lang w:val="es-419"/>
        </w:rPr>
        <w:t xml:space="preserve"> a su ingreso</w:t>
      </w:r>
      <w:r w:rsidR="68F8A05F" w:rsidRPr="16C47A3A">
        <w:rPr>
          <w:rFonts w:ascii="Times New Roman" w:hAnsi="Times New Roman" w:cs="Times New Roman"/>
          <w:sz w:val="24"/>
          <w:szCs w:val="24"/>
          <w:lang w:val="es-419"/>
        </w:rPr>
        <w:t xml:space="preserve"> a UCI</w:t>
      </w:r>
      <w:r w:rsidR="0C14005E" w:rsidRPr="16C47A3A">
        <w:rPr>
          <w:rFonts w:ascii="Times New Roman" w:hAnsi="Times New Roman" w:cs="Times New Roman"/>
          <w:sz w:val="24"/>
          <w:szCs w:val="24"/>
          <w:lang w:val="es-419"/>
        </w:rPr>
        <w:t xml:space="preserve">. </w:t>
      </w:r>
      <w:r w:rsidR="409BF43B" w:rsidRPr="16C47A3A">
        <w:rPr>
          <w:rFonts w:ascii="Times New Roman" w:hAnsi="Times New Roman" w:cs="Times New Roman"/>
          <w:sz w:val="24"/>
          <w:szCs w:val="24"/>
          <w:lang w:val="es-419"/>
        </w:rPr>
        <w:t>No obstante</w:t>
      </w:r>
      <w:r w:rsidR="0D10F89A" w:rsidRPr="16C47A3A">
        <w:rPr>
          <w:rFonts w:ascii="Times New Roman" w:hAnsi="Times New Roman" w:cs="Times New Roman"/>
          <w:sz w:val="24"/>
          <w:szCs w:val="24"/>
          <w:lang w:val="es-419"/>
        </w:rPr>
        <w:t xml:space="preserve">, </w:t>
      </w:r>
      <w:r w:rsidR="3DF1F0E8" w:rsidRPr="16C47A3A">
        <w:rPr>
          <w:rFonts w:ascii="Times New Roman" w:hAnsi="Times New Roman" w:cs="Times New Roman"/>
          <w:sz w:val="24"/>
          <w:szCs w:val="24"/>
          <w:lang w:val="es-419"/>
        </w:rPr>
        <w:t>el</w:t>
      </w:r>
      <w:r w:rsidR="0D10F89A" w:rsidRPr="16C47A3A">
        <w:rPr>
          <w:rFonts w:ascii="Times New Roman" w:hAnsi="Times New Roman" w:cs="Times New Roman"/>
          <w:sz w:val="24"/>
          <w:szCs w:val="24"/>
          <w:lang w:val="es-419"/>
        </w:rPr>
        <w:t xml:space="preserve"> </w:t>
      </w:r>
      <w:r w:rsidR="3DF1F0E8" w:rsidRPr="16C47A3A">
        <w:rPr>
          <w:rFonts w:ascii="Times New Roman" w:hAnsi="Times New Roman" w:cs="Times New Roman"/>
          <w:sz w:val="24"/>
          <w:szCs w:val="24"/>
          <w:lang w:val="es-419"/>
        </w:rPr>
        <w:t>80% de los</w:t>
      </w:r>
      <w:r w:rsidR="0D10F89A" w:rsidRPr="16C47A3A">
        <w:rPr>
          <w:rFonts w:ascii="Times New Roman" w:hAnsi="Times New Roman" w:cs="Times New Roman"/>
          <w:sz w:val="24"/>
          <w:szCs w:val="24"/>
          <w:lang w:val="es-419"/>
        </w:rPr>
        <w:t xml:space="preserve"> pacientes que ingresaron con fragilidad </w:t>
      </w:r>
      <w:r w:rsidR="0EBFF4E5" w:rsidRPr="16C47A3A">
        <w:rPr>
          <w:rFonts w:ascii="Times New Roman" w:hAnsi="Times New Roman" w:cs="Times New Roman"/>
          <w:sz w:val="24"/>
          <w:szCs w:val="24"/>
          <w:lang w:val="es-419"/>
        </w:rPr>
        <w:t xml:space="preserve">tuvieron </w:t>
      </w:r>
      <w:r w:rsidR="0D10F89A" w:rsidRPr="16C47A3A">
        <w:rPr>
          <w:rFonts w:ascii="Times New Roman" w:hAnsi="Times New Roman" w:cs="Times New Roman"/>
          <w:sz w:val="24"/>
          <w:szCs w:val="24"/>
          <w:lang w:val="es-419"/>
        </w:rPr>
        <w:t xml:space="preserve">deterioro cognitivo a los 3 meses. </w:t>
      </w:r>
      <w:r w:rsidR="09879585" w:rsidRPr="16C47A3A">
        <w:rPr>
          <w:rFonts w:ascii="Times New Roman" w:hAnsi="Times New Roman" w:cs="Times New Roman"/>
          <w:sz w:val="24"/>
          <w:szCs w:val="24"/>
          <w:lang w:val="es-419"/>
        </w:rPr>
        <w:t xml:space="preserve">Por lo que </w:t>
      </w:r>
      <w:r w:rsidR="527A8BEA" w:rsidRPr="16C47A3A">
        <w:rPr>
          <w:rFonts w:ascii="Times New Roman" w:hAnsi="Times New Roman" w:cs="Times New Roman"/>
          <w:sz w:val="24"/>
          <w:szCs w:val="24"/>
          <w:lang w:val="es-419"/>
        </w:rPr>
        <w:t>futuros</w:t>
      </w:r>
      <w:r w:rsidR="142913D1" w:rsidRPr="16C47A3A">
        <w:rPr>
          <w:rFonts w:ascii="Times New Roman" w:hAnsi="Times New Roman" w:cs="Times New Roman"/>
          <w:sz w:val="24"/>
          <w:szCs w:val="24"/>
          <w:lang w:val="es-419"/>
        </w:rPr>
        <w:t xml:space="preserve"> estudios </w:t>
      </w:r>
      <w:r w:rsidR="527A8BEA" w:rsidRPr="16C47A3A">
        <w:rPr>
          <w:rFonts w:ascii="Times New Roman" w:hAnsi="Times New Roman" w:cs="Times New Roman"/>
          <w:sz w:val="24"/>
          <w:szCs w:val="24"/>
          <w:lang w:val="es-419"/>
        </w:rPr>
        <w:t>deberían incluir a</w:t>
      </w:r>
      <w:r w:rsidR="142913D1" w:rsidRPr="16C47A3A">
        <w:rPr>
          <w:rFonts w:ascii="Times New Roman" w:hAnsi="Times New Roman" w:cs="Times New Roman"/>
          <w:sz w:val="24"/>
          <w:szCs w:val="24"/>
          <w:lang w:val="es-419"/>
        </w:rPr>
        <w:t xml:space="preserve"> pacientes con dependencia física previa al ingreso a UCI</w:t>
      </w:r>
      <w:r w:rsidR="002036EE" w:rsidRPr="16C47A3A">
        <w:rPr>
          <w:rFonts w:ascii="Times New Roman" w:hAnsi="Times New Roman" w:cs="Times New Roman"/>
          <w:sz w:val="24"/>
          <w:szCs w:val="24"/>
          <w:lang w:val="es-419"/>
        </w:rPr>
        <w:t xml:space="preserve"> para </w:t>
      </w:r>
      <w:r w:rsidR="3CE15EA5" w:rsidRPr="16C47A3A">
        <w:rPr>
          <w:rFonts w:ascii="Times New Roman" w:hAnsi="Times New Roman" w:cs="Times New Roman"/>
          <w:sz w:val="24"/>
          <w:szCs w:val="24"/>
          <w:lang w:val="es-419"/>
        </w:rPr>
        <w:t>dilucidar</w:t>
      </w:r>
      <w:r w:rsidR="002036EE" w:rsidRPr="16C47A3A">
        <w:rPr>
          <w:rFonts w:ascii="Times New Roman" w:hAnsi="Times New Roman" w:cs="Times New Roman"/>
          <w:sz w:val="24"/>
          <w:szCs w:val="24"/>
          <w:lang w:val="es-419"/>
        </w:rPr>
        <w:t xml:space="preserve"> la relación entre fragilidad y deterioro cognitivo a corto plazo.</w:t>
      </w:r>
      <w:r w:rsidR="142913D1" w:rsidRPr="16C47A3A">
        <w:rPr>
          <w:rFonts w:ascii="Times New Roman" w:hAnsi="Times New Roman" w:cs="Times New Roman"/>
          <w:sz w:val="24"/>
          <w:szCs w:val="24"/>
          <w:lang w:val="es-419"/>
        </w:rPr>
        <w:t xml:space="preserve"> </w:t>
      </w:r>
      <w:r w:rsidR="5E156440" w:rsidRPr="16C47A3A">
        <w:rPr>
          <w:rFonts w:ascii="Times New Roman" w:hAnsi="Times New Roman" w:cs="Times New Roman"/>
          <w:sz w:val="24"/>
          <w:szCs w:val="24"/>
          <w:lang w:val="es-419"/>
        </w:rPr>
        <w:t>La evidencia</w:t>
      </w:r>
      <w:r w:rsidR="00187AB9">
        <w:rPr>
          <w:rFonts w:ascii="Times New Roman" w:hAnsi="Times New Roman" w:cs="Times New Roman"/>
          <w:sz w:val="24"/>
          <w:szCs w:val="24"/>
          <w:lang w:val="es-419"/>
        </w:rPr>
        <w:t xml:space="preserve"> respect</w:t>
      </w:r>
      <w:r w:rsidR="001D5B18">
        <w:rPr>
          <w:rFonts w:ascii="Times New Roman" w:hAnsi="Times New Roman" w:cs="Times New Roman"/>
          <w:sz w:val="24"/>
          <w:szCs w:val="24"/>
          <w:lang w:val="es-419"/>
        </w:rPr>
        <w:t>o</w:t>
      </w:r>
      <w:r w:rsidR="00187AB9">
        <w:rPr>
          <w:rFonts w:ascii="Times New Roman" w:hAnsi="Times New Roman" w:cs="Times New Roman"/>
          <w:sz w:val="24"/>
          <w:szCs w:val="24"/>
          <w:lang w:val="es-419"/>
        </w:rPr>
        <w:t xml:space="preserve"> a</w:t>
      </w:r>
      <w:r w:rsidR="001D5B18">
        <w:rPr>
          <w:rFonts w:ascii="Times New Roman" w:hAnsi="Times New Roman" w:cs="Times New Roman"/>
          <w:sz w:val="24"/>
          <w:szCs w:val="24"/>
          <w:lang w:val="es-419"/>
        </w:rPr>
        <w:t xml:space="preserve"> la relación </w:t>
      </w:r>
      <w:r w:rsidR="5E156440" w:rsidRPr="16C47A3A">
        <w:rPr>
          <w:rFonts w:ascii="Times New Roman" w:hAnsi="Times New Roman" w:cs="Times New Roman"/>
          <w:sz w:val="24"/>
          <w:szCs w:val="24"/>
          <w:lang w:val="es-419"/>
        </w:rPr>
        <w:t xml:space="preserve">entre </w:t>
      </w:r>
      <w:r w:rsidR="3691F070" w:rsidRPr="16C47A3A">
        <w:rPr>
          <w:rFonts w:ascii="Times New Roman" w:hAnsi="Times New Roman" w:cs="Times New Roman"/>
          <w:sz w:val="24"/>
          <w:szCs w:val="24"/>
          <w:lang w:val="es-419"/>
        </w:rPr>
        <w:t xml:space="preserve">la infección por COVID-19 y </w:t>
      </w:r>
      <w:r w:rsidR="5E156440" w:rsidRPr="16C47A3A">
        <w:rPr>
          <w:rFonts w:ascii="Times New Roman" w:hAnsi="Times New Roman" w:cs="Times New Roman"/>
          <w:sz w:val="24"/>
          <w:szCs w:val="24"/>
          <w:lang w:val="es-419"/>
        </w:rPr>
        <w:t>el deterioro cognitivo post UCI no es concluyente</w:t>
      </w:r>
      <w:r w:rsidR="3691F070" w:rsidRPr="16C47A3A">
        <w:rPr>
          <w:rFonts w:ascii="Times New Roman" w:hAnsi="Times New Roman" w:cs="Times New Roman"/>
          <w:sz w:val="24"/>
          <w:szCs w:val="24"/>
          <w:lang w:val="es-419"/>
        </w:rPr>
        <w:t>.</w:t>
      </w:r>
      <w:r w:rsidR="5E156440" w:rsidRPr="16C47A3A">
        <w:rPr>
          <w:rFonts w:ascii="Times New Roman" w:hAnsi="Times New Roman" w:cs="Times New Roman"/>
          <w:sz w:val="24"/>
          <w:szCs w:val="24"/>
          <w:lang w:val="es-419"/>
        </w:rPr>
        <w:t xml:space="preserve"> </w:t>
      </w:r>
      <w:r w:rsidR="3691F070" w:rsidRPr="16C47A3A">
        <w:rPr>
          <w:rFonts w:ascii="Times New Roman" w:hAnsi="Times New Roman" w:cs="Times New Roman"/>
          <w:sz w:val="24"/>
          <w:szCs w:val="24"/>
          <w:lang w:val="es-419"/>
        </w:rPr>
        <w:t>A</w:t>
      </w:r>
      <w:r w:rsidR="5E156440" w:rsidRPr="16C47A3A">
        <w:rPr>
          <w:rFonts w:ascii="Times New Roman" w:hAnsi="Times New Roman" w:cs="Times New Roman"/>
          <w:sz w:val="24"/>
          <w:szCs w:val="24"/>
          <w:lang w:val="es-419"/>
        </w:rPr>
        <w:t xml:space="preserve">lgunos </w:t>
      </w:r>
      <w:r w:rsidR="5E156440" w:rsidRPr="16C47A3A">
        <w:rPr>
          <w:rFonts w:ascii="Times New Roman" w:hAnsi="Times New Roman" w:cs="Times New Roman"/>
          <w:sz w:val="24"/>
          <w:szCs w:val="24"/>
          <w:lang w:val="es-419"/>
        </w:rPr>
        <w:lastRenderedPageBreak/>
        <w:t xml:space="preserve">estudios </w:t>
      </w:r>
      <w:r w:rsidR="5486CE87" w:rsidRPr="16C47A3A">
        <w:rPr>
          <w:rFonts w:ascii="Times New Roman" w:hAnsi="Times New Roman" w:cs="Times New Roman"/>
          <w:sz w:val="24"/>
          <w:szCs w:val="24"/>
          <w:lang w:val="es-419"/>
        </w:rPr>
        <w:t>no han encontrado diferencias en cohortes de pacientes con y sin COVID-19 hospitalizados en UCI</w:t>
      </w:r>
      <w:r w:rsidR="5E156440" w:rsidRPr="16C47A3A">
        <w:rPr>
          <w:rFonts w:ascii="Times New Roman" w:hAnsi="Times New Roman" w:cs="Times New Roman"/>
          <w:sz w:val="24"/>
          <w:szCs w:val="24"/>
          <w:lang w:val="es-419"/>
        </w:rPr>
        <w:fldChar w:fldCharType="begin" w:fldLock="1"/>
      </w:r>
      <w:r w:rsidR="5E156440" w:rsidRPr="16C47A3A">
        <w:rPr>
          <w:rFonts w:ascii="Times New Roman" w:hAnsi="Times New Roman" w:cs="Times New Roman"/>
          <w:sz w:val="24"/>
          <w:szCs w:val="24"/>
          <w:lang w:val="es-419"/>
        </w:rPr>
        <w:instrText>ADDIN CSL_CITATION {"citationItems":[{"id":"ITEM-1","itemData":{"DOI":"10.1164/rccm.202110-2335oc","ISBN":"2021102335","ISSN":"1073-449X","abstract":"RATIONALE: The outcomes of survivors of critical illness due to COVID-19 compared to non-COVID are yet to be established. OBJECTIVE: We aimed to compare new disability at 6-months in mechanically ventilated patients admitted to Australian intensive care units (ICUs) with COVID-19 compared to non-COVID-19. METHODS: We included COVID-19 and non-COVID-19 critically ill patients from two prospective observational studies. Patients were eligible if they were adult (age &amp;#8805;18 years) with over 24 hours of mechanical ventilation. MEASUREMENTS: Demographic, intervention and hospital outcome data were obtained from electronic medical records. Survivors were contacted by telephone for functional outcomes with trained outcome assessors using the World Health Organization Disability Assessment Schedule 2.0. MAIN RESULTS: Between 6 March 2020 and 21 April 2021, 120 critically ill patients with COVID-19 and between August 2017 and January 2019, 199 critically ill patients without COVID-19 fulfilled the inclusion criteria. Patients with COVID-19 were older (62 (55-71) vs 58 (44-69), p=0.019) with a lower APACHE II (17 (13-20) vs 19 (15-23), p=0.011). While duration of ventilation was longer in patients with COVID-19 compared to without COVID-19 (12 days (5-19) vs 4.8 (2.3-8.8), p &lt;0.001), 180-day mortality was similar between the groups (39/120 (32.5%) vs 70/199 (35.2%), p=0.715). The incidence of death or new disability at 180 days was similar (58/93 (62.4%) versus 99/150 (66/0%), p=0.583). CONCLUSION: At 6-months there was no difference in new disability for patients requiring mechanical ventilation for acute respiratory failure due to COVID-19 compared to non-COVID-19. This article is open access and distributed under the terms of the Creative Commons Attribution Non-Commercial No Derivatives License 4.0 (http://creativecommons.org/licenses/by-nc-nd/4.0/).","author":[{"dropping-particle":"","family":"Hodgson","given":"Carol L.","non-dropping-particle":"","parse-names":false,"suffix":""},{"dropping-particle":"","family":"Higgins","given":"Alisa M","non-dropping-particle":"","parse-names":false,"suffix":""},{"dropping-particle":"","family":"Bailey","given":"Michael J.","non-dropping-particle":"","parse-names":false,"suffix":""},{"dropping-particle":"","family":"Mather","given":"Anne M.","non-dropping-particle":"","parse-names":false,"suffix":""},{"dropping-particle":"","family":"Beach","given":"Lisa","non-dropping-particle":"","parse-names":false,"suffix":""},{"dropping-particle":"","family":"Bellomo","given":"Rinaldo","non-dropping-particle":"","parse-names":false,"suffix":""},{"dropping-particle":"","family":"Bissett","given":"Bernie","non-dropping-particle":"","parse-names":false,"suffix":""},{"dropping-particle":"","family":"Boden","given":"Ianthe J.","non-dropping-particle":"","parse-names":false,"suffix":""},{"dropping-particle":"","family":"Bradley","given":"Scott","non-dropping-particle":"","parse-names":false,"suffix":""},{"dropping-particle":"","family":"Burrell","given":"Aidan","non-dropping-particle":"","parse-names":false,"suffix":""},{"dropping-particle":"","family":"Cooper","given":"D. James","non-dropping-particle":"","parse-names":false,"suffix":""},{"dropping-particle":"","family":"Fulcher","given":"Bentley J.","non-dropping-particle":"","parse-names":false,"suffix":""},{"dropping-particle":"","family":"Haines","given":"Kimberley J","non-dropping-particle":"","parse-names":false,"suffix":""},{"dropping-particle":"","family":"Hodgson","given":"Isabelle T.","non-dropping-particle":"","parse-names":false,"suffix":""},{"dropping-particle":"","family":"Hopkins","given":"Jack","non-dropping-particle":"","parse-names":false,"suffix":""},{"dropping-particle":"","family":"Jones","given":"Alice Y.M.","non-dropping-particle":"","parse-names":false,"suffix":""},{"dropping-particle":"","family":"Lane","given":"Stuart","non-dropping-particle":"","parse-names":false,"suffix":""},{"dropping-particle":"","family":"Lawrence","given":"Drew","non-dropping-particle":"","parse-names":false,"suffix":""},{"dropping-particle":"","family":"Lee","given":"Lisa","non-dropping-particle":"van der","parse-names":false,"suffix":""},{"dropping-particle":"","family":"Liacos","given":"Jennifer","non-dropping-particle":"","parse-names":false,"suffix":""},{"dropping-particle":"","family":"Linke","given":"Natalie J.","non-dropping-particle":"","parse-names":false,"suffix":""},{"dropping-particle":"","family":"Marques Gomes","given":"Lonni","non-dropping-particle":"","parse-names":false,"suffix":""},{"dropping-particle":"","family":"Nickels","given":"Marc","non-dropping-particle":"","parse-names":false,"suffix":""},{"dropping-particle":"","family":"Ntoumenopoulos","given":"George","non-dropping-particle":"","parse-names":false,"suffix":""},{"dropping-particle":"","family":"Myles","given":"Paul S.","non-dropping-particle":"","parse-names":false,"suffix":""},{"dropping-particle":"","family":"Patman","given":"Shane","non-dropping-particle":"","parse-names":false,"suffix":""},{"dropping-particle":"","family":"Paton","given":"Michelle","non-dropping-particle":"","parse-names":false,"suffix":""},{"dropping-particle":"","family":"Pound","given":"Gemma","non-dropping-particle":"","parse-names":false,"suffix":""},{"dropping-particle":"","family":"Rai","given":"Sumeet","non-dropping-particle":"","parse-names":false,"suffix":""},{"dropping-particle":"","family":"Rix","given":"Alana","non-dropping-particle":"","parse-names":false,"suffix":""},{"dropping-particle":"","family":"Rollinson","given":"Thomas C","non-dropping-particle":"","parse-names":false,"suffix":""},{"dropping-particle":"","family":"Tipping","given":"Claire J","non-dropping-particle":"","parse-names":false,"suffix":""},{"dropping-particle":"","family":"Thomas","given":"Peter","non-dropping-particle":"","parse-names":false,"suffix":""},{"dropping-particle":"","family":"Trapani","given":"Tony","non-dropping-particle":"","parse-names":false,"suffix":""},{"dropping-particle":"","family":"Udy","given":"Andrew A","non-dropping-particle":"","parse-names":false,"suffix":""},{"dropping-particle":"","family":"Whitehead","given":"Christina","non-dropping-particle":"","parse-names":false,"suffix":""},{"dropping-particle":"","family":"Anderson","given":"Shannah","non-dropping-particle":"","parse-names":false,"suffix":""},{"dropping-particle":"","family":"Serpa Neto","given":"Ary","non-dropping-particle":"","parse-names":false,"suffix":""}],"container-title":"American Journal of Respiratory and Critical Care Medicine","id":"ITEM-1","issued":{"date-parts":[["2022"]]},"number-of-pages":"1-41","title":"Comparison of 6-Month Outcomes of COVID-19 vs Non-COVID-19 Survivors of Critical Illness","type":"book"},"uris":["http://www.mendeley.com/documents/?uuid=6e2625f0-1b0e-422a-a919-1a6368724e09"]}],"mendeley":{"formattedCitation":"(22)","plainTextFormattedCitation":"(22)","previouslyFormattedCitation":"(22)"},"properties":{"noteIndex":0},"schema":"https://github.com/citation-style-language/schema/raw/master/csl-citation.json"}</w:instrText>
      </w:r>
      <w:r w:rsidR="5E156440" w:rsidRPr="16C47A3A">
        <w:rPr>
          <w:rFonts w:ascii="Times New Roman" w:hAnsi="Times New Roman" w:cs="Times New Roman"/>
          <w:sz w:val="24"/>
          <w:szCs w:val="24"/>
          <w:lang w:val="es-419"/>
        </w:rPr>
        <w:fldChar w:fldCharType="separate"/>
      </w:r>
      <w:r w:rsidR="00105048" w:rsidRPr="16C47A3A">
        <w:rPr>
          <w:rFonts w:ascii="Times New Roman" w:hAnsi="Times New Roman" w:cs="Times New Roman"/>
          <w:noProof/>
          <w:sz w:val="24"/>
          <w:szCs w:val="24"/>
          <w:lang w:val="es-419"/>
        </w:rPr>
        <w:t>(22)</w:t>
      </w:r>
      <w:r w:rsidR="5E156440" w:rsidRPr="16C47A3A">
        <w:rPr>
          <w:rFonts w:ascii="Times New Roman" w:hAnsi="Times New Roman" w:cs="Times New Roman"/>
          <w:sz w:val="24"/>
          <w:szCs w:val="24"/>
          <w:lang w:val="es-419"/>
        </w:rPr>
        <w:fldChar w:fldCharType="end"/>
      </w:r>
      <w:r w:rsidR="5486CE87" w:rsidRPr="16C47A3A">
        <w:rPr>
          <w:rFonts w:ascii="Times New Roman" w:hAnsi="Times New Roman" w:cs="Times New Roman"/>
          <w:sz w:val="24"/>
          <w:szCs w:val="24"/>
          <w:lang w:val="es-419"/>
        </w:rPr>
        <w:t>, mientras otros reportan</w:t>
      </w:r>
      <w:r w:rsidR="5E156440" w:rsidRPr="16C47A3A">
        <w:rPr>
          <w:rFonts w:ascii="Times New Roman" w:hAnsi="Times New Roman" w:cs="Times New Roman"/>
          <w:sz w:val="24"/>
          <w:szCs w:val="24"/>
          <w:lang w:val="es-419"/>
        </w:rPr>
        <w:t xml:space="preserve"> una prevalencia cercana al 90% </w:t>
      </w:r>
      <w:r w:rsidR="630A64C7" w:rsidRPr="16C47A3A">
        <w:rPr>
          <w:rFonts w:ascii="Times New Roman" w:hAnsi="Times New Roman" w:cs="Times New Roman"/>
          <w:sz w:val="24"/>
          <w:szCs w:val="24"/>
          <w:lang w:val="es-419"/>
        </w:rPr>
        <w:t>para todas las secuelas del síndrome post cuidados intensivos</w:t>
      </w:r>
      <w:r w:rsidR="5E156440" w:rsidRPr="16C47A3A">
        <w:rPr>
          <w:rFonts w:ascii="Times New Roman" w:hAnsi="Times New Roman" w:cs="Times New Roman"/>
          <w:sz w:val="24"/>
          <w:szCs w:val="24"/>
          <w:lang w:val="es-419"/>
        </w:rPr>
        <w:t xml:space="preserve"> en los pacientes con COVID-19. </w:t>
      </w:r>
      <w:r w:rsidR="5E156440" w:rsidRPr="16C47A3A">
        <w:rPr>
          <w:rFonts w:ascii="Times New Roman" w:hAnsi="Times New Roman" w:cs="Times New Roman"/>
          <w:sz w:val="24"/>
          <w:szCs w:val="24"/>
        </w:rPr>
        <w:fldChar w:fldCharType="begin" w:fldLock="1"/>
      </w:r>
      <w:r w:rsidR="5E156440" w:rsidRPr="16C47A3A">
        <w:rPr>
          <w:rFonts w:ascii="Times New Roman" w:hAnsi="Times New Roman" w:cs="Times New Roman"/>
          <w:sz w:val="24"/>
          <w:szCs w:val="24"/>
          <w:lang w:val="es-419"/>
        </w:rPr>
        <w:instrText>ADDIN CSL_CITATION {"citationItems":[{"id":"ITEM-1","itemData":{"DOI":"10.1038/s41598-022-11929-8","ISBN":"0123456789","ISSN":"20452322","PMID":"35562379","abstract":"Coronavirus disease 19 (COVID-19) patients usually require long periods of mechanical ventilation and sedation, which added to steroid therapy, favours a predisposition to the development of delirium and subsequent mental health disorders, as well as physical and respiratory sequelae. The aim of this study was to determine the prevalence of post-intensive care syndrome (PICS) at 3 months after hospital discharge, in a cohort of mechanically ventilated patients with severe acute respiratory syndrome coronavirus 2 (SARS-CoV-2). An ambispective, observational study was conducted in three hospitals with intensive care unit (ICU) follow-up clinics. We studied adults who survived a critical illness due to SARS-CoV-2 infection requiring invasive mechanical ventilation. A physical (muscle strength and pulmonary function), functional [12-Item Short Form Health Survey (SF-12), and Barthel score], psychological [hospital anxiety and depression (HADS) and posttraumatic stress disorder symptom severity scales], and cognitive [Montreal cognitive assessment (MoCA) test] assessment were performed. A total of 186 patients were evaluated at 88 days (IQR 68–121) after hospital discharge. Mean age was 59 ± 12 years old, 126 (68%) patients were men, and median length of mechanical ventilation was 14 days (IQR 8–31). About 3 out of 4 patients (n = 139, 75%) met PICS criteria. Symptoms of cognitive and psychiatric disorders were found in 59 (32%) and 58 (31%) patients, respectively. Ninety-one (49%) patients had muscle weakness. Pulmonary function tests in patients with no respiratory comorbidities showed a normal pattern in 93 (50%) patients, and a restrictive disorder in 62 (33%) patients. Also, 69 patients (37%) were on sick leave, while 32 (17%) had resumed work at the time of assessment. In conclusion, survivors of critical illness due to SARS-CoV-2 infection requiring mechanical ventilation have a high prevalence of PICS. Physical domain is the most frequently damaged, followed by cognitive and psychiatric disorders. ICU follow-up clinics enable the assistance of this vulnerable population.","author":[{"dropping-particle":"","family":"Nanwani-Nanwani","given":"Kapil","non-dropping-particle":"","parse-names":false,"suffix":""},{"dropping-particle":"","family":"López-Pérez","given":"Lorenzo","non-dropping-particle":"","parse-names":false,"suffix":""},{"dropping-particle":"","family":"Giménez-Esparza","given":"Carola","non-dropping-particle":"","parse-names":false,"suffix":""},{"dropping-particle":"","family":"Ruiz-Barranco","given":"Inés","non-dropping-particle":"","parse-names":false,"suffix":""},{"dropping-particle":"","family":"Carrillo","given":"Elena","non-dropping-particle":"","parse-names":false,"suffix":""},{"dropping-particle":"","family":"Arellano","given":"María Soledad","non-dropping-particle":"","parse-names":false,"suffix":""},{"dropping-particle":"","family":"Díaz-Díaz","given":"Domingo","non-dropping-particle":"","parse-names":false,"suffix":""},{"dropping-particle":"","family":"Hurtado","given":"Beatriz","non-dropping-particle":"","parse-names":false,"suffix":""},{"dropping-particle":"","family":"García-Muñoz","given":"Andoni","non-dropping-particle":"","parse-names":false,"suffix":""},{"dropping-particle":"","family":"Relucio","given":"María Ángeles","non-dropping-particle":"","parse-names":false,"suffix":""},{"dropping-particle":"","family":"Quintana-Díaz","given":"Manuel","non-dropping-particle":"","parse-names":false,"suffix":""},{"dropping-particle":"","family":"Úrbez","given":"María Rosario","non-dropping-particle":"","parse-names":false,"suffix":""},{"dropping-particle":"","family":"Saravia","given":"Andrés","non-dropping-particle":"","parse-names":false,"suffix":""},{"dropping-particle":"","family":"Bonan","given":"María Victoria","non-dropping-particle":"","parse-names":false,"suffix":""},{"dropping-particle":"","family":"García-Río","given":"Francisco","non-dropping-particle":"","parse-names":false,"suffix":""},{"dropping-particle":"","family":"Testillano","given":"María Luisa","non-dropping-particle":"","parse-names":false,"suffix":""},{"dropping-particle":"","family":"Villar","given":"Jesús","non-dropping-particle":"","parse-names":false,"suffix":""},{"dropping-particle":"","family":"García de Lorenzo","given":"Abelardo","non-dropping-particle":"","parse-names":false,"suffix":""},{"dropping-particle":"","family":"Añón","given":"José Manuel","non-dropping-particle":"","parse-names":false,"suffix":""}],"container-title":"Scientific Reports","id":"ITEM-1","issue":"1","issued":{"date-parts":[["2022"]]},"page":"1-11","publisher":"Nature Publishing Group UK","title":"Prevalence of post-intensive care syndrome in mechanically ventilated patients with COVID-19","type":"article-journal","volume":"12"},"uris":["http://www.mendeley.com/documents/?uuid=7582a569-34bc-49ea-b34e-ef55fd55c2a0"]},{"id":"ITEM-2","itemData":{"DOI":"10.1513/AnnalsATS.202104-520OC","ISSN":"23256621","PMID":"34936536","abstract":"Rationale: The coronavirus disease (COVID-19) pandemic has led to a dramatic increase in the number of survivors of critical illness. These survivors are at increased risk for physical, psychological, and cognitive impairments known collectively as post–intensive care syndrome (PICS). Little is known about the prevalence of PICS in COVID-19 survivors. Objectives: To report the prevalence of physical, psychological, and cognitive impairment among COVID-19 intensive care unit (ICU) survivors receiving follow-up care in an ICU recovery clinic, to assess for associations between PICS and ICU-related factors, and to compare the cohort of ICU survivors who attended a post-ICU clinic with a cohort of ICU survivors who did not. Methods: We performed a retrospective cohort study of COVID-19 ICU survivors admitted from March to May 2020 who were subsequently seen in a post-ICU recovery clinic in New York City. We abstracted medical chart data on available clinical screening instruments for physical, psychological, and cognitive impairment. Associations between these outcomes and care-related variables were tested. Baseline characteristics and in-hospital treatments of the post-ICU clinic cohort were compared with those of COVID-19 ICU survivors from the same institution who were not seen in the post-ICU clinic. Results: Eighty-seven COVID-19 ICU survivors were seen in our post-ICU recovery clinic. The median age was 62 years, and 74% were male. The median length of hospitalization was 51 days, and the median length of ICU stay was 22 days. At the post-ICU follow-up visit, 29%, 21%, and 13% of patients reported clinically significant levels of depressive symptoms, anxiety, and post-traumatic stress disorder symptoms, respectively. Twenty-five percent had cognitive impairment. The overall prevalence of PICS was 90%. There were no associations between length of ICU stay, delirium, and exposure to benzodiazepines, steroids, or systemic paralytics with positive screening results for physical, psychological, or cognitive impairment. Baseline characteristics and ICU-related factors were similar in the cohort of COVID-19 ICU survivors who attended the ICU recovery clinic and those who did not. Conclusions: PICS is common in COVID-19 survivors. We did not find any association with length of ICU stay or the use of benzodiazepines, steroids, or paralytics.","author":[{"dropping-particle":"","family":"Weidman","given":"Karissa","non-dropping-particle":"","parse-names":false,"suffix":""},{"dropping-particle":"","family":"LaFond","given":"Elyse","non-dropping-particle":"","parse-names":false,"suffix":""},{"dropping-particle":"","family":"Hoffman","given":"Katherine L.","non-dropping-particle":"","parse-names":false,"suffix":""},{"dropping-particle":"","family":"Goyal","given":"Parag","non-dropping-particle":"","parse-names":false,"suffix":""},{"dropping-particle":"","family":"Parkhurst","given":"Christopher N.","non-dropping-particle":"","parse-names":false,"suffix":""},{"dropping-particle":"","family":"Derry-Vick","given":"Heather","non-dropping-particle":"","parse-names":false,"suffix":""},{"dropping-particle":"","family":"Schenck","given":"Edward","non-dropping-particle":"","parse-names":false,"suffix":""},{"dropping-particle":"","family":"Lief","given":"Lindsay","non-dropping-particle":"","parse-names":false,"suffix":""}],"container-title":"Annals of the American Thoracic Society","id":"ITEM-2","issue":"7","issued":{"date-parts":[["2022"]]},"page":"1158-1168","title":"Post–Intensive Care Unit Syndrome in a Cohort of COVID-19 Survivors in New York City","type":"article-journal","volume":"19"},"uris":["http://www.mendeley.com/documents/?uuid=7eb605b3-ef72-40fd-8864-98e7985002cf"]},{"id":"ITEM-3","itemData":{"DOI":"10.1186/s13613-021-00910-9","ISBN":"1361302100","ISSN":"21105820","PMID":"34324073","abstract":"Purpose: Many patients with coronavirus disease 2019 (COVID-19) required critical care. Mid-term outcomes of the survivors need to be assessed. The objective of this single-center cohort study was to describe their physical, cognitive, psychological, and biological outcomes at 3 months following intensive care unit (ICU)-discharge (M3). Patients and methods: All COVID-19 adults who survived an ICU stay ≥ 7 days and attended the M3 consultation at our multidisciplinary follow-up clinic were involved. They benefited from a standardized assessment, addressing health-related quality of life (EQ-5D-3L), sleep disorders (PSQI), and the three principal components of post-intensive care syndrome (PICS): physical status (Barthel index, handgrip and quadriceps strength), mental health disorders (HADS and IES-R), and cognitive impairment (MoCA). Biological parameters referred to C-reactive protein and creatinine. Results: Among the 92 patients admitted to our ICU for COVID-19, 42 survived a prolonged ICU stay and 32 (80%) attended the M3 follow-up visit. Their median age was 62 [49–68] years, 72% were male, and nearly half received inpatient rehabilitation following ICU discharge. At M3, 87.5% (28/32) had not regained their baseline level of daily activities. Only 6.2% (2/32) fully recovered, and had normal scores for the three MoCA, IES-R and Barthel scores. The main observed disorders were PSQI &gt; 5 (75%, 24/32), MoCA &lt; 26 (44%, 14/32), Barthel &lt; 100 (31%, 10/32) and IES-R ≥ 33 (28%, 9/32). Combined disorders were observed in 13/32 (40.6%) of the patients. The EQ-5D-3L visual scale was rated at 71 [61–80]. A quarter of patients (8/32) demonstrated a persistent inflammation based on CRP blood level (9.3 [6.8–17.7] mg/L). Conclusion: The burden of severe COVID-19 and prolonged ICU stay was considerable in the present cohort after 3 months, affecting both functional status and biological parameters. These data are an argument on the need for closed follow-up for critically ill COVID-19 survivors.","author":[{"dropping-particle":"","family":"Rousseau","given":"Anne Françoise","non-dropping-particle":"","parse-names":false,"suffix":""},{"dropping-particle":"","family":"Minguet","given":"Pauline","non-dropping-particle":"","parse-names":false,"suffix":""},{"dropping-particle":"","family":"Colson","given":"Camille","non-dropping-particle":"","parse-names":false,"suffix":""},{"dropping-particle":"","family":"Kellens","given":"Isabelle","non-dropping-particle":"","parse-names":false,"suffix":""},{"dropping-particle":"","family":"Chaabane","given":"Sourour","non-dropping-particle":"","parse-names":false,"suffix":""},{"dropping-particle":"","family":"Delanaye","given":"Pierre","non-dropping-particle":"","parse-names":false,"suffix":""},{"dropping-particle":"","family":"Cavalier","given":"Etienne","non-dropping-particle":"","parse-names":false,"suffix":""},{"dropping-particle":"","family":"Chase","given":"J. Geoffrey","non-dropping-particle":"","parse-names":false,"suffix":""},{"dropping-particle":"","family":"Lambermont","given":"Bernard","non-dropping-particle":"","parse-names":false,"suffix":""},{"dropping-particle":"","family":"Misset","given":"Benoit","non-dropping-particle":"","parse-names":false,"suffix":""}],"container-title":"Annals of Intensive Care","id":"ITEM-3","issue":"1","issued":{"date-parts":[["2021"]]},"title":"Post-intensive care syndrome after a critical COVID-19: cohort study from a Belgian follow-up clinic","type":"article-journal","volume":"11"},"uris":["http://www.mendeley.com/documents/?uuid=82e8ac0e-f7e5-422f-a2f3-f1092656ec75"]},{"id":"ITEM-4","itemData":{"DOI":"10.1016/S2213-2600(21)00383-0","ISSN":"22132619","PMID":"34627560","abstract":"Background: The impact of COVID-19 on physical and mental health and employment after hospitalisation with acute disease is not well understood. The aim of this study was to determine the effects of COVID-19-related hospitalisation on health and employment, to identify factors associated with recovery, and to describe recovery phenotypes. Methods: The Post-hospitalisation COVID-19 study (PHOSP-COVID) is a multicentre, long-term follow-up study of adults (aged ≥18 years) discharged from hospital in the UK with a clinical diagnosis of COVID-19, involving an assessment between 2 and 7 months after discharge, including detailed recording of symptoms, and physiological and biochemical testing. Multivariable logistic regression was done for the primary outcome of patient-perceived recovery, with age, sex, ethnicity, body-mass index, comorbidities, and severity of acute illness as covariates. A post-hoc cluster analysis of outcomes for breathlessness, fatigue, mental health, cognitive impairment, and physical performance was done using the clustering large applications k-medoids approach. The study is registered on the ISRCTN Registry (ISRCTN10980107). Findings: We report findings for 1077 patients discharged from hospital between March 5 and Nov 30, 2020, who underwent assessment at a median of 5·9 months (IQR 4·9–6·5) after discharge. Participants had a mean age of 58 years (SD 13); 384 (36%) were female, 710 (69%) were of white ethnicity, 288 (27%) had received mechanical ventilation, and 540 (50%) had at least two comorbidities. At follow-up, only 239 (29%) of 830 participants felt fully recovered, 158 (20%) of 806 had a new disability (assessed by the Washington Group Short Set on Functioning), and 124 (19%) of 641 experienced a health-related change in occupation. Factors associated with not recovering were female sex, middle age (40–59 years), two or more comorbidities, and more severe acute illness. The magnitude of the persistent health burden was substantial but only weakly associated with the severity of acute illness. Four clusters were identified with different severities of mental and physical health impairment (n=767): very severe (131 patients, 17%), severe (159, 21%), moderate along with cognitive impairment (127, 17%), and mild (350, 46%). Of the outcomes used in the cluster analysis, all were closely related except for cognitive impairment. Three (3%) of 113 patients in the very severe cluster, nine (7%) of 129 in the severe cluster, 36 (36%…","author":[{"dropping-particle":"","family":"Evans","given":"Rachael A.","non-dropping-particle":"","parse-names":false,"suffix":""},{"dropping-particle":"","family":"McAuley","given":"Hamish","non-dropping-particle":"","parse-names":false,"suffix":""},{"dropping-particle":"","family":"Harrison","given":"Ewen M.","non-dropping-particle":"","parse-names":false,"suffix":""},{"dropping-particle":"","family":"Shikotra","given":"Aarti","non-dropping-particle":"","parse-names":false,"suffix":""},{"dropping-particle":"","family":"Singapuri","given":"Amisha","non-dropping-particle":"","parse-names":false,"suffix":""},{"dropping-particle":"","family":"Sereno","given":"Marco","non-dropping-particle":"","parse-names":false,"suffix":""},{"dropping-particle":"","family":"Elneima","given":"Omer","non-dropping-particle":"","parse-names":false,"suffix":""},{"dropping-particle":"","family":"Docherty","given":"Annemarie B.","non-dropping-particle":"","parse-names":false,"suffix":""},{"dropping-particle":"","family":"Lone","given":"Nazir I.","non-dropping-particle":"","parse-names":false,"suffix":""},{"dropping-particle":"","family":"Leavy","given":"Olivia C.","non-dropping-particle":"","parse-names":false,"suffix":""},{"dropping-particle":"","family":"Daines","given":"Luke","non-dropping-particle":"","parse-names":false,"suffix":""},{"dropping-particle":"","family":"Baillie","given":"J. Kenneth","non-dropping-particle":"","parse-names":false,"suffix":""},{"dropping-particle":"","family":"Brown","given":"Jeremy S.","non-dropping-particle":"","parse-names":false,"suffix":""},{"dropping-particle":"","family":"Chalder","given":"Trudie","non-dropping-particle":"","parse-names":false,"suffix":""},{"dropping-particle":"","family":"Soyza","given":"Anthony","non-dropping-particle":"De","parse-names":false,"suffix":""},{"dropping-particle":"","family":"Diar Bakerly","given":"Nawar","non-dropping-particle":"","parse-names":false,"suffix":""},{"dropping-particle":"","family":"Easom","given":"Nicholas","non-dropping-particle":"","parse-names":false,"suffix":""},{"dropping-particle":"","family":"Geddes","given":"John R.","non-dropping-particle":"","parse-names":false,"suffix":""},{"dropping-particle":"","family":"Greening","given":"Neil J.","non-dropping-particle":"","parse-names":false,"suffix":""},{"dropping-particle":"","family":"Hart","given":"Nick","non-dropping-particle":"","parse-names":false,"suffix":""},{"dropping-particle":"","family":"Heaney","given":"Liam G.","non-dropping-particle":"","parse-names":false,"suffix":""},{"dropping-particle":"","family":"Heller","given":"Simon","non-dropping-particle":"","parse-names":false,"suffix":""},{"dropping-particle":"","family":"Howard","given":"Luke","non-dropping-particle":"","parse-names":false,"suffix":""},{"dropping-particle":"","family":"Hurst","given":"John R.","non-dropping-particle":"","parse-names":false,"suffix":""},{"dropping-particle":"","family":"Jacob","given":"Joseph","non-dropping-particle":"","parse-names":false,"suffix":""},{"dropping-particle":"","family":"Jenkins","given":"R. Gisli","non-dropping-particle":"","parse-names":false,"suffix":""},{"dropping-particle":"","family":"Jolley","given":"Caroline","non-dropping-particle":"","parse-names":false,"suffix":""},{"dropping-particle":"","family":"Kerr","given":"Steven","non-dropping-particle":"","parse-names":false,"suffix":""},{"dropping-particle":"","family":"Kon","given":"Onn M.","non-dropping-particle":"","parse-names":false,"suffix":""},{"dropping-particle":"","family":"Lewis","given":"Keir","non-dropping-particle":"","parse-names":false,"suffix":""},{"dropping-particle":"","family":"Lord","given":"Janet M.","non-dropping-particle":"","parse-names":false,"suffix":""},{"dropping-particle":"","family":"McCann","given":"Gerry P.","non-dropping-particle":"","parse-names":false,"suffix":""},{"dropping-particle":"","family":"Neubauer","given":"Stefan","non-dropping-particle":"","parse-names":false,"suffix":""},{"dropping-particle":"","family":"Openshaw","given":"Peter J.M.","non-dropping-particle":"","parse-names":false,"suffix":""},{"dropping-particle":"","family":"Parekh","given":"Dhruv","non-dropping-particle":"","parse-names":false,"suffix":""},{"dropping-particle":"","family":"Pfeffer","given":"Paul","non-dropping-particle":"","parse-names":false,"suffix":""},{"dropping-particle":"","family":"Rahman","given":"Najib M.","non-dropping-particle":"","parse-names":false,"suffix":""},{"dropping-particle":"","family":"Raman","given":"Betty","non-dropping-particle":"","parse-names":false,"suffix":""},{"dropping-particle":"","family":"Richardson","given":"Matthew","non-dropping-particle":"","parse-names":false,"suffix":""},{"dropping-particle":"","family":"Rowland","given":"Matthew","non-dropping-particle":"","parse-names":false,"suffix":""},{"dropping-particle":"","family":"Semple","given":"Malcolm G.","non-dropping-particle":"","parse-names":false,"suffix":""},{"dropping-particle":"","family":"Shah","given":"Ajay M.","non-dropping-particle":"","parse-names":false,"suffix":""},{"dropping-particle":"","family":"Singh","given":"Sally J.","non-dropping-particle":"","parse-names":false,"suffix":""},{"dropping-particle":"","family":"Sheikh","given":"Aziz","non-dropping-particle":"","parse-names":false,"suffix":""},{"dropping-particle":"","family":"Thomas","given":"David","non-dropping-particle":"","parse-names":false,"suffix":""},{"dropping-particle":"","family":"Toshner","given":"Mark","non-dropping-particle":"","parse-names":false,"suffix":""},{"dropping-particle":"","family":"Chalmers","given":"James D.","non-dropping-particle":"","parse-names":false,"suffix":""},{"dropping-particle":"","family":"Ho","given":"Ling Pei","non-dropping-particle":"","parse-names":false,"suffix":""},{"dropping-particle":"","family":"Horsley","given":"Alex","non-dropping-particle":"","parse-names":false,"suffix":""},{"dropping-particle":"","family":"Marks","given":"Michael","non-dropping-particle":"","parse-names":false,"suffix":""},{"dropping-particle":"","family":"Poinasamy","given":"Krisnah","non-dropping-particle":"","parse-names":false,"suffix":""},{"dropping-particle":"V.","family":"Wain","given":"Louise","non-dropping-particle":"","parse-names":false,"suffix":""},{"dropping-particle":"","family":"Brightling","given":"Christopher E.","non-dropping-particle":"","parse-names":false,"suffix":""},{"dropping-particle":"","family":"Abel","given":"K.","non-dropping-particle":"","parse-names":false,"suffix":""},{"dropping-particle":"","family":"Adamali","given":"H.","non-dropping-particle":"","parse-names":false,"suffix":""},{"dropping-particle":"","family":"Adeloye","given":"D.","non-dropping-particle":"","parse-names":false,"suffix":""},{"dropping-particle":"","family":"Adeyemi","given":"O.","non-dropping-particle":"","parse-names":false,"suffix":""},{"dropping-particle":"","family":"Adeyemi","given":"F.","non-dropping-particle":"","parse-names":false,"suffix":""},{"dropping-particle":"","family":"Ahmad","given":"S.","non-dropping-particle":"","parse-names":false,"suffix":""},{"dropping-particle":"","family":"Ahmed","given":"R.","non-dropping-particle":"","parse-names":false,"suffix":""},{"dropping-particle":"","family":"Ainsworth","given":"M.","non-dropping-particle":"","parse-names":false,"suffix":""},{"dropping-particle":"","family":"Alamoudi","given":"A.","non-dropping-particle":"","parse-names":false,"suffix":""},{"dropping-particle":"","family":"Aljaroof","given":"M.","non-dropping-particle":"","parse-names":false,"suffix":""},{"dropping-particle":"","family":"Allan","given":"L.","non-dropping-particle":"","parse-names":false,"suffix":""},{"dropping-particle":"","family":"Allen","given":"R.","non-dropping-particle":"","parse-names":false,"suffix":""},{"dropping-particle":"","family":"Alli","given":"A.","non-dropping-particle":"","parse-names":false,"suffix":""},{"dropping-particle":"","family":"Al-Sheklly","given":"B.","non-dropping-particle":"","parse-names":false,"suffix":""},{"dropping-particle":"","family":"Altmann","given":"D.","non-dropping-particle":"","parse-names":false,"suffix":""},{"dropping-particle":"","family":"Anderson","given":"D.","non-dropping-particle":"","parse-names":false,"suffix":""},{"dropping-particle":"","family":"Andrews","given":"M.","non-dropping-particle":"","parse-names":false,"suffix":""},{"dropping-particle":"","family":"Angyal","given":"A.","non-dropping-particle":"","parse-names":false,"suffix":""},{"dropping-particle":"","family":"Antoniades","given":"C.","non-dropping-particle":"","parse-names":false,"suffix":""},{"dropping-particle":"","family":"Arbane","given":"G.","non-dropping-particle":"","parse-names":false,"suffix":""},{"dropping-particle":"","family":"Armour","given":"C.","non-dropping-particle":"","parse-names":false,"suffix":""},{"dropping-particle":"","family":"Armstrong","given":"N.","non-dropping-particle":"","parse-names":false,"suffix":""},{"dropping-particle":"","family":"Armstrong","given":"L.","non-dropping-particle":"","parse-names":false,"suffix":""},{"dropping-particle":"","family":"Arnold","given":"H.","non-dropping-particle":"","parse-names":false,"suffix":""},{"dropping-particle":"","family":"Arnold","given":"D.","non-dropping-particle":"","parse-names":false,"suffix":""},{"dropping-particle":"","family":"Ashworth","given":"M.","non-dropping-particle":"","parse-names":false,"suffix":""},{"dropping-particle":"","family":"Ashworth","given":"A.","non-dropping-particle":"","parse-names":false,"suffix":""},{"dropping-particle":"","family":"Assefa-Kebede","given":"H.","non-dropping-particle":"","parse-names":false,"suffix":""},{"dropping-particle":"","family":"Atkin","given":"P.","non-dropping-particle":"","parse-names":false,"suffix":""},{"dropping-particle":"","family":"Atkins","given":"H.","non-dropping-particle":"","parse-names":false,"suffix":""},{"dropping-particle":"","family":"Atkins","given":"A.","non-dropping-particle":"","parse-names":false,"suffix":""},{"dropping-particle":"","family":"Aul","given":"R.","non-dropping-particle":"","parse-names":false,"suffix":""},{"dropping-particle":"","family":"Avram","given":"C.","non-dropping-particle":"","parse-names":false,"suffix":""},{"dropping-particle":"","family":"Baggott","given":"R.","non-dropping-particle":"","parse-names":false,"suffix":""},{"dropping-particle":"","family":"Baguley","given":"D.","non-dropping-particle":"","parse-names":false,"suffix":""},{"dropping-particle":"","family":"Baillie","given":"J. K.","non-dropping-particle":"","parse-names":false,"suffix":""},{"dropping-particle":"","family":"Bain","given":"S.","non-dropping-particle":"","parse-names":false,"suffix":""},{"dropping-particle":"","family":"Bakali","given":"M.","non-dropping-particle":"","parse-names":false,"suffix":""},{"dropping-particle":"","family":"Bakau","given":"M.","non-dropping-particle":"","parse-names":false,"suffix":""},{"dropping-particle":"","family":"Baldry","given":"E.","non-dropping-particle":"","parse-names":false,"suffix":""},{"dropping-particle":"","family":"Baldwin","given":"D.","non-dropping-particle":"","parse-names":false,"suffix":""},{"dropping-particle":"","family":"Ballard","given":"C.","non-dropping-particle":"","parse-names":false,"suffix":""},{"dropping-particle":"","family":"Bambrough","given":"J.","non-dropping-particle":"","parse-names":false,"suffix":""},{"dropping-particle":"","family":"Barker","given":"R. E.","non-dropping-particle":"","parse-names":false,"suffix":""},{"dropping-particle":"","family":"Barratt","given":"S.","non-dropping-particle":"","parse-names":false,"suffix":""},{"dropping-particle":"","family":"Barrett","given":"F.","non-dropping-particle":"","parse-names":false,"suffix":""},{"dropping-particle":"","family":"Basu","given":"N.","non-dropping-particle":"","parse-names":false,"suffix":""},{"dropping-particle":"","family":"Batterham","given":"R.","non-dropping-particle":"","parse-names":false,"suffix":""},{"dropping-particle":"","family":"Baxendale","given":"H.","non-dropping-particle":"","parse-names":false,"suffix":""},{"dropping-particle":"","family":"Bayes","given":"H.","non-dropping-particle":"","parse-names":false,"suffix":""},{"dropping-particle":"","family":"Bayley","given":"M.","non-dropping-particle":"","parse-names":false,"suffix":""},{"dropping-particle":"","family":"Beadsworth","given":"M.","non-dropping-particle":"","parse-names":false,"suffix":""},{"dropping-particle":"","family":"Beirne","given":"P.","non-dropping-particle":"","parse-names":false,"suffix":""},{"dropping-particle":"","family":"Bell","given":"R.","non-dropping-particle":"","parse-names":false,"suffix":""},{"dropping-particle":"","family":"Bell","given":"D.","non-dropping-particle":"","parse-names":false,"suffix":""},{"dropping-particle":"","family":"Berry","given":"C.","non-dropping-particle":"","parse-names":false,"suffix":""},{"dropping-particle":"","family":"Betts","given":"S.","non-dropping-particle":"","parse-names":false,"suffix":""},{"dropping-particle":"","family":"Bhui","given":"K.","non-dropping-particle":"","parse-names":false,"suffix":""},{"dropping-particle":"","family":"Bishop","given":"L.","non-dropping-particle":"","parse-names":false,"suffix":""},{"dropping-particle":"","family":"Blaikely","given":"J.","non-dropping-particle":"","parse-names":false,"suffix":""},{"dropping-particle":"","family":"Bloomfield","given":"C.","non-dropping-particle":"","parse-names":false,"suffix":""},{"dropping-particle":"","family":"Bloss","given":"A.","non-dropping-particle":"","parse-names":false,"suffix":""},{"dropping-particle":"","family":"Bolger","given":"A.","non-dropping-particle":"","parse-names":false,"suffix":""},{"dropping-particle":"","family":"Bolton","given":"C. E.","non-dropping-particle":"","parse-names":false,"suffix":""},{"dropping-particle":"","family":"Bonnington","given":"J.","non-dropping-particle":"","parse-names":false,"suffix":""},{"dropping-particle":"","family":"Botkai","given":"A.","non-dropping-particle":"","parse-names":false,"suffix":""},{"dropping-particle":"","family":"Bourne","given":"M.","non-dropping-particle":"","parse-names":false,"suffix":""},{"dropping-particle":"","family":"Bourne","given":"C.","non-dropping-particle":"","parse-names":false,"suffix":""},{"dropping-particle":"","family":"Bradley","given":"E.","non-dropping-particle":"","parse-names":false,"suffix":""},{"dropping-particle":"","family":"Bramham","given":"K.","non-dropping-particle":"","parse-names":false,"suffix":""},{"dropping-particle":"","family":"Brear","given":"L.","non-dropping-particle":"","parse-names":false,"suffix":""},{"dropping-particle":"","family":"Breen","given":"G.","non-dropping-particle":"","parse-names":false,"suffix":""},{"dropping-particle":"","family":"Breeze","given":"J.","non-dropping-particle":"","parse-names":false,"suffix":""},{"dropping-particle":"","family":"Briggs","given":"A.","non-dropping-particle":"","parse-names":false,"suffix":""},{"dropping-particle":"","family":"Bright","given":"E.","non-dropping-particle":"","parse-names":false,"suffix":""},{"dropping-particle":"","family":"Brightling","given":"C. E.","non-dropping-particle":"","parse-names":false,"suffix":""},{"dropping-particle":"","family":"Brill","given":"S.","non-dropping-particle":"","parse-names":false,"suffix":""},{"dropping-particle":"","family":"Brindle","given":"K.","non-dropping-particle":"","parse-names":false,"suffix":""},{"dropping-particle":"","family":"Broad","given":"L.","non-dropping-particle":"","parse-names":false,"suffix":""},{"dropping-particle":"","family":"Broome","given":"M.","non-dropping-particle":"","parse-names":false,"suffix":""},{"dropping-particle":"","family":"Brown","given":"J. S.","non-dropping-particle":"","parse-names":false,"suffix":""},{"dropping-particle":"","family":"Brown","given":"M.","non-dropping-particle":"","parse-names":false,"suffix":""},{"dropping-particle":"","family":"Brown","given":"J.","non-dropping-particle":"","parse-names":false,"suffix":""},{"dropping-particle":"","family":"Brown","given":"R.","non-dropping-particle":"","parse-names":false,"suffix":""},{"dropping-particle":"","family":"Brown","given":"V.","non-dropping-particle":"","parse-names":false,"suffix":""},{"dropping-particle":"","family":"Brown","given":"A.","non-dropping-particle":"","parse-names":false,"suffix":""},{"dropping-particle":"","family":"Brugha","given":"T.","non-dropping-particle":"","parse-names":false,"suffix":""},{"dropping-particle":"","family":"Brunskill","given":"N.","non-dropping-particle":"","parse-names":false,"suffix":""},{"dropping-particle":"","family":"Buch","given":"M.","non-dropping-particle":"","parse-names":false,"suffix":""},{"dropping-particle":"","family":"Bularga","given":"A.","non-dropping-particle":"","parse-names":false,"suffix":""},{"dropping-particle":"","family":"Bullmore","given":"E.","non-dropping-particle":"","parse-names":false,"suffix":""},{"dropping-particle":"","family":"Burn","given":"D.","non-dropping-particle":"","parse-names":false,"suffix":""},{"dropping-particle":"","family":"Burns","given":"G.","non-dropping-particle":"","parse-names":false,"suffix":""},{"dropping-particle":"","family":"Busby","given":"J.","non-dropping-particle":"","parse-names":false,"suffix":""},{"dropping-particle":"","family":"Buttress","given":"A.","non-dropping-particle":"","parse-names":false,"suffix":""},{"dropping-particle":"","family":"Byrne","given":"S.","non-dropping-particle":"","parse-names":false,"suffix":""},{"dropping-particle":"","family":"Cairns","given":"P.","non-dropping-particle":"","parse-names":false,"suffix":""},{"dropping-particle":"","family":"Calder","given":"P. C.","non-dropping-particle":"","parse-names":false,"suffix":""},{"dropping-particle":"","family":"Calvelo","given":"E.","non-dropping-particle":"","parse-names":false,"suffix":""},{"dropping-particle":"","family":"Card","given":"B.","non-dropping-particle":"","parse-names":false,"suffix":""},{"dropping-particle":"","family":"Carr","given":"L.","non-dropping-particle":"","parse-names":false,"suffix":""},{"dropping-particle":"","family":"Carson","given":"G.","non-dropping-particle":"","parse-names":false,"suffix":""},{"dropping-particle":"","family":"Carter","given":"P.","non-dropping-particle":"","parse-names":false,"suffix":""},{"dropping-particle":"","family":"Cavanagh","given":"J.","non-dropping-particle":"","parse-names":false,"suffix":""},{"dropping-particle":"","family":"Chalder","given":"T.","non-dropping-particle":"","parse-names":false,"suffix":""},{"dropping-particle":"","family":"Chalmers","given":"J. D.","non-dropping-particle":"","parse-names":false,"suffix":""},{"dropping-particle":"","family":"Chambers","given":"R. C.","non-dropping-particle":"","parse-names":false,"suffix":""},{"dropping-particle":"","family":"Channon","given":"K.","non-dropping-particle":"","parse-names":false,"suffix":""},{"dropping-particle":"","family":"Chapman","given":"K.","non-dropping-particle":"","parse-names":false,"suffix":""},{"dropping-particle":"","family":"Charalambou","given":"A.","non-dropping-particle":"","parse-names":false,"suffix":""},{"dropping-particle":"","family":"Chaudhuri","given":"N.","non-dropping-particle":"","parse-names":false,"suffix":""},{"dropping-particle":"","family":"Checkley","given":"A.","non-dropping-particle":"","parse-names":false,"suffix":""},{"dropping-particle":"","family":"Chen","given":"J.","non-dropping-particle":"","parse-names":false,"suffix":""},{"dropping-particle":"","family":"Chetham","given":"L.","non-dropping-particle":"","parse-names":false,"suffix":""},{"dropping-particle":"","family":"Chilvers","given":"E. R.","non-dropping-particle":"","parse-names":false,"suffix":""},{"dropping-particle":"","family":"Chinoy","given":"H.","non-dropping-particle":"","parse-names":false,"suffix":""},{"dropping-particle":"","family":"Chong-James","given":"K.","non-dropping-particle":"","parse-names":false,"suffix":""},{"dropping-particle":"","family":"Choudhury","given":"N.","non-dropping-particle":"","parse-names":false,"suffix":""},{"dropping-particle":"","family":"Choudhury","given":"G.","non-dropping-particle":"","parse-names":false,"suffix":""},{"dropping-particle":"","family":"Chowdhury","given":"P.","non-dropping-particle":"","parse-names":false,"suffix":""},{"dropping-particle":"","family":"Chowienczyk","given":"P.","non-dropping-particle":"","parse-names":false,"suffix":""},{"dropping-particle":"","family":"Christie","given":"C.","non-dropping-particle":"","parse-names":false,"suffix":""},{"dropping-particle":"","family":"Clark","given":"D.","non-dropping-particle":"","parse-names":false,"suffix":""},{"dropping-particle":"","family":"Clark","given":"C.","non-dropping-particle":"","parse-names":false,"suffix":""},{"dropping-particle":"","family":"Clarke","given":"J.","non-dropping-particle":"","parse-names":false,"suffix":""},{"dropping-particle":"","family":"Clift","given":"P.","non-dropping-particle":"","parse-names":false,"suffix":""},{"dropping-particle":"","family":"Clohisey","given":"S.","non-dropping-particle":"","parse-names":false,"suffix":""},{"dropping-particle":"","family":"Coburn","given":"Z.","non-dropping-particle":"","parse-names":false,"suffix":""},{"dropping-particle":"","family":"Cole","given":"J.","non-dropping-particle":"","parse-names":false,"suffix":""},{"dropping-particle":"","family":"Coleman","given":"C.","non-dropping-particle":"","parse-names":false,"suffix":""},{"dropping-particle":"","family":"Connell","given":"D.","non-dropping-particle":"","parse-names":false,"suffix":""},{"dropping-particle":"","family":"Connolly","given":"B.","non-dropping-particle":"","parse-names":false,"suffix":""},{"dropping-particle":"","family":"Connor","given":"L.","non-dropping-particle":"","parse-names":false,"suffix":""},{"dropping-particle":"","family":"Cook","given":"A.","non-dropping-particle":"","parse-names":false,"suffix":""},{"dropping-particle":"","family":"Cooper","given":"B.","non-dropping-particle":"","parse-names":false,"suffix":""},{"dropping-particle":"","family":"Coupland","given":"C.","non-dropping-particle":"","parse-names":false,"suffix":""},{"dropping-particle":"","family":"Craig","given":"T.","non-dropping-particle":"","parse-names":false,"suffix":""},{"dropping-particle":"","family":"Crisp","given":"P.","non-dropping-particle":"","parse-names":false,"suffix":""},{"dropping-particle":"","family":"Cristiano","given":"D.","non-dropping-particle":"","parse-names":false,"suffix":""},{"dropping-particle":"","family":"Crooks","given":"M. G.","non-dropping-particle":"","parse-names":false,"suffix":""},{"dropping-particle":"","family":"Cross","given":"A.","non-dropping-particle":"","parse-names":false,"suffix":""},{"dropping-particle":"","family":"Cruz","given":"I.","non-dropping-particle":"","parse-names":false,"suffix":""},{"dropping-particle":"","family":"Cullinan","given":"P.","non-dropping-particle":"","parse-names":false,"suffix":""},{"dropping-particle":"","family":"Daines","given":"L.","non-dropping-particle":"","parse-names":false,"suffix":""},{"dropping-particle":"","family":"Dalton","given":"M.","non-dropping-particle":"","parse-names":false,"suffix":""},{"dropping-particle":"","family":"Dark","given":"P.","non-dropping-particle":"","parse-names":false,"suffix":""},{"dropping-particle":"","family":"Dasgin","given":"J.","non-dropping-particle":"","parse-names":false,"suffix":""},{"dropping-particle":"","family":"David","given":"A.","non-dropping-particle":"","parse-names":false,"suffix":""},{"dropping-particle":"","family":"David","given":"C.","non-dropping-particle":"","parse-names":false,"suffix":""},{"dropping-particle":"","family":"Davies","given":"M.","non-dropping-particle":"","parse-names":false,"suffix":""},{"dropping-particle":"","family":"Davies","given":"G.","non-dropping-particle":"","parse-names":false,"suffix":""},{"dropping-particle":"","family":"Davies","given":"K.","non-dropping-particle":"","parse-names":false,"suffix":""},{"dropping-particle":"","family":"Davies","given":"F.","non-dropping-particle":"","parse-names":false,"suffix":""},{"dropping-particle":"","family":"Davies","given":"G. A.","non-dropping-particle":"","parse-names":false,"suffix":""},{"dropping-particle":"","family":"Daynes","given":"E.","non-dropping-particle":"","parse-names":false,"suffix":""},{"dropping-particle":"","family":"Silva","given":"T.","non-dropping-particle":"De","parse-names":false,"suffix":""},{"dropping-particle":"","family":"Soyza","given":"A.","non-dropping-particle":"De","parse-names":false,"suffix":""},{"dropping-particle":"","family":"Deakin","given":"B.","non-dropping-particle":"","parse-names":false,"suffix":""},{"dropping-particle":"","family":"Deans","given":"A.","non-dropping-particle":"","parse-names":false,"suffix":""},{"dropping-particle":"","family":"Defres","given":"S.","non-dropping-particle":"","parse-names":false,"suffix":""},{"dropping-particle":"","family":"Dell","given":"A.","non-dropping-particle":"","parse-names":false,"suffix":""},{"dropping-particle":"","family":"Dempsey","given":"K.","non-dropping-particle":"","parse-names":false,"suffix":""},{"dropping-particle":"","family":"Dennis","given":"J.","non-dropping-particle":"","parse-names":false,"suffix":""},{"dropping-particle":"","family":"Dewar","given":"A.","non-dropping-particle":"","parse-names":false,"suffix":""},{"dropping-particle":"","family":"Dharmagunawardena","given":"R.","non-dropping-particle":"","parse-names":false,"suffix":""},{"dropping-particle":"","family":"Diar Bakerly","given":"N.","non-dropping-particle":"","parse-names":false,"suffix":""},{"dropping-particle":"","family":"Dipper","given":"A.","non-dropping-particle":"","parse-names":false,"suffix":""},{"dropping-particle":"","family":"Diver","given":"S.","non-dropping-particle":"","parse-names":false,"suffix":""},{"dropping-particle":"","family":"Diwanji","given":"S. N.","non-dropping-particle":"","parse-names":false,"suffix":""},{"dropping-particle":"","family":"Dixon","given":"M.","non-dropping-particle":"","parse-names":false,"suffix":""},{"dropping-particle":"","family":"Djukanovic","given":"R.","non-dropping-particle":"","parse-names":false,"suffix":""},{"dropping-particle":"","family":"Dobson","given":"H.","non-dropping-particle":"","parse-names":false,"suffix":""},{"dropping-particle":"","family":"Dobson","given":"C.","non-dropping-particle":"","parse-names":false,"suffix":""},{"dropping-particle":"","family":"Dobson","given":"S. L.","non-dropping-particle":"","parse-names":false,"suffix":""},{"dropping-particle":"","family":"Docherty","given":"A. B.","non-dropping-particle":"","parse-names":false,"suffix":""},{"dropping-particle":"","family":"Donaldson","given":"A.","non-dropping-particle":"","parse-names":false,"suffix":""},{"dropping-particle":"","family":"Dong","given":"T.","non-dropping-particle":"","parse-names":false,"suffix":""},{"dropping-particle":"","family":"Dormand","given":"N.","non-dropping-particle":"","parse-names":false,"suffix":""},{"dropping-particle":"","family":"Dougherty","given":"A.","non-dropping-particle":"","parse-names":false,"suffix":""},{"dropping-particle":"","family":"Dowling","given":"R.","non-dropping-particle":"","parse-names":false,"suffix":""},{"dropping-particle":"","family":"Drain","given":"S.","non-dropping-particle":"","parse-names":false,"suffix":""},{"dropping-particle":"","family":"Dulawan","given":"P.","non-dropping-particle":"","parse-names":false,"suffix":""},{"dropping-particle":"","family":"Dunn","given":"S.","non-dropping-particle":"","parse-names":false,"suffix":""},{"dropping-particle":"","family":"Easom","given":"N.","non-dropping-particle":"","parse-names":false,"suffix":""},{"dropping-particle":"","family":"Echevarria","given":"C.","non-dropping-particle":"","parse-names":false,"suffix":""},{"dropping-particle":"","family":"Edwards","given":"S.","non-dropping-particle":"","parse-names":false,"suffix":""},{"dropping-particle":"","family":"Edwardson","given":"C.","non-dropping-particle":"","parse-names":false,"suffix":""},{"dropping-particle":"","family":"Elliott","given":"B.","non-dropping-particle":"","parse-names":false,"suffix":""},{"dropping-particle":"","family":"Elliott","given":"A.","non-dropping-particle":"","parse-names":false,"suffix":""},{"dropping-particle":"","family":"Ellis","given":"Y.","non-dropping-particle":"","parse-names":false,"suffix":""},{"dropping-particle":"","family":"Elmer","given":"A.","non-dropping-particle":"","parse-names":false,"suffix":""},{"dropping-particle":"","family":"Elneima","given":"O.","non-dropping-particle":"","parse-names":false,"suffix":""},{"dropping-particle":"","family":"Evans","given":"R. A.","non-dropping-particle":"","parse-names":false,"suffix":""},{"dropping-particle":"","family":"Evans","given":"J.","non-dropping-particle":"","parse-names":false,"suffix":""},{"dropping-particle":"","family":"Evans","given":"H.","non-dropping-particle":"","parse-names":false,"suffix":""},{"dropping-particle":"","family":"Evans","given":"D.","non-dropping-particle":"","parse-names":false,"suffix":""},{"dropping-particle":"","family":"Evans","given":"R. I.","non-dropping-particle":"","parse-names":false,"suffix":""},{"dropping-particle":"","family":"Evans","given":"R.","non-dropping-particle":"","parse-names":false,"suffix":""},{"dropping-particle":"","family":"Evans","given":"T.","non-dropping-particle":"","parse-names":false,"suffix":""},{"dropping-particle":"","family":"Fabbri","given":"L.","non-dropping-particle":"","parse-names":false,"suffix":""},{"dropping-particle":"","family":"Fairbairn","given":"S.","non-dropping-particle":"","parse-names":false,"suffix":""},{"dropping-particle":"","family":"Fairman","given":"A.","non-dropping-particle":"","parse-names":false,"suffix":""},{"dropping-particle":"","family":"Fallon","given":"K.","non-dropping-particle":"","parse-names":false,"suffix":""},{"dropping-particle":"","family":"Faluyi","given":"D.","non-dropping-particle":"","parse-names":false,"suffix":""},{"dropping-particle":"","family":"Favager","given":"C.","non-dropping-particle":"","parse-names":false,"suffix":""},{"dropping-particle":"","family":"Felton","given":"T.","non-dropping-particle":"","parse-names":false,"suffix":""},{"dropping-particle":"","family":"Finch","given":"J.","non-dropping-particle":"","parse-names":false,"suffix":""},{"dropping-particle":"","family":"Finney","given":"S.","non-dropping-particle":"","parse-names":false,"suffix":""},{"dropping-particle":"","family":"Fisher","given":"H.","non-dropping-particle":"","parse-names":false,"suffix":""},{"dropping-particle":"","family":"Fletcher","given":"S.","non-dropping-particle":"","parse-names":false,"suffix":""},{"dropping-particle":"","family":"Flockton","given":"R.","non-dropping-particle":"","parse-names":false,"suffix":""},{"dropping-particle":"","family":"Foote","given":"D.","non-dropping-particle":"","parse-names":false,"suffix":""},{"dropping-particle":"","family":"Ford","given":"A.","non-dropping-particle":"","parse-names":false,"suffix":""},{"dropping-particle":"","family":"Forton","given":"D.","non-dropping-particle":"","parse-names":false,"suffix":""},{"dropping-particle":"","family":"Francis","given":"R.","non-dropping-particle":"","parse-names":false,"suffix":""},{"dropping-particle":"","family":"Francis","given":"S.","non-dropping-particle":"","parse-names":false,"suffix":""},{"dropping-particle":"","family":"Francis","given":"C.","non-dropping-particle":"","parse-names":false,"suffix":""},{"dropping-particle":"","family":"Frankel","given":"A.","non-dropping-particle":"","parse-names":false,"suffix":""},{"dropping-particle":"","family":"Fraser","given":"E.","non-dropping-particle":"","parse-names":false,"suffix":""},{"dropping-particle":"","family":"Free","given":"R.","non-dropping-particle":"","parse-names":false,"suffix":""},{"dropping-particle":"","family":"French","given":"N.","non-dropping-particle":"","parse-names":false,"suffix":""},{"dropping-particle":"","family":"Fuld","given":"J.","non-dropping-particle":"","parse-names":false,"suffix":""},{"dropping-particle":"","family":"Furniss","given":"J.","non-dropping-particle":"","parse-names":false,"suffix":""},{"dropping-particle":"","family":"Garner","given":"L.","non-dropping-particle":"","parse-names":false,"suffix":""},{"dropping-particle":"","family":"Gautam","given":"N.","non-dropping-particle":"","parse-names":false,"suffix":""},{"dropping-particle":"","family":"Geddes","given":"J. R.","non-dropping-particle":"","parse-names":false,"suffix":""},{"dropping-particle":"","family":"George","given":"P. M.","non-dropping-particle":"","parse-names":false,"suffix":""},{"dropping-particle":"","family":"George","given":"J.","non-dropping-particle":"","parse-names":false,"suffix":""},{"dropping-particle":"","family":"Gibbons","given":"M.","non-dropping-particle":"","parse-names":false,"suffix":""},{"dropping-particle":"","family":"Gilmour","given":"L.","non-dropping-particle":"","parse-names":false,"suffix":""},{"dropping-particle":"","family":"Gleeson","given":"F.","non-dropping-particle":"","parse-names":false,"suffix":""},{"dropping-particle":"","family":"Glossop","given":"J.","non-dropping-particle":"","parse-names":false,"suffix":""},{"dropping-particle":"","family":"Glover","given":"S.","non-dropping-particle":"","parse-names":false,"suffix":""},{"dropping-particle":"","family":"Goodman","given":"N.","non-dropping-particle":"","parse-names":false,"suffix":""},{"dropping-particle":"","family":"Gooptu","given":"B.","non-dropping-particle":"","parse-names":false,"suffix":""},{"dropping-particle":"","family":"Gorsuch","given":"T.","non-dropping-particle":"","parse-names":false,"suffix":""},{"dropping-particle":"","family":"Gourlay","given":"E.","non-dropping-particle":"","parse-names":false,"suffix":""},{"dropping-particle":"","family":"Greenhaff","given":"P.","non-dropping-particle":"","parse-names":false,"suffix":""},{"dropping-particle":"","family":"Greenhalf","given":"W.","non-dropping-particle":"","parse-names":false,"suffix":""},{"dropping-particle":"","family":"Greenhalgh","given":"A.","non-dropping-particle":"","parse-names":false,"suffix":""},{"dropping-particle":"","family":"Greening","given":"N. J.","non-dropping-particle":"","parse-names":false,"suffix":""},{"dropping-particle":"","family":"Greenwood","given":"J.","non-dropping-particle":"","parse-names":false,"suffix":""},{"dropping-particle":"","family":"Greenwood","given":"S.","non-dropping-particle":"","parse-names":false,"suffix":""},{"dropping-particle":"","family":"Gregory","given":"R.","non-dropping-particle":"","parse-names":false,"suffix":""},{"dropping-particle":"","family":"Grieve","given":"D.","non-dropping-particle":"","parse-names":false,"suffix":""},{"dropping-particle":"","family":"Gummadi","given":"M.","non-dropping-particle":"","parse-names":false,"suffix":""},{"dropping-particle":"","family":"Gupta","given":"A.","non-dropping-particle":"","parse-names":false,"suffix":""},{"dropping-particle":"","family":"Gurram","given":"S.","non-dropping-particle":"","parse-names":false,"suffix":""},{"dropping-particle":"","family":"Guthrie","given":"E.","non-dropping-particle":"","parse-names":false,"suffix":""},{"dropping-particle":"","family":"Hadley","given":"K.","non-dropping-particle":"","parse-names":false,"suffix":""},{"dropping-particle":"","family":"Haggar","given":"A.","non-dropping-particle":"","parse-names":false,"suffix":""},{"dropping-particle":"","family":"Hainey","given":"K.","non-dropping-particle":"","parse-names":false,"suffix":""},{"dropping-particle":"","family":"Haldar","given":"P.","non-dropping-particle":"","parse-names":false,"suffix":""},{"dropping-particle":"","family":"Hall","given":"I.","non-dropping-particle":"","parse-names":false,"suffix":""},{"dropping-particle":"","family":"Hall","given":"L.","non-dropping-particle":"","parse-names":false,"suffix":""},{"dropping-particle":"","family":"Halling-Brown","given":"M.","non-dropping-particle":"","parse-names":false,"suffix":""},{"dropping-particle":"","family":"Hamil","given":"R.","non-dropping-particle":"","parse-names":false,"suffix":""},{"dropping-particle":"","family":"Hanley","given":"N. A.","non-dropping-particle":"","parse-names":false,"suffix":""},{"dropping-particle":"","family":"Hardwick","given":"H.","non-dropping-particle":"","parse-names":false,"suffix":""},{"dropping-particle":"","family":"Hardy","given":"E.","non-dropping-particle":"","parse-names":false,"suffix":""},{"dropping-particle":"","family":"Hargadon","given":"B.","non-dropping-particle":"","parse-names":false,"suffix":""},{"dropping-particle":"","family":"Harrington","given":"K.","non-dropping-particle":"","parse-names":false,"suffix":""},{"dropping-particle":"","family":"Harris","given":"V.","non-dropping-particle":"","parse-names":false,"suffix":""},{"dropping-particle":"","family":"Harrison","given":"E. M.","non-dropping-particle":"","parse-names":false,"suffix":""},{"dropping-particle":"","family":"Harrison","given":"P.","non-dropping-particle":"","parse-names":false,"suffix":""},{"dropping-particle":"","family":"Hart","given":"N.","non-dropping-particle":"","parse-names":false,"suffix":""},{"dropping-particle":"","family":"Harvey","given":"A.","non-dropping-particle":"","parse-names":false,"suffix":""},{"dropping-particle":"","family":"Harvey","given":"M.","non-dropping-particle":"","parse-names":false,"suffix":""},{"dropping-particle":"","family":"Harvie","given":"M.","non-dropping-particle":"","parse-names":false,"suffix":""},{"dropping-particle":"","family":"Havinden-Williams","given":"M.","non-dropping-particle":"","parse-names":false,"suffix":""},{"dropping-particle":"","family":"Hawkes","given":"J.","non-dropping-particle":"","parse-names":false,"suffix":""},{"dropping-particle":"","family":"Hawkings","given":"N.","non-dropping-particle":"","parse-names":false,"suffix":""},{"dropping-particle":"","family":"Haworth","given":"J.","non-dropping-particle":"","parse-names":false,"suffix":""},{"dropping-particle":"","family":"Hayday","given":"A.","non-dropping-particle":"","parse-names":false,"suffix":""},{"dropping-particle":"","family":"Heaney","given":"L. G.","non-dropping-particle":"","parse-names":false,"suffix":""},{"dropping-particle":"","family":"Heeney","given":"J. L.","non-dropping-particle":"","parse-names":false,"suffix":""},{"dropping-particle":"","family":"Heightman","given":"M.","non-dropping-particle":"","parse-names":false,"suffix":""},{"dropping-particle":"","family":"Heller","given":"S.","non-dropping-particle":"","parse-names":false,"suffix":""},{"dropping-particle":"","family":"Henderson","given":"M.","non-dropping-particle":"","parse-names":false,"suffix":""},{"dropping-particle":"","family":"Hesselden","given":"L.","non-dropping-particle":"","parse-names":false,"suffix":""},{"dropping-particle":"","family":"Hillman","given":"T.","non-dropping-particle":"","parse-names":false,"suffix":""},{"dropping-particle":"","family":"Hingorani","given":"A.","non-dropping-particle":"","parse-names":false,"suffix":""},{"dropping-particle":"","family":"Hiwot","given":"T.","non-dropping-particle":"","parse-names":false,"suffix":""},{"dropping-particle":"","family":"Ho","given":"L. P.","non-dropping-particle":"","parse-names":false,"suffix":""},{"dropping-particle":"","family":"Hoare","given":"A.","non-dropping-particle":"","parse-names":false,"suffix":""},{"dropping-particle":"","family":"Hoare","given":"M.","non-dropping-particle":"","parse-names":false,"suffix":""},{"dropping-particle":"","family":"Hogarth","given":"P.","non-dropping-particle":"","parse-names":false,"suffix":""},{"dropping-particle":"","family":"Holbourn","given":"A.","non-dropping-particle":"","parse-names":false,"suffix":""},{"dropping-particle":"","family":"Holdsworth","given":"L.","non-dropping-particle":"","parse-names":false,"suffix":""},{"dropping-particle":"","family":"Holgate","given":"D.","non-dropping-particle":"","parse-names":false,"suffix":""},{"dropping-particle":"","family":"Holmes","given":"K.","non-dropping-particle":"","parse-names":false,"suffix":""},{"dropping-particle":"","family":"Holroyd-Hind","given":"B.","non-dropping-particle":"","parse-names":false,"suffix":""},{"dropping-particle":"","family":"Horsley","given":"A.","non-dropping-particle":"","parse-names":false,"suffix":""},{"dropping-particle":"","family":"Hosseini","given":"A.","non-dropping-particle":"","parse-names":false,"suffix":""},{"dropping-particle":"","family":"Hotopf","given":"M.","non-dropping-particle":"","parse-names":false,"suffix":""},{"dropping-particle":"","family":"Houchen","given":"L.","non-dropping-particle":"","parse-names":false,"suffix":""},{"dropping-particle":"","family":"Howard","given":"L.","non-dropping-particle":"","parse-names":false,"suffix":""},{"dropping-particle":"","family":"Howell","given":"A.","non-dropping-particle":"","parse-names":false,"suffix":""},{"dropping-particle":"","family":"Hufton","given":"E.","non-dropping-particle":"","parse-names":false,"suffix":""},{"dropping-particle":"","family":"Hughes","given":"A.","non-dropping-particle":"","parse-names":false,"suffix":""},{"dropping-particle":"","family":"Hughes","given":"J.","non-dropping-particle":"","parse-names":false,"suffix":""},{"dropping-particle":"","family":"Hughes","given":"R.","non-dropping-particle":"","parse-names":false,"suffix":""},{"dropping-particle":"","family":"Humphries","given":"A.","non-dropping-particle":"","parse-names":false,"suffix":""},{"dropping-particle":"","family":"Huneke","given":"N.","non-dropping-particle":"","parse-names":false,"suffix":""},{"dropping-particle":"","family":"Hurst","given":"J. R.","non-dropping-particle":"","parse-names":false,"suffix":""},{"dropping-particle":"","family":"Hurst","given":"R.","non-dropping-particle":"","parse-names":false,"suffix":""},{"dropping-particle":"","family":"Husain","given":"M.","non-dropping-particle":"","parse-names":false,"suffix":""},{"dropping-particle":"","family":"Hussell","given":"T.","non-dropping-particle":"","parse-names":false,"suffix":""},{"dropping-particle":"","family":"Ibrahim","given":"W.","non-dropping-particle":"","parse-names":false,"suffix":""},{"dropping-particle":"","family":"Ient","given":"A.","non-dropping-particle":"","parse-names":false,"suffix":""},{"dropping-particle":"","family":"Ingram","given":"L.","non-dropping-particle":"","parse-names":false,"suffix":""},{"dropping-particle":"","family":"Ismail","given":"K.","non-dropping-particle":"","parse-names":false,"suffix":""},{"dropping-particle":"","family":"Jackson","given":"T.","non-dropping-particle":"","parse-names":false,"suffix":""},{"dropping-particle":"","family":"Jacob","given":"J.","non-dropping-particle":"","parse-names":false,"suffix":""},{"dropping-particle":"","family":"James","given":"W. Y.","non-dropping-particle":"","parse-names":false,"suffix":""},{"dropping-particle":"","family":"Janes","given":"S.","non-dropping-particle":"","parse-names":false,"suffix":""},{"dropping-particle":"","family":"Jarvis","given":"H.","non-dropping-particle":"","parse-names":false,"suffix":""},{"dropping-particle":"","family":"Jayaraman","given":"B.","non-dropping-particle":"","parse-names":false,"suffix":""},{"dropping-particle":"","family":"Jenkins","given":"R. G.","non-dropping-particle":"","parse-names":false,"suffix":""},{"dropping-particle":"","family":"Jezzard","given":"P.","non-dropping-particle":"","parse-names":false,"suffix":""},{"dropping-particle":"","family":"Jiwa","given":"K.","non-dropping-particle":"","parse-names":false,"suffix":""},{"dropping-particle":"","family":"Johnson","given":"S.","non-dropping-particle":"","parse-names":false,"suffix":""},{"dropping-particle":"","family":"Johnson","given":"C.","non-dropping-particle":"","parse-names":false,"suffix":""},{"dropping-particle":"","family":"Johnston","given":"D.","non-dropping-particle":"","parse-names":false,"suffix":""},{"dropping-particle":"","family":"Jolley","given":"C.","non-dropping-particle":"","parse-names":false,"suffix":""},{"dropping-particle":"","family":"Jolley","given":"C. J.","non-dropping-particle":"","parse-names":false,"suffix":""},{"dropping-particle":"","family":"Jones","given":"I.","non-dropping-particle":"","parse-names":false,"suffix":""},{"dropping-particle":"","family":"Jones","given":"S.","non-dropping-particle":"","parse-names":false,"suffix":""},{"dropping-particle":"","family":"Jones","given":"D.","non-dropping-particle":"","parse-names":false,"suffix":""},{"dropping-particle":"","family":"Jones","given":"H.","non-dropping-particle":"","parse-names":false,"suffix":""},{"dropping-particle":"","family":"Jones","given":"G.","non-dropping-particle":"","parse-names":false,"suffix":""},{"dropping-particle":"","family":"Jones","given":"M.","non-dropping-particle":"","parse-names":false,"suffix":""},{"dropping-particle":"","family":"Jose","given":"S.","non-dropping-particle":"","parse-names":false,"suffix":""},{"dropping-particle":"","family":"Kabir","given":"T.","non-dropping-particle":"","parse-names":false,"suffix":""},{"dropping-particle":"","family":"Kaltsakas","given":"G.","non-dropping-particle":"","parse-names":false,"suffix":""},{"dropping-particle":"","family":"Kamwa","given":"V.","non-dropping-particle":"","parse-names":false,"suffix":""},{"dropping-particle":"","family":"Kar","given":"P.","non-dropping-particle":"","parse-names":false,"suffix":""},{"dropping-particle":"","family":"Kausar","given":"Z.","non-dropping-particle":"","parse-names":false,"suffix":""},{"dropping-particle":"","family":"Kelly","given":"S.","non-dropping-particle":"","parse-names":false,"suffix":""},{"dropping-particle":"","family":"Kerr","given":"S.","non-dropping-particle":"","parse-names":false,"suffix":""},{"dropping-particle":"","family":"Key","given":"A. L.","non-dropping-particle":"","parse-names":false,"suffix":""},{"dropping-particle":"","family":"Khan","given":"F.","non-dropping-particle":"","parse-names":false,"suffix":""},{"dropping-particle":"","family":"Khunti","given":"K.","non-dropping-particle":"","parse-names":false,"suffix":""},{"dropping-particle":"","family":"King","given":"C.","non-dropping-particle":"","parse-names":false,"suffix":""},{"dropping-particle":"","family":"King","given":"B.","non-dropping-particle":"","parse-names":false,"suffix":""},{"dropping-particle":"","family":"Kitterick","given":"P.","non-dropping-particle":"","parse-names":false,"suffix":""},{"dropping-particle":"","family":"Klenerman","given":"P.","non-dropping-particle":"","parse-names":false,"suffix":""},{"dropping-particle":"","family":"Knibbs","given":"L.","non-dropping-particle":"","parse-names":false,"suffix":""},{"dropping-particle":"","family":"Knight","given":"S.","non-dropping-particle":"","parse-names":false,"suffix":""},{"dropping-particle":"","family":"Knighton","given":"A.","non-dropping-particle":"","parse-names":false,"suffix":""},{"dropping-particle":"","family":"Kon","given":"O. M.","non-dropping-particle":"","parse-names":false,"suffix":""},{"dropping-particle":"","family":"Kon","given":"S.","non-dropping-particle":"","parse-names":false,"suffix":""},{"dropping-particle":"","family":"Kon","given":"S. S.","non-dropping-particle":"","parse-names":false,"suffix":""},{"dropping-particle":"","family":"Korszun","given":"A.","non-dropping-particle":"","parse-names":false,"suffix":""},{"dropping-particle":"","family":"Kotanidis","given":"C.","non-dropping-particle":"","parse-names":false,"suffix":""},{"dropping-particle":"","family":"Koychev","given":"I.","non-dropping-particle":"","parse-names":false,"suffix":""},{"dropping-particle":"","family":"Kurupati","given":"P.","non-dropping-particle":"","parse-names":false,"suffix":""},{"dropping-particle":"","family":"Kwan","given":"J.","non-dropping-particle":"","parse-names":false,"suffix":""},{"dropping-particle":"","family":"Laing","given":"C.","non-dropping-particle":"","parse-names":false,"suffix":""},{"dropping-particle":"","family":"Lamlum","given":"H.","non-dropping-particle":"","parse-names":false,"suffix":""},{"dropping-particle":"","family":"Landers","given":"G.","non-dropping-particle":"","parse-names":false,"suffix":""},{"dropping-particle":"","family":"Langenberg","given":"C.","non-dropping-particle":"","parse-names":false,"suffix":""},{"dropping-particle":"","family":"Lasserson","given":"D.","non-dropping-particle":"","parse-names":false,"suffix":""},{"dropping-particle":"","family":"Lawrie","given":"A.","non-dropping-particle":"","parse-names":false,"suffix":""},{"dropping-particle":"","family":"Lea","given":"A.","non-dropping-particle":"","parse-names":false,"suffix":""},{"dropping-particle":"","family":"Leavy","given":"O. C.","non-dropping-particle":"","parse-names":false,"suffix":""},{"dropping-particle":"","family":"Lee","given":"D.","non-dropping-particle":"","parse-names":false,"suffix":""},{"dropping-particle":"","family":"Lee","given":"E.","non-dropping-particle":"","parse-names":false,"suffix":""},{"dropping-particle":"","family":"Leitch","given":"K.","non-dropping-particle":"","parse-names":false,"suffix":""},{"dropping-particle":"","family":"Lenagh","given":"R.","non-dropping-particle":"","parse-names":false,"suffix":""},{"dropping-particle":"","family":"Lewis","given":"K.","non-dropping-particle":"","parse-names":false,"suffix":""},{"dropping-particle":"","family":"Lewis","given":"V.","non-dropping-particle":"","parse-names":false,"suffix":""},{"dropping-particle":"","family":"Lewis","given":"K. E.","non-dropping-particle":"","parse-names":false,"suffix":""},{"dropping-particle":"","family":"Lewis","given":"J.","non-dropping-particle":"","parse-names":false,"suffix":""},{"dropping-particle":"","family":"Lewis-Burke","given":"N.","non-dropping-particle":"","parse-names":false,"suffix":""},{"dropping-particle":"","family":"Light","given":"T.","non-dropping-particle":"","parse-names":false,"suffix":""},{"dropping-particle":"","family":"Lightstone","given":"L.","non-dropping-particle":"","parse-names":false,"suffix":""},{"dropping-particle":"","family":"Lim","given":"L.","non-dropping-particle":"","parse-names":false,"suffix":""},{"dropping-particle":"","family":"Linford","given":"S.","non-dropping-particle":"","parse-names":false,"suffix":""},{"dropping-particle":"","family":"Lingford-Hughes","given":"A.","non-dropping-particle":"","parse-names":false,"suffix":""},{"dropping-particle":"","family":"Lipman","given":"M.","non-dropping-particle":"","parse-names":false,"suffix":""},{"dropping-particle":"","family":"Liyanage","given":"K.","non-dropping-particle":"","parse-names":false,"suffix":""},{"dropping-particle":"","family":"Lloyd","given":"A.","non-dropping-particle":"","parse-names":false,"suffix":""},{"dropping-particle":"","family":"Logan","given":"S.","non-dropping-particle":"","parse-names":false,"suffix":""},{"dropping-particle":"","family":"Lomas","given":"D.","non-dropping-particle":"","parse-names":false,"suffix":""},{"dropping-particle":"","family":"Lone","given":"N. I.","non-dropping-particle":"","parse-names":false,"suffix":""},{"dropping-particle":"","family":"Loosley","given":"R.","non-dropping-particle":"","parse-names":false,"suffix":""},{"dropping-particle":"","family":"Lord","given":"J. M.","non-dropping-particle":"","parse-names":false,"suffix":""},{"dropping-particle":"","family":"Lota","given":"H.","non-dropping-particle":"","parse-names":false,"suffix":""},{"dropping-particle":"","family":"Lucey","given":"A.","non-dropping-particle":"","parse-names":false,"suffix":""},{"dropping-particle":"","family":"MacGowan","given":"G.","non-dropping-particle":"","parse-names":false,"suffix":""},{"dropping-particle":"","family":"Macharia","given":"I.","non-dropping-particle":"","parse-names":false,"suffix":""},{"dropping-particle":"","family":"Mackay","given":"C.","non-dropping-particle":"","parse-names":false,"suffix":""},{"dropping-particle":"","family":"Macliver","given":"L.","non-dropping-particle":"","parse-names":false,"suffix":""},{"dropping-particle":"","family":"Madathil","given":"S.","non-dropping-particle":"","parse-names":false,"suffix":""},{"dropping-particle":"","family":"Madzamba","given":"G.","non-dropping-particle":"","parse-names":false,"suffix":""},{"dropping-particle":"","family":"Magee","given":"N.","non-dropping-particle":"","parse-names":false,"suffix":""},{"dropping-particle":"","family":"Mairs","given":"N.","non-dropping-particle":"","parse-names":false,"suffix":""},{"dropping-particle":"","family":"Majeed","given":"N.","non-dropping-particle":"","parse-names":false,"suffix":""},{"dropping-particle":"","family":"Major","given":"E.","non-dropping-particle":"","parse-names":false,"suffix":""},{"dropping-particle":"","family":"Malim","given":"M.","non-dropping-particle":"","parse-names":false,"suffix":""},{"dropping-particle":"","family":"Mallison","given":"G.","non-dropping-particle":"","parse-names":false,"suffix":""},{"dropping-particle":"","family":"Man","given":"W.","non-dropping-particle":"","parse-names":false,"suffix":""},{"dropping-particle":"","family":"Mandal","given":"S.","non-dropping-particle":"","parse-names":false,"suffix":""},{"dropping-particle":"","family":"Mangion","given":"K.","non-dropping-particle":"","parse-names":false,"suffix":""},{"dropping-particle":"","family":"Mansoori","given":"P.","non-dropping-particle":"","parse-names":false,"suffix":""},{"dropping-particle":"","family":"Marciniak","given":"S.","non-dropping-particle":"","parse-names":false,"suffix":""},{"dropping-particle":"","family":"Mariveles","given":"M.","non-dropping-particle":"","parse-names":false,"suffix":""},{"dropping-particle":"","family":"Marks","given":"M.","non-dropping-particle":"","parse-names":false,"suffix":""},{"dropping-particle":"","family":"Marshall","given":"B.","non-dropping-particle":"","parse-names":false,"suffix":""},{"dropping-particle":"","family":"Martineau","given":"A.","non-dropping-particle":"","parse-names":false,"suffix":""},{"dropping-particle":"","family":"Maskell","given":"N.","non-dropping-particle":"","parse-names":false,"suffix":""},{"dropping-particle":"","family":"Matila","given":"D.","non-dropping-particle":"","parse-names":false,"suffix":""},{"dropping-particle":"","family":"Matthews","given":"L.","non-dropping-particle":"","parse-names":false,"suffix":""},{"dropping-particle":"","family":"Mayet","given":"J.","non-dropping-particle":"","parse-names":false,"suffix":""},{"dropping-particle":"","family":"McAdoo","given":"S.","non-dropping-particle":"","parse-names":false,"suffix":""},{"dropping-particle":"","family":"McAllister-Williams","given":"H.","non-dropping-particle":"","parse-names":false,"suffix":""},{"dropping-particle":"","family":"McArdle","given":"P.","non-dropping-particle":"","parse-names":false,"suffix":""},{"dropping-particle":"","family":"McArdle","given":"A.","non-dropping-particle":"","parse-names":false,"suffix":""},{"dropping-particle":"","family":"McAulay","given":"D.","non-dropping-particle":"","parse-names":false,"suffix":""},{"dropping-particle":"","family":"McAuley","given":"H.","non-dropping-particle":"","parse-names":false,"suffix":""},{"dropping-particle":"","family":"McAuley","given":"D. F.","non-dropping-particle":"","parse-names":false,"suffix":""},{"dropping-particle":"","family":"McCafferty","given":"K.","non-dropping-particle":"","parse-names":false,"suffix":""},{"dropping-particle":"","family":"McCann","given":"G. P.","non-dropping-particle":"","parse-names":false,"suffix":""},{"dropping-particle":"","family":"McCauley","given":"H.","non-dropping-particle":"","parse-names":false,"suffix":""},{"dropping-particle":"","family":"McCourt","given":"P.","non-dropping-particle":"","parse-names":false,"suffix":""},{"dropping-particle":"","family":"Mcgarvey","given":"L.","non-dropping-particle":"","parse-names":false,"suffix":""},{"dropping-particle":"","family":"McGinness","given":"J.","non-dropping-particle":"","parse-names":false,"suffix":""},{"dropping-particle":"","family":"McGovern","given":"A.","non-dropping-particle":"","parse-names":false,"suffix":""},{"dropping-particle":"","family":"McGuinness","given":"H.","non-dropping-particle":"","parse-names":false,"suffix":""},{"dropping-particle":"","family":"McInnes","given":"I. B.","non-dropping-particle":"","parse-names":false,"suffix":""},{"dropping-particle":"","family":"McIvor","given":"K.","non-dropping-particle":"","parse-names":false,"suffix":""},{"dropping-particle":"","family":"McIvor","given":"E.","non-dropping-particle":"","parse-names":false,"suffix":""},{"dropping-particle":"","family":"McMahon","given":"A.","non-dropping-particle":"","parse-names":false,"suffix":""},{"dropping-particle":"","family":"McMahon","given":"M. J.","non-dropping-particle":"","parse-names":false,"suffix":""},{"dropping-particle":"","family":"McMorrow","given":"L.","non-dropping-particle":"","parse-names":false,"suffix":""},{"dropping-particle":"","family":"Mcnally","given":"T.","non-dropping-particle":"","parse-names":false,"suffix":""},{"dropping-particle":"","family":"McNarry","given":"M.","non-dropping-particle":"","parse-names":false,"suffix":""},{"dropping-particle":"","family":"McQueen","given":"A.","non-dropping-particle":"","parse-names":false,"suffix":""},{"dropping-particle":"","family":"McShane","given":"H.","non-dropping-particle":"","parse-names":false,"suffix":""},{"dropping-particle":"","family":"Megson","given":"S.","non-dropping-particle":"","parse-names":false,"suffix":""},{"dropping-particle":"","family":"Meiring","given":"J.","non-dropping-particle":"","parse-names":false,"suffix":""},{"dropping-particle":"","family":"Menzies","given":"D.","non-dropping-particle":"","parse-names":false,"suffix":""},{"dropping-particle":"","family":"Michael","given":"A.","non-dropping-particle":"","parse-names":false,"suffix":""},{"dropping-particle":"","family":"Milligan","given":"L.","non-dropping-particle":"","parse-names":false,"suffix":""},{"dropping-particle":"","family":"Mills","given":"N.","non-dropping-particle":"","parse-names":false,"suffix":""},{"dropping-particle":"","family":"Mitchell","given":"J.","non-dropping-particle":"","parse-names":false,"suffix":""},{"dropping-particle":"","family":"Mohamed","given":"A.","non-dropping-particle":"","parse-names":false,"suffix":""},{"dropping-particle":"","family":"Molyneaux","given":"P. L.","non-dropping-particle":"","parse-names":false,"suffix":""},{"dropping-particle":"","family":"Monteiro","given":"W.","non-dropping-particle":"","parse-names":false,"suffix":""},{"dropping-particle":"","family":"Morley","given":"A.","non-dropping-particle":"","parse-names":false,"suffix":""},{"dropping-particle":"","family":"Morrison","given":"L.","non-dropping-particle":"","parse-names":false,"suffix":""},{"dropping-particle":"","family":"Morriss","given":"R.","non-dropping-particle":"","parse-names":false,"suffix":""},{"dropping-particle":"","family":"Morrow","given":"A.","non-dropping-particle":"","parse-names":false,"suffix":""},{"dropping-particle":"","family":"Moss","given":"A.","non-dropping-particle":"","parse-names":false,"suffix":""},{"dropping-particle":"","family":"Moss","given":"A. J.","non-dropping-particle":"","parse-names":false,"suffix":""},{"dropping-particle":"","family":"Moss","given":"P.","non-dropping-particle":"","parse-names":false,"suffix":""},{"dropping-particle":"","family":"Mukaetova-Ladinska","given":"E.","non-dropping-particle":"","parse-names":false,"suffix":""},{"dropping-particle":"","family":"Munawar","given":"U.","non-dropping-particle":"","parse-names":false,"suffix":""},{"dropping-particle":"","family":"Murali","given":"E.","non-dropping-particle":"","parse-names":false,"suffix":""},{"dropping-particle":"","family":"Murira","given":"J.","non-dropping-particle":"","parse-names":false,"suffix":""},{"dropping-particle":"","family":"Nassa","given":"H.","non-dropping-particle":"","parse-names":false,"suffix":""},{"dropping-particle":"","family":"Neill","given":"P.","non-dropping-particle":"","parse-names":false,"suffix":""},{"dropping-particle":"","family":"Neubauer","given":"S.","non-dropping-particle":"","parse-names":false,"suffix":""},{"dropping-particle":"","family":"Newby","given":"D.","non-dropping-particle":"","parse-names":false,"suffix":""},{"dropping-particle":"","family":"Newell","given":"H.","non-dropping-particle":"","parse-names":false,"suffix":""},{"dropping-particle":"","family":"Newton Cox","given":"A.","non-dropping-particle":"","parse-names":false,"suffix":""},{"dropping-particle":"","family":"Nicholson","given":"T.","non-dropping-particle":"","parse-names":false,"suffix":""},{"dropping-particle":"","family":"Nicoll","given":"D.","non-dropping-particle":"","parse-names":false,"suffix":""},{"dropping-particle":"","family":"Nolan","given":"C. M.","non-dropping-particle":"","parse-names":false,"suffix":""},{"dropping-particle":"","family":"Noonan","given":"M. J.","non-dropping-particle":"","parse-names":false,"suffix":""},{"dropping-particle":"","family":"Novotny","given":"P.","non-dropping-particle":"","parse-names":false,"suffix":""},{"dropping-particle":"","family":"Nunag","given":"J.","non-dropping-particle":"","parse-names":false,"suffix":""},{"dropping-particle":"","family":"Nyaboko","given":"J.","non-dropping-particle":"","parse-names":false,"suffix":""},{"dropping-particle":"","family":"O'Brien","given":"L.","non-dropping-particle":"","parse-names":false,"suffix":""},{"dropping-particle":"","family":"Odell","given":"N.","non-dropping-particle":"","parse-names":false,"suffix":""},{"dropping-particle":"","family":"Ogg","given":"G.","non-dropping-particle":"","parse-names":false,"suffix":""},{"dropping-particle":"","family":"Olaosebikan","given":"O.","non-dropping-particle":"","parse-names":false,"suffix":""},{"dropping-particle":"","family":"Oliver","given":"C.","non-dropping-particle":"","parse-names":false,"suffix":""},{"dropping-particle":"","family":"Omar","given":"Z.","non-dropping-particle":"","parse-names":false,"suffix":""},{"dropping-particle":"","family":"Openshaw","given":"P. J.M.","non-dropping-particle":"","parse-names":false,"suffix":""},{"dropping-particle":"","family":"Rivera-Ortega","given":"P.","non-dropping-particle":"","parse-names":false,"suffix":""},{"dropping-particle":"","family":"Osbourne","given":"R.","non-dropping-particle":"","parse-names":false,"suffix":""},{"dropping-particle":"","family":"Ostermann","given":"M.","non-dropping-particle":"","parse-names":false,"suffix":""},{"dropping-particle":"","family":"Overton","given":"C.","non-dropping-particle":"","parse-names":false,"suffix":""},{"dropping-particle":"","family":"Oxton","given":"J.","non-dropping-particle":"","parse-names":false,"suffix":""},{"dropping-particle":"","family":"Pacpaco","given":"E.","non-dropping-particle":"","parse-names":false,"suffix":""},{"dropping-particle":"","family":"Paddick","given":"S.","non-dropping-particle":"","parse-names":false,"suffix":""},{"dropping-particle":"","family":"Papineni","given":"P.","non-dropping-particle":"","parse-names":false,"suffix":""},{"dropping-particle":"","family":"Paradowski","given":"K.","non-dropping-particle":"","parse-names":false,"suffix":""},{"dropping-particle":"","family":"Pareek","given":"M.","non-dropping-particle":"","parse-names":false,"suffix":""},{"dropping-particle":"","family":"Parekh","given":"D.","non-dropping-particle":"","parse-names":false,"suffix":""},{"dropping-particle":"","family":"Parfrey","given":"H.","non-dropping-particle":"","parse-names":false,"suffix":""},{"dropping-particle":"","family":"Pariante","given":"C.","non-dropping-particle":"","parse-names":false,"suffix":""},{"dropping-particle":"","family":"Parker","given":"S.","non-dropping-particle":"","parse-names":false,"suffix":""},{"dropping-particle":"","family":"Parkes","given":"M.","non-dropping-particle":"","parse-names":false,"suffix":""},{"dropping-particle":"","family":"Parmar","given":"J.","non-dropping-particle":"","parse-names":false,"suffix":""},{"dropping-particle":"","family":"Parvin","given":"R.","non-dropping-particle":"","parse-names":false,"suffix":""},{"dropping-particle":"","family":"Patale","given":"S.","non-dropping-particle":"","parse-names":false,"suffix":""},{"dropping-particle":"","family":"Patel","given":"B.","non-dropping-particle":"","parse-names":false,"suffix":""},{"dropping-particle":"","family":"Patel","given":"S.","non-dropping-particle":"","parse-names":false,"suffix":""},{"dropping-particle":"","family":"Patel","given":"M.","non-dropping-particle":"","parse-names":false,"suffix":""},{"dropping-particle":"","family":"Pathmanathan","given":"B.","non-dropping-particle":"","parse-names":false,"suffix":""},{"dropping-particle":"","family":"Pavlides","given":"M.","non-dropping-particle":"","parse-names":false,"suffix":""},{"dropping-particle":"","family":"Pearl","given":"J. E.","non-dropping-particle":"","parse-names":false,"suffix":""},{"dropping-particle":"","family":"Peckham","given":"D.","non-dropping-particle":"","parse-names":false,"suffix":""},{"dropping-particle":"","family":"Pendlebury","given":"J.","non-dropping-particle":"","parse-names":false,"suffix":""},{"dropping-particle":"","family":"Peng","given":"Y.","non-dropping-particle":"","parse-names":false,"suffix":""},{"dropping-particle":"","family":"Pennington","given":"C.","non-dropping-particle":"","parse-names":false,"suffix":""},{"dropping-particle":"","family":"Peralta","given":"I.","non-dropping-particle":"","parse-names":false,"suffix":""},{"dropping-particle":"","family":"Perkins","given":"E.","non-dropping-particle":"","parse-names":false,"suffix":""},{"dropping-particle":"","family":"Peto","given":"T.","non-dropping-particle":"","parse-names":false,"suffix":""},{"dropping-particle":"","family":"Petousi","given":"N.","non-dropping-particle":"","parse-names":false,"suffix":""},{"dropping-particle":"","family":"Petrie","given":"J.","non-dropping-particle":"","parse-names":false,"suffix":""},{"dropping-particle":"","family":"Pfeffer","given":"P.","non-dropping-particle":"","parse-names":false,"suffix":""},{"dropping-particle":"","family":"Phipps","given":"J.","non-dropping-particle":"","parse-names":false,"suffix":""},{"dropping-particle":"","family":"Pimm","given":"J.","non-dropping-particle":"","parse-names":false,"suffix":""},{"dropping-particle":"","family":"Piper Hanley","given":"K.","non-dropping-particle":"","parse-names":false,"suffix":""},{"dropping-particle":"","family":"Pius","given":"R.","non-dropping-particle":"","parse-names":false,"suffix":""},{"dropping-particle":"","family":"Plein","given":"S.","non-dropping-particle":"","parse-names":false,"suffix":""},{"dropping-particle":"","family":"Plekhanova","given":"T.","non-dropping-particle":"","parse-names":false,"suffix":""},{"dropping-particle":"","family":"Poinasamy","given":"K.","non-dropping-particle":"","parse-names":false,"suffix":""},{"dropping-particle":"","family":"Polgar","given":"O.","non-dropping-particle":"","parse-names":false,"suffix":""},{"dropping-particle":"","family":"Poll","given":"L.","non-dropping-particle":"","parse-names":false,"suffix":""},{"dropping-particle":"","family":"Porter","given":"J. C.","non-dropping-particle":"","parse-names":false,"suffix":""},{"dropping-particle":"","family":"Portukhay","given":"S.","non-dropping-particle":"","parse-names":false,"suffix":""},{"dropping-particle":"","family":"Powell","given":"N.","non-dropping-particle":"","parse-names":false,"suffix":""},{"dropping-particle":"","family":"Price","given":"L.","non-dropping-particle":"","parse-names":false,"suffix":""},{"dropping-particle":"","family":"Price","given":"D.","non-dropping-particle":"","parse-names":false,"suffix":""},{"dropping-particle":"","family":"Price","given":"A.","non-dropping-particle":"","parse-names":false,"suffix":""},{"dropping-particle":"","family":"Price","given":"C.","non-dropping-particle":"","parse-names":false,"suffix":""},{"dropping-particle":"","family":"Prickett","given":"A.","non-dropping-particle":"","parse-names":false,"suffix":""},{"dropping-particle":"","family":"Quaid","given":"S.","non-dropping-particle":"","parse-names":false,"suffix":""},{"dropping-particle":"","family":"Quigley","given":"J.","non-dropping-particle":"","parse-names":false,"suffix":""},{"dropping-particle":"","family":"Quint","given":"J.","non-dropping-particle":"","parse-names":false,"suffix":""},{"dropping-particle":"","family":"Qureshi","given":"H.","non-dropping-particle":"","parse-names":false,"suffix":""},{"dropping-particle":"","family":"Rahman","given":"N.","non-dropping-particle":"","parse-names":false,"suffix":""},{"dropping-particle":"","family":"Rahman","given":"M.","non-dropping-particle":"","parse-names":false,"suffix":""},{"dropping-particle":"","family":"Ralser","given":"M.","non-dropping-particle":"","parse-names":false,"suffix":""},{"dropping-particle":"","family":"Raman","given":"B.","non-dropping-particle":"","parse-names":false,"suffix":""},{"dropping-particle":"","family":"Ramos","given":"A.","non-dropping-particle":"","parse-names":false,"suffix":""},{"dropping-particle":"","family":"Rangeley","given":"J.","non-dropping-particle":"","parse-names":false,"suffix":""},{"dropping-particle":"","family":"Rees","given":"T.","non-dropping-particle":"","parse-names":false,"suffix":""},{"dropping-particle":"","family":"Regan","given":"K.","non-dropping-particle":"","parse-names":false,"suffix":""},{"dropping-particle":"","family":"Richards","given":"A.","non-dropping-particle":"","parse-names":false,"suffix":""},{"dropping-particle":"","family":"Richardson","given":"M.","non-dropping-particle":"","parse-names":false,"suffix":""},{"dropping-particle":"","family":"Robertson","given":"E.","non-dropping-particle":"","parse-names":false,"suffix":""},{"dropping-particle":"","family":"Rodgers","given":"J.","non-dropping-particle":"","parse-names":false,"suffix":""},{"dropping-particle":"","family":"Ross","given":"G.","non-dropping-particle":"","parse-names":false,"suffix":""},{"dropping-particle":"","family":"Rossdale","given":"J.","non-dropping-particle":"","parse-names":false,"suffix":""},{"dropping-particle":"","family":"Rostron","given":"A.","non-dropping-particle":"","parse-names":false,"suffix":""},{"dropping-particle":"","family":"Routen","given":"A.","non-dropping-particle":"","parse-names":false,"suffix":""},{"dropping-particle":"","family":"Rowland","given":"A.","non-dropping-particle":"","parse-names":false,"suffix":""},{"dropping-particle":"","family":"Rowland","given":"M. J.","non-dropping-particle":"","parse-names":false,"suffix":""},{"dropping-particle":"","family":"Rowland","given":"J.","non-dropping-particle":"","parse-names":false,"suffix":""},{"dropping-particle":"","family":"Rowland-Jones","given":"S. L.","non-dropping-particle":"","parse-names":false,"suffix":""},{"dropping-particle":"","family":"Roy","given":"K.","non-dropping-particle":"","parse-names":false,"suffix":""},{"dropping-particle":"","family":"Rudan","given":"I.","non-dropping-particle":"","parse-names":false,"suffix":""},{"dropping-particle":"","family":"Russell","given":"R.","non-dropping-particle":"","parse-names":false,"suffix":""},{"dropping-particle":"","family":"Russell","given":"E.","non-dropping-particle":"","parse-names":false,"suffix":""},{"dropping-particle":"","family":"Sabit","given":"R.","non-dropping-particle":"","parse-names":false,"suffix":""},{"dropping-particle":"","family":"Sage","given":"E. K.","non-dropping-particle":"","parse-names":false,"suffix":""},{"dropping-particle":"","family":"Samani","given":"N.","non-dropping-particle":"","parse-names":false,"suffix":""},{"dropping-particle":"","family":"Samuel","given":"R.","non-dropping-particle":"","parse-names":false,"suffix":""},{"dropping-particle":"","family":"Sapey","given":"E.","non-dropping-particle":"","parse-names":false,"suffix":""},{"dropping-particle":"","family":"Saralaya","given":"D.","non-dropping-particle":"","parse-names":false,"suffix":""},{"dropping-particle":"","family":"Saratzis","given":"A.","non-dropping-particle":"","parse-names":false,"suffix":""},{"dropping-particle":"","family":"Sargeant","given":"J.","non-dropping-particle":"","parse-names":false,"suffix":""},{"dropping-particle":"","family":"Sass","given":"T.","non-dropping-particle":"","parse-names":false,"suffix":""},{"dropping-particle":"","family":"Sattar","given":"N.","non-dropping-particle":"","parse-names":false,"suffix":""},{"dropping-particle":"","family":"Saunders","given":"K.","non-dropping-particle":"","parse-names":false,"suffix":""},{"dropping-particle":"","family":"Saunders","given":"R.","non-dropping-particle":"","parse-names":false,"suffix":""},{"dropping-particle":"","family":"Saxon","given":"W.","non-dropping-particle":"","parse-names":false,"suffix":""},{"dropping-particle":"","family":"Sayer","given":"A.","non-dropping-particle":"","parse-names":false,"suffix":""},{"dropping-particle":"","family":"Schwaeble","given":"W.","non-dropping-particle":"","parse-names":false,"suffix":""},{"dropping-particle":"","family":"Scott","given":"J.","non-dropping-particle":"","parse-names":false,"suffix":""},{"dropping-particle":"","family":"Scott","given":"K.","non-dropping-particle":"","parse-names":false,"suffix":""},{"dropping-particle":"","family":"Selby","given":"N.","non-dropping-particle":"","parse-names":false,"suffix":""},{"dropping-particle":"","family":"Sereno","given":"M.","non-dropping-particle":"","parse-names":false,"suffix":""},{"dropping-particle":"","family":"Shah","given":"K.","non-dropping-particle":"","parse-names":false,"suffix":""},{"dropping-particle":"","family":"Shah","given":"A.","non-dropping-particle":"","parse-names":false,"suffix":""},{"dropping-particle":"","family":"Shah","given":"P.","non-dropping-particle":"","parse-names":false,"suffix":""},{"dropping-particle":"","family":"Sharma","given":"M.","non-dropping-particle":"","parse-names":false,"suffix":""},{"dropping-particle":"","family":"Sharpe","given":"M.","non-dropping-particle":"","parse-names":false,"suffix":""},{"dropping-particle":"","family":"Sharpe","given":"C.","non-dropping-particle":"","parse-names":false,"suffix":""},{"dropping-particle":"","family":"Shaw","given":"V.","non-dropping-particle":"","parse-names":false,"suffix":""},{"dropping-particle":"","family":"Sheikh","given":"A.","non-dropping-particle":"","parse-names":false,"suffix":""},{"dropping-particle":"","family":"Shevket","given":"K.","non-dropping-particle":"","parse-names":false,"suffix":""},{"dropping-particle":"","family":"Shikotra","given":"A.","non-dropping-particle":"","parse-names":false,"suffix":""},{"dropping-particle":"","family":"Short","given":"J.","non-dropping-particle":"","parse-names":false,"suffix":""},{"dropping-particle":"","family":"Siddiqui","given":"S.","non-dropping-particle":"","parse-names":false,"suffix":""},{"dropping-particle":"","family":"Sigfrid","given":"L.","non-dropping-particle":"","parse-names":false,"suffix":""},{"dropping-particle":"","family":"Simons","given":"G.","non-dropping-particle":"","parse-names":false,"suffix":""},{"dropping-particle":"","family":"Simpson","given":"J.","non-dropping-particle":"","parse-names":false,"suffix":""},{"dropping-particle":"","family":"Singapuri","given":"A.","non-dropping-particle":"","parse-names":false,"suffix":""},{"dropping-particle":"","family":"Singh","given":"S. J.","non-dropping-particle":"","parse-names":false,"suffix":""},{"dropping-particle":"","family":"Singh","given":"C.","non-dropping-particle":"","parse-names":false,"suffix":""},{"dropping-particle":"","family":"Singh","given":"S.","non-dropping-particle":"","parse-names":false,"suffix":""},{"dropping-particle":"","family":"Skeemer","given":"J.","non-dropping-particle":"","parse-names":false,"suffix":""},{"dropping-particle":"","family":"Smith","given":"I.","non-dropping-particle":"","parse-names":false,"suffix":""},{"dropping-particle":"","family":"Smith","given":"J.","non-dropping-particle":"","parse-names":false,"suffix":""},{"dropping-particle":"","family":"Smith","given":"L.","non-dropping-particle":"","parse-names":false,"suffix":""},{"dropping-particle":"","family":"Smith","given":"A.","non-dropping-particle":"","parse-names":false,"suffix":""},{"dropping-particle":"","family":"Soares","given":"M.","non-dropping-particle":"","parse-names":false,"suffix":""},{"dropping-particle":"","family":"Southern","given":"D.","non-dropping-particle":"","parse-names":false,"suffix":""},{"dropping-particle":"","family":"Spears","given":"M.","non-dropping-particle":"","parse-names":false,"suffix":""},{"dropping-particle":"","family":"Spencer","given":"L. G.","non-dropping-particle":"","parse-names":false,"suffix":""},{"dropping-particle":"","family":"Speranza","given":"F.","non-dropping-particle":"","parse-names":false,"suffix":""},{"dropping-particle":"","family":"Stadon","given":"L.","non-dropping-particle":"","parse-names":false,"suffix":""},{"dropping-particle":"","family":"Stanel","given":"S.","non-dropping-particle":"","parse-names":false,"suffix":""},{"dropping-particle":"","family":"Steiner","given":"M.","non-dropping-particle":"","parse-names":false,"suffix":""},{"dropping-particle":"","family":"Stensel","given":"D.","non-dropping-particle":"","parse-names":false,"suffix":""},{"dropping-particle":"","family":"Stern","given":"M.","non-dropping-particle":"","parse-names":false,"suffix":""},{"dropping-particle":"","family":"Stewart","given":"I.","non-dropping-particle":"","parse-names":false,"suffix":""},{"dropping-particle":"","family":"Stockley","given":"J.","non-dropping-particle":"","parse-names":false,"suffix":""},{"dropping-particle":"","family":"Stone","given":"R.","non-dropping-particle":"","parse-names":false,"suffix":""},{"dropping-particle":"","family":"Storrie","given":"A.","non-dropping-particle":"","parse-names":false,"suffix":""},{"dropping-particle":"","family":"Storton","given":"K.","non-dropping-particle":"","parse-names":false,"suffix":""},{"dropping-particle":"","family":"Stringer","given":"E.","non-dropping-particle":"","parse-names":false,"suffix":""},{"dropping-particle":"","family":"Subbe","given":"C.","non-dropping-particle":"","parse-names":false,"suffix":""},{"dropping-particle":"","family":"Sudlow","given":"C.","non-dropping-particle":"","parse-names":false,"suffix":""},{"dropping-particle":"","family":"Suleiman","given":"Z.","non-dropping-particle":"","parse-names":false,"suffix":""},{"dropping-particle":"","family":"Summers","given":"C.","non-dropping-particle":"","parse-names":false,"suffix":""},{"dropping-particle":"","family":"Summersgill","given":"C.","non-dropping-particle":"","parse-names":false,"suffix":""},{"dropping-particle":"","family":"Sutherland","given":"D.","non-dropping-particle":"","parse-names":false,"suffix":""},{"dropping-particle":"","family":"Sykes","given":"D. L.","non-dropping-particle":"","parse-names":false,"suffix":""},{"dropping-particle":"","family":"Sykes","given":"R.","non-dropping-particle":"","parse-names":false,"suffix":""},{"dropping-particle":"","family":"Talbot","given":"N.","non-dropping-particle":"","parse-names":false,"suffix":""},{"dropping-particle":"","family":"Tan","given":"A. L.","non-dropping-particle":"","parse-names":false,"suffix":""},{"dropping-particle":"","family":"Taylor","given":"C.","non-dropping-particle":"","parse-names":false,"suffix":""},{"dropping-particle":"","family":"Taylor","given":"A.","non-dropping-particle":"","parse-names":false,"suffix":""},{"dropping-particle":"","family":"Te","given":"A.","non-dropping-particle":"","parse-names":false,"suffix":""},{"dropping-particle":"","family":"Tedd","given":"H.","non-dropping-particle":"","parse-names":false,"suffix":""},{"dropping-particle":"","family":"Tee","given":"C. J.","non-dropping-particle":"","parse-names":false,"suffix":""},{"dropping-particle":"","family":"Tench","given":"H.","non-dropping-particle":"","parse-names":false,"suffix":""},{"dropping-particle":"","family":"Terry","given":"S.","non-dropping-particle":"","parse-names":false,"suffix":""},{"dropping-particle":"","family":"Thackray-Nocera","given":"S.","non-dropping-particle":"","parse-names":false,"suffix":""},{"dropping-particle":"","family":"Thaivalappil","given":"F.","non-dropping-particle":"","parse-names":false,"suffix":""},{"dropping-particle":"","family":"Thickett","given":"D.","non-dropping-particle":"","parse-names":false,"suffix":""},{"dropping-particle":"","family":"Thomas","given":"D.","non-dropping-particle":"","parse-names":false,"suffix":""},{"dropping-particle":"","family":"Thomas","given":"D. C.","non-dropping-particle":"","parse-names":false,"suffix":""},{"dropping-particle":"","family":"Thomas","given":"A. K.","non-dropping-particle":"","parse-names":false,"suffix":""},{"dropping-particle":"","family":"Thompson","given":"A. A.R.","non-dropping-particle":"","parse-names":false,"suffix":""},{"dropping-particle":"","family":"Thompson","given":"T.","non-dropping-particle":"","parse-names":false,"suffix":""},{"dropping-particle":"","family":"Thornton","given":"T.","non-dropping-particle":"","parse-names":false,"suffix":""},{"dropping-particle":"","family":"Thwaites","given":"R. S.","non-dropping-particle":"","parse-names":false,"suffix":""},{"dropping-particle":"","family":"Tobin","given":"M.","non-dropping-particle":"","parse-names":false,"suffix":""},{"dropping-particle":"","family":"Toingson","given":"G. F.","non-dropping-particle":"","parse-names":false,"suffix":""},{"dropping-particle":"","family":"Tong","given":"C.","non-dropping-particle":"","parse-names":false,"suffix":""},{"dropping-particle":"","family":"Toshner","given":"M.","non-dropping-particle":"","parse-names":false,"suffix":""},{"dropping-particle":"","family":"Touyz","given":"R.","non-dropping-particle":"","parse-names":false,"suffix":""},{"dropping-particle":"","family":"Tripp","given":"K. A.","non-dropping-particle":"","parse-names":false,"suffix":""},{"dropping-particle":"","family":"Tunnicliffe","given":"E.","non-dropping-particle":"","parse-names":false,"suffix":""},{"dropping-particle":"","family":"Turner","given":"E.","non-dropping-particle":"","parse-names":false,"suffix":""},{"dropping-particle":"","family":"Turtle","given":"L.","non-dropping-particle":"","parse-names":false,"suffix":""},{"dropping-particle":"","family":"Turton","given":"H.","non-dropping-particle":"","parse-names":false,"suffix":""},{"dropping-particle":"","family":"Ugwuoke","given":"R.","non-dropping-particle":"","parse-names":false,"suffix":""},{"dropping-particle":"","family":"Upthegrove","given":"R.","non-dropping-particle":"","parse-names":false,"suffix":""},{"dropping-particle":"","family":"Valabhji","given":"J.","non-dropping-particle":"","parse-names":false,"suffix":""},{"dropping-particle":"","family":"Vellore","given":"K.","non-dropping-particle":"","parse-names":false,"suffix":""},{"dropping-particle":"","family":"Wade","given":"E.","non-dropping-particle":"","parse-names":false,"suffix":""},{"dropping-particle":"V.","family":"Wain","given":"L.","non-dropping-particle":"","parse-names":false,"suffix":""},{"dropping-particle":"","family":"Wajero","given":"L. O.","non-dropping-particle":"","parse-names":false,"suffix":""},{"dropping-particle":"","family":"Walder","given":"S.","non-dropping-particle":"","parse-names":false,"suffix":""},{"dropping-particle":"","family":"Walker","given":"S.","non-dropping-particle":"","parse-names":false,"suffix":""},{"dropping-particle":"","family":"Wall","given":"E.","non-dropping-particle":"","parse-names":false,"suffix":""},{"dropping-particle":"","family":"Wallis","given":"T.","non-dropping-particle":"","parse-names":false,"suffix":""},{"dropping-particle":"","family":"Walmsley","given":"S.","non-dropping-particle":"","parse-names":false,"suffix":""},{"dropping-particle":"","family":"Walsh","given":"S.","non-dropping-particle":"","parse-names":false,"suffix":""},{"dropping-particle":"","family":"Walsh","given":"J. A.","non-dropping-particle":"","parse-names":false,"suffix":""},{"dropping-particle":"","family":"Watson","given":"L.","non-dropping-particle":"","parse-names":false,"suffix":""},{"dropping-particle":"","family":"Watson","given":"J.","non-dropping-particle":"","parse-names":false,"suffix":""},{"dropping-particle":"","family":"Watson","given":"E.","non-dropping-particle":"","parse-names":false,"suffix":""},{"dropping-particle":"","family":"Welch","given":"C.","non-dropping-particle":"","parse-names":false,"suffix":""},{"dropping-particle":"","family":"Welch","given":"H.","non-dropping-particle":"","parse-names":false,"suffix":""},{"dropping-particle":"","family":"Welsh","given":"B.","non-dropping-particle":"","parse-names":false,"suffix":""},{"dropping-particle":"","family":"Wessely","given":"S.","non-dropping-particle":"","parse-names":false,"suffix":""},{"dropping-particle":"","family":"West","given":"S.","non-dropping-particle":"","parse-names":false,"suffix":""},{"dropping-particle":"","family":"Wheeler","given":"H.","non-dropping-particle":"","parse-names":false,"suffix":""},{"dropping-particle":"","family":"Whitehead","given":"V.","non-dropping-particle":"","parse-names":false,"suffix":""},{"dropping-particle":"","family":"Whitney","given":"J.","non-dropping-particle":"","parse-names":false,"suffix":""},{"dropping-particle":"","family":"Whittaker","given":"S.","non-dropping-particle":"","parse-names":false,"suffix":""},{"dropping-particle":"","family":"Whittam","given":"B.","non-dropping-particle":"","parse-names":false,"suffix":""},{"dropping-particle":"","family":"Wild","given":"J.","non-dropping-particle":"","parse-names":false,"suffix":""},{"dropping-particle":"","family":"Wilkins","given":"M.","non-dropping-particle":"","parse-names":false,"suffix":""},{"dropping-particle":"","family":"Wilkinson","given":"D.","non-dropping-particle":"","parse-names":false,"suffix":""},{"dropping-particle":"","family":"Williams","given":"N.","non-dropping-particle":"","parse-names":false,"suffix":""},{"dropping-particle":"","family":"Williams","given":"B.","non-dropping-particle":"","parse-names":false,"suffix":""},{"dropping-particle":"","family":"Williams","given":"J.","non-dropping-particle":"","parse-names":false,"suffix":""},{"dropping-particle":"","family":"Williams-Howard","given":"S. A.","non-dropping-particle":"","parse-names":false,"suffix":""},{"dropping-particle":"","family":"Willicombe","given":"M.","non-dropping-particle":"","parse-names":false,"suffix":""},{"dropping-particle":"","family":"Willis","given":"G.","non-dropping-particle":"","parse-names":false,"suffix":""},{"dropping-particle":"","family":"Wilson","given":"D.","non-dropping-particle":"","parse-names":false,"suffix":""},{"dropping-particle":"","family":"Wilson","given":"I.","non-dropping-particle":"","parse-names":false,"suffix":""},{"dropping-particle":"","family":"Window","given":"N.","non-dropping-particle":"","parse-names":false,"suffix":""},{"dropping-particle":"","family":"Witham","given":"M.","non-dropping-particle":"","parse-names":false,"suffix":""},{"dropping-particle":"","family":"Wolf-Roberts","given":"R.","non-dropping-particle":"","parse-names":false,"suffix":""},{"dropping-particle":"","family":"Woodhead","given":"F.","non-dropping-particle":"","parse-names":false,"suffix":""},{"dropping-particle":"","family":"Woods","given":"J.","non-dropping-particle":"","parse-names":false,"suffix":""},{"dropping-particle":"","family":"Wootton","given":"D.","non-dropping-particle":"","parse-names":false,"suffix":""},{"dropping-particle":"","family":"Worsley","given":"J.","non-dropping-particle":"","parse-names":false,"suffix":""},{"dropping-particle":"","family":"Wraith","given":"D.","non-dropping-particle":"","parse-names":false,"suffix":""},{"dropping-particle":"","family":"Wright","given":"L.","non-dropping-particle":"","parse-names":false,"suffix":""},{"dropping-particle":"","family":"Wright","given":"C.","non-dropping-particle":"","parse-names":false,"suffix":""},{"dropping-particle":"","family":"Wright","given":"S.","non-dropping-particle":"","parse-names":false,"suffix":""},{"dropping-particle":"","family":"Xie","given":"C.","non-dropping-particle":"","parse-names":false,"suffix":""},{"dropping-particle":"","family":"Yasmin","given":"S.","non-dropping-particle":"","parse-names":false,"suffix":""},{"dropping-particle":"","family":"Yates","given":"T.","non-dropping-particle":"","parse-names":false,"suffix":""},{"dropping-particle":"","family":"Yip","given":"K. P.","non-dropping-particle":"","parse-names":false,"suffix":""},{"dropping-particle":"","family":"Young","given":"B.","non-dropping-particle":"","parse-names":false,"suffix":""},{"dropping-particle":"","family":"Young","given":"S.","non-dropping-particle":"","parse-names":false,"suffix":""},{"dropping-particle":"","family":"Young","given":"A.","non-dropping-particle":"","parse-names":false,"suffix":""},{"dropping-particle":"","family":"Yousuf","given":"A. J.","non-dropping-particle":"","parse-names":false,"suffix":""},{"dropping-particle":"","family":"Yousuf","given":"A.","non-dropping-particle":"","parse-names":false,"suffix":""},{"dropping-particle":"","family":"Zawia","given":"A.","non-dropping-particle":"","parse-names":false,"suffix":""},{"dropping-particle":"","family":"Zhao","given":"B.","non-dropping-particle":"","parse-names":false,"suffix":""},{"dropping-particle":"","family":"Zongo","given":"O.","non-dropping-particle":"","parse-names":false,"suffix":""}],"container-title":"The Lancet Respiratory Medicine","id":"ITEM-4","issue":"11","issued":{"date-parts":[["2021"]]},"page":"1275-1287","title":"Physical, cognitive, and mental health impacts of COVID-19 after hospitalisation (PHOSP-COVID): a UK multicentre, prospective cohort study","type":"article-journal","volume":"9"},"uris":["http://www.mendeley.com/documents/?uuid=ee705723-dd67-4ede-bed0-d906c926acdd"]},{"id":"ITEM-5","itemData":{"DOI":"10.1186/s13054-021-03794-0","ISBN":"1305402103","ISSN":"1466609X","PMID":"34749756","abstract":"BACKGROUND: There are few reports of new functional impairment following critical illness from COVID-19. We aimed to describe the incidence of death or new disability, functional impairment and changes in health-related quality of life of patients after COVID-19 critical illness at 6 months. METHODS: In a nationally representative, multicenter, prospective cohort study of COVID-19 critical illness, we determined the prevalence of death or new disability at 6 months, the primary outcome. We measured mortality, new disability and return to work with changes in the World Health Organization Disability Assessment Schedule 2.0 12L (WHODAS) and health status with the EQ5D-5LTM. RESULTS: Of 274 eligible patients, 212 were enrolled from 30 hospitals. The median age was 61 (51-70) years, and 124 (58.5%) patients were male. At 6 months, 43/160 (26.9%) patients died and 42/108 (38.9%) responding survivors reported new disability. Compared to pre-illness, the WHODAS percentage score worsened (mean difference (MD), 10.40% [95% CI 7.06-13.77]; p &lt; 0.001). Thirteen (11.4%) survivors had not returned to work due to poor health. There was a decrease in the EQ-5D-5LTM utility score (MD, - 0.19 [- 0.28 to - 0.10]; p &lt; 0.001). At 6 months, 82 of 115 (71.3%) patients reported persistent symptoms. The independent predictors of death or new disability were higher severity of illness and increased frailty. CONCLUSIONS: At six months after COVID-19 critical illness, death and new disability was substantial. Over a third of survivors had new disability, which was widespread across all areas of functioning. Clinical trial registration NCT04401254 May 26, 2020.","author":[{"dropping-particle":"","family":"Hodgson","given":"Carol L.","non-dropping-particle":"","parse-names":false,"suffix":""},{"dropping-particle":"","family":"Higgins","given":"Alisa M.","non-dropping-particle":"","parse-names":false,"suffix":""},{"dropping-particle":"","family":"Bailey","given":"Michael J.","non-dropping-particle":"","parse-names":false,"suffix":""},{"dropping-particle":"","family":"Mather","given":"Anne M.","non-dropping-particle":"","parse-names":false,"suffix":""},{"dropping-particle":"","family":"Beach","given":"Lisa","non-dropping-particle":"","parse-names":false,"suffix":""},{"dropping-particle":"","family":"Bellomo","given":"Rinaldo","non-dropping-particle":"","parse-names":false,"suffix":""},{"dropping-particle":"","family":"Bissett","given":"Bernie","non-dropping-particle":"","parse-names":false,"suffix":""},{"dropping-particle":"","family":"Boden","given":"Ianthe J.","non-dropping-particle":"","parse-names":false,"suffix":""},{"dropping-particle":"","family":"Bradley","given":"Scott","non-dropping-particle":"","parse-names":false,"suffix":""},{"dropping-particle":"","family":"Burrell","given":"Aidan","non-dropping-particle":"","parse-names":false,"suffix":""},{"dropping-particle":"","family":"Cooper","given":"D. James","non-dropping-particle":"","parse-names":false,"suffix":""},{"dropping-particle":"","family":"Fulcher","given":"Bentley J.","non-dropping-particle":"","parse-names":false,"suffix":""},{"dropping-particle":"","family":"Haines","given":"Kimberley J.","non-dropping-particle":"","parse-names":false,"suffix":""},{"dropping-particle":"","family":"Hopkins","given":"Jack","non-dropping-particle":"","parse-names":false,"suffix":""},{"dropping-particle":"","family":"Jones","given":"Alice Y.M.","non-dropping-particle":"","parse-names":false,"suffix":""},{"dropping-particle":"","family":"Lane","given":"Stuart","non-dropping-particle":"","parse-names":false,"suffix":""},{"dropping-particle":"","family":"Lawrence","given":"Drew","non-dropping-particle":"","parse-names":false,"suffix":""},{"dropping-particle":"","family":"Lee","given":"Lisa","non-dropping-particle":"van der","parse-names":false,"suffix":""},{"dropping-particle":"","family":"Liacos","given":"Jennifer","non-dropping-particle":"","parse-names":false,"suffix":""},{"dropping-particle":"","family":"Linke","given":"Natalie J.","non-dropping-particle":"","parse-names":false,"suffix":""},{"dropping-particle":"","family":"Gomes","given":"Lonni Marques","non-dropping-particle":"","parse-names":false,"suffix":""},{"dropping-particle":"","family":"Nickels","given":"Marc","non-dropping-particle":"","parse-names":false,"suffix":""},{"dropping-particle":"","family":"Ntoumenopoulos","given":"George","non-dropping-particle":"","parse-names":false,"suffix":""},{"dropping-particle":"","family":"Myles","given":"Paul S.","non-dropping-particle":"","parse-names":false,"suffix":""},{"dropping-particle":"","family":"Patman","given":"Shane","non-dropping-particle":"","parse-names":false,"suffix":""},{"dropping-particle":"","family":"Paton","given":"Michelle","non-dropping-particle":"","parse-names":false,"suffix":""},{"dropping-particle":"","family":"Pound","given":"Gemma","non-dropping-particle":"","parse-names":false,"suffix":""},{"dropping-particle":"","family":"Rai","given":"Sumeet","non-dropping-particle":"","parse-names":false,"suffix":""},{"dropping-particle":"","family":"Rix","given":"Alana","non-dropping-particle":"","parse-names":false,"suffix":""},{"dropping-particle":"","family":"Rollinson","given":"Thomas C.","non-dropping-particle":"","parse-names":false,"suffix":""},{"dropping-particle":"","family":"Sivasuthan","given":"Janani","non-dropping-particle":"","parse-names":false,"suffix":""},{"dropping-particle":"","family":"Tipping","given":"Claire J.","non-dropping-particle":"","parse-names":false,"suffix":""},{"dropping-particle":"","family":"Thomas","given":"Peter","non-dropping-particle":"","parse-names":false,"suffix":""},{"dropping-particle":"","family":"Trapani","given":"Tony","non-dropping-particle":"","parse-names":false,"suffix":""},{"dropping-particle":"","family":"Udy","given":"Andrew A.","non-dropping-particle":"","parse-names":false,"suffix":""},{"dropping-particle":"","family":"Whitehead","given":"Christina","non-dropping-particle":"","parse-names":false,"suffix":""},{"dropping-particle":"","family":"Hodgson","given":"Isabelle T.","non-dropping-particle":"","parse-names":false,"suffix":""},{"dropping-particle":"","family":"Anderson","given":"Shannah","non-dropping-particle":"","parse-names":false,"suffix":""},{"dropping-particle":"","family":"Neto","given":"Ary Serpa","non-dropping-particle":"","parse-names":false,"suffix":""}],"container-title":"Critical care (London, England)","id":"ITEM-5","issue":"1","issued":{"date-parts":[["2021"]]},"page":"382","title":"The impact of COVID-19 critical illness on new disability, functional outcomes and return to work at 6 months: a prospective cohort study","type":"article-journal","volume":"25"},"uris":["http://www.mendeley.com/documents/?uuid=8244f59a-bf6d-4c1b-b655-944c64baaf6d"]},{"id":"ITEM-6","itemData":{"DOI":"10.1097/cce.0000000000000595","ISBN":"0000000000000","abstract":"IMPORTANCE: Postintensive care syndrome has a strong impact on coronavirus disease 2019 survivors.OBJECTIVES: Assess the 1-year prevalence of postintensive care syndrome after coronavirus disease 2019.DESIGN SETTING AND PARTICIPANTS: This was a single-center prospective cohort using questionnaires and telephone calls from 4 months to 1 year after ICU discharge. Patients who were treated for coronavirus disease 2019-related acute respiratory distress between March 19, 2020, and April 30, 2020, participated.MAIN OUTCOMES AND MEASURES: Postintensive care syndrome was evaluated according to physical, mental, and cognitive domains. We surveyed the 8-item standardized Short Form questionnaire for assessing physical postintensive care syndrome; the Impact of Event Scale-Revised and the Hospital Anxiety and Depression Scale for assessing mental postintensive care syndrome; and Short-Memory Questionnaire for assessing cognitive postintensive care syndrome. The primary outcome was postintensive care syndrome occurrence of any domain at 1 year. Furthermore, the co-occurrence of the three postintensive care syndrome domains was assessed.RESULTS: Eighteen patients consented to the study and completed the survey. The median age was 57.5 years, and 78% of the patients were male. Median Acute Physiology and Chronic Health Evaluation-II score was 18. During ICU stay, 78% received invasive mechanical ventilation, and 83% received systemic steroid administration. Early mobilization was implemented in 61%. Delirium occurred in 44%. The median days of ICU and hospital stay were 6 and 23.5, respectively. Overall postintensive care syndrome occurrence was 67%. Physical, mental, and cognitive postintensive care syndrome occurred in 56%, 50%, and 33% of patients, respectively. The co-occurrence of all three domains of postintensive care syndrome was 28%. Age and Acute Physiology and Chronic Health Evaluation-II scores were higher, and systemic steroids were more commonly used in the postintensive care syndrome groups compared with the nonpostintensive care syndrome groups. Chronic symptoms were more common in the postintensive care syndrome groups than the nonpostintensive care syndrome groups.CONCLUSIONS AND RELEVANCE: Patients who suffered critical illness from coronavirus disease 2019 had a high frequency of postintensive care syndrome after 1 year. Long-term follow-up and care should be continuously offered.","author":[{"dropping-particle":"","family":"Banno","given":"Aya","non-dropping-particle":"","parse-names":false,"suffix":""},{"dropping-particle":"","family":"Hifumi","given":"Toru","non-dropping-particle":"","parse-names":false,"suffix":""},{"dropping-particle":"","family":"Takahashi","given":"Yuta","non-dropping-particle":"","parse-names":false,"suffix":""},{"dropping-particle":"","family":"Soh","given":"Mitsuhito","non-dropping-particle":"","parse-names":false,"suffix":""},{"dropping-particle":"","family":"Sakaguchi","given":"Ayako","non-dropping-particle":"","parse-names":false,"suffix":""},{"dropping-particle":"","family":"Shimano","given":"Shodai","non-dropping-particle":"","parse-names":false,"suffix":""},{"dropping-particle":"","family":"Miyahara","given":"Yoshie","non-dropping-particle":"","parse-names":false,"suffix":""},{"dropping-particle":"","family":"Isokawa","given":"Shutaro","non-dropping-particle":"","parse-names":false,"suffix":""},{"dropping-particle":"","family":"Ishii","given":"Kenji","non-dropping-particle":"","parse-names":false,"suffix":""},{"dropping-particle":"","family":"Aoki","given":"Kazuhiro","non-dropping-particle":"","parse-names":false,"suffix":""},{"dropping-particle":"","family":"Otani","given":"Norio","non-dropping-particle":"","parse-names":false,"suffix":""},{"dropping-particle":"","family":"Ishimatsu","given":"Shinichi","non-dropping-particle":"","parse-names":false,"suffix":""}],"container-title":"Critical Care Explorations","id":"ITEM-6","issue":"12","issued":{"date-parts":[["2021"]]},"page":"e0595","title":"One-Year Outcomes of Postintensive Care Syndrome in Critically Ill Coronavirus Disease 2019 Patients: A Single Institutional Study","type":"article-journal","volume":"3"},"uris":["http://www.mendeley.com/documents/?uuid=784b7feb-5ce2-4795-92a1-6a773fe5f83b"]},{"id":"ITEM-7","itemData":{"DOI":"10.1097/cce.0000000000000673","ISBN":"0000000000000","abstract":"10.1164/ajrccm-conference.2021.203.1_MeetingAbstracts.A1211","author":[{"dropping-particle":"","family":"Maley","given":"Jason H.","non-dropping-particle":"","parse-names":false,"suffix":""},{"dropping-particle":"","family":"Sandsmark","given":"Danielle K.","non-dropping-particle":"","parse-names":false,"suffix":""},{"dropping-particle":"","family":"Trainor","given":"Alison","non-dropping-particle":"","parse-names":false,"suffix":""},{"dropping-particle":"","family":"Bass","given":"Geoffrey D.","non-dropping-particle":"","parse-names":false,"suffix":""},{"dropping-particle":"","family":"Dabrowski","given":"Cian L.","non-dropping-particle":"","parse-names":false,"suffix":""},{"dropping-particle":"","family":"Magdamo","given":"Brigid A.","non-dropping-particle":"","parse-names":false,"suffix":""},{"dropping-particle":"","family":"Durkin","given":"Bridget","non-dropping-particle":"","parse-names":false,"suffix":""},{"dropping-particle":"","family":"Hayes","given":"Margaret M.","non-dropping-particle":"","parse-names":false,"suffix":""},{"dropping-particle":"","family":"Schwartzstein","given":"Richard M.","non-dropping-particle":"","parse-names":false,"suffix":""},{"dropping-particle":"","family":"Stevens","given":"Jennifer P.","non-dropping-particle":"","parse-names":false,"suffix":""},{"dropping-particle":"","family":"Kaplan","given":"Lewis J.","non-dropping-particle":"","parse-names":false,"suffix":""},{"dropping-particle":"","family":"Mikkelsen","given":"Mark E.","non-dropping-particle":"","parse-names":false,"suffix":""},{"dropping-particle":"","family":"Lane-Fall","given":"Meghan B.","non-dropping-particle":"","parse-names":false,"suffix":""}],"container-title":"Critical Care Explorations","id":"ITEM-7","issue":"4","issued":{"date-parts":[["2022"]]},"page":"e0673","title":"Six-Month Impairment in Cognition, Mental Health, and Physical Function Following COVID-19–Associated Respiratory Failure","type":"article-journal","volume":"4"},"uris":["http://www.mendeley.com/documents/?uuid=50b14403-2dfa-4960-b102-d89fa7349539"]}],"mendeley":{"formattedCitation":"(19,21,38–42)","plainTextFormattedCitation":"(19,21,38–42)","previouslyFormattedCitation":"(19,21,38–42)"},"properties":{"noteIndex":0},"schema":"https://github.com/citation-style-language/schema/raw/master/csl-citation.json"}</w:instrText>
      </w:r>
      <w:r w:rsidR="5E156440" w:rsidRPr="16C47A3A">
        <w:rPr>
          <w:rFonts w:ascii="Times New Roman" w:hAnsi="Times New Roman" w:cs="Times New Roman"/>
          <w:sz w:val="24"/>
          <w:szCs w:val="24"/>
        </w:rPr>
        <w:fldChar w:fldCharType="separate"/>
      </w:r>
      <w:r w:rsidR="00105048" w:rsidRPr="16C47A3A">
        <w:rPr>
          <w:rFonts w:ascii="Times New Roman" w:hAnsi="Times New Roman" w:cs="Times New Roman"/>
          <w:noProof/>
          <w:sz w:val="24"/>
          <w:szCs w:val="24"/>
          <w:lang w:val="es-419"/>
        </w:rPr>
        <w:t>(19,21,38–42)</w:t>
      </w:r>
      <w:r w:rsidR="5E156440" w:rsidRPr="16C47A3A">
        <w:rPr>
          <w:rFonts w:ascii="Times New Roman" w:hAnsi="Times New Roman" w:cs="Times New Roman"/>
          <w:sz w:val="24"/>
          <w:szCs w:val="24"/>
        </w:rPr>
        <w:fldChar w:fldCharType="end"/>
      </w:r>
      <w:r w:rsidR="5175513C" w:rsidRPr="16C47A3A">
        <w:rPr>
          <w:rFonts w:ascii="Times New Roman" w:hAnsi="Times New Roman" w:cs="Times New Roman"/>
          <w:color w:val="FF0000"/>
          <w:sz w:val="24"/>
          <w:szCs w:val="24"/>
          <w:lang w:val="es-419"/>
        </w:rPr>
        <w:t xml:space="preserve"> </w:t>
      </w:r>
      <w:r w:rsidR="630A64C7" w:rsidRPr="16C47A3A">
        <w:rPr>
          <w:rFonts w:ascii="Times New Roman" w:hAnsi="Times New Roman" w:cs="Times New Roman"/>
          <w:sz w:val="24"/>
          <w:szCs w:val="24"/>
          <w:lang w:val="es-419"/>
        </w:rPr>
        <w:t xml:space="preserve">En nuestra muestra, los pacientes que tuvieron infección por COVID-19 </w:t>
      </w:r>
      <w:r w:rsidR="575D2CC7" w:rsidRPr="16C47A3A">
        <w:rPr>
          <w:rFonts w:ascii="Times New Roman" w:hAnsi="Times New Roman" w:cs="Times New Roman"/>
          <w:sz w:val="24"/>
          <w:szCs w:val="24"/>
          <w:lang w:val="es-419"/>
        </w:rPr>
        <w:t>tenían similar edad</w:t>
      </w:r>
      <w:r w:rsidR="1DCE14ED" w:rsidRPr="16C47A3A">
        <w:rPr>
          <w:rFonts w:ascii="Times New Roman" w:hAnsi="Times New Roman" w:cs="Times New Roman"/>
          <w:sz w:val="24"/>
          <w:szCs w:val="24"/>
          <w:lang w:val="es-419"/>
        </w:rPr>
        <w:t xml:space="preserve">, más comorbilidades </w:t>
      </w:r>
      <w:r w:rsidR="575D2CC7" w:rsidRPr="16C47A3A">
        <w:rPr>
          <w:rFonts w:ascii="Times New Roman" w:hAnsi="Times New Roman" w:cs="Times New Roman"/>
          <w:sz w:val="24"/>
          <w:szCs w:val="24"/>
          <w:lang w:val="es-419"/>
        </w:rPr>
        <w:t>y tuvieron algunos días más de VM</w:t>
      </w:r>
      <w:r w:rsidR="0B6A32FF" w:rsidRPr="16C47A3A">
        <w:rPr>
          <w:rFonts w:ascii="Times New Roman" w:hAnsi="Times New Roman" w:cs="Times New Roman"/>
          <w:sz w:val="24"/>
          <w:szCs w:val="24"/>
          <w:lang w:val="es-419"/>
        </w:rPr>
        <w:t xml:space="preserve"> q</w:t>
      </w:r>
      <w:r w:rsidR="0A1631B6" w:rsidRPr="16C47A3A">
        <w:rPr>
          <w:rFonts w:ascii="Times New Roman" w:hAnsi="Times New Roman" w:cs="Times New Roman"/>
          <w:sz w:val="24"/>
          <w:szCs w:val="24"/>
          <w:lang w:val="es-419"/>
        </w:rPr>
        <w:t>ue los pacientes sin infección por COVID-19</w:t>
      </w:r>
      <w:r w:rsidR="575D2CC7" w:rsidRPr="16C47A3A">
        <w:rPr>
          <w:rFonts w:ascii="Times New Roman" w:hAnsi="Times New Roman" w:cs="Times New Roman"/>
          <w:sz w:val="24"/>
          <w:szCs w:val="24"/>
          <w:lang w:val="es-419"/>
        </w:rPr>
        <w:t xml:space="preserve">. </w:t>
      </w:r>
      <w:r w:rsidR="4C80CA20" w:rsidRPr="16C47A3A">
        <w:rPr>
          <w:rFonts w:ascii="Times New Roman" w:hAnsi="Times New Roman" w:cs="Times New Roman"/>
          <w:sz w:val="24"/>
          <w:szCs w:val="24"/>
          <w:lang w:val="es-419"/>
        </w:rPr>
        <w:t>Aquellos</w:t>
      </w:r>
      <w:r w:rsidR="0A1631B6" w:rsidRPr="16C47A3A">
        <w:rPr>
          <w:rFonts w:ascii="Times New Roman" w:hAnsi="Times New Roman" w:cs="Times New Roman"/>
          <w:sz w:val="24"/>
          <w:szCs w:val="24"/>
          <w:lang w:val="es-419"/>
        </w:rPr>
        <w:t xml:space="preserve"> pacientes que ingresaron por COVID-19 también</w:t>
      </w:r>
      <w:r w:rsidR="575D2CC7" w:rsidRPr="16C47A3A">
        <w:rPr>
          <w:rFonts w:ascii="Times New Roman" w:hAnsi="Times New Roman" w:cs="Times New Roman"/>
          <w:sz w:val="24"/>
          <w:szCs w:val="24"/>
          <w:lang w:val="es-419"/>
        </w:rPr>
        <w:t xml:space="preserve"> </w:t>
      </w:r>
      <w:r w:rsidR="630A64C7" w:rsidRPr="16C47A3A">
        <w:rPr>
          <w:rFonts w:ascii="Times New Roman" w:hAnsi="Times New Roman" w:cs="Times New Roman"/>
          <w:sz w:val="24"/>
          <w:szCs w:val="24"/>
          <w:lang w:val="es-419"/>
        </w:rPr>
        <w:t>concentraba</w:t>
      </w:r>
      <w:r w:rsidR="575D2CC7" w:rsidRPr="16C47A3A">
        <w:rPr>
          <w:rFonts w:ascii="Times New Roman" w:hAnsi="Times New Roman" w:cs="Times New Roman"/>
          <w:sz w:val="24"/>
          <w:szCs w:val="24"/>
          <w:lang w:val="es-419"/>
        </w:rPr>
        <w:t>n</w:t>
      </w:r>
      <w:r w:rsidR="630A64C7" w:rsidRPr="16C47A3A">
        <w:rPr>
          <w:rFonts w:ascii="Times New Roman" w:hAnsi="Times New Roman" w:cs="Times New Roman"/>
          <w:sz w:val="24"/>
          <w:szCs w:val="24"/>
          <w:lang w:val="es-419"/>
        </w:rPr>
        <w:t xml:space="preserve"> a los que tenían &lt; 8 años de educación, haciend</w:t>
      </w:r>
      <w:r w:rsidR="575D2CC7" w:rsidRPr="16C47A3A">
        <w:rPr>
          <w:rFonts w:ascii="Times New Roman" w:hAnsi="Times New Roman" w:cs="Times New Roman"/>
          <w:sz w:val="24"/>
          <w:szCs w:val="24"/>
          <w:lang w:val="es-419"/>
        </w:rPr>
        <w:t xml:space="preserve">o </w:t>
      </w:r>
      <w:r w:rsidR="630A64C7" w:rsidRPr="16C47A3A">
        <w:rPr>
          <w:rFonts w:ascii="Times New Roman" w:hAnsi="Times New Roman" w:cs="Times New Roman"/>
          <w:sz w:val="24"/>
          <w:szCs w:val="24"/>
          <w:lang w:val="es-419"/>
        </w:rPr>
        <w:t xml:space="preserve">posible que </w:t>
      </w:r>
      <w:r w:rsidR="575D2CC7" w:rsidRPr="16C47A3A">
        <w:rPr>
          <w:rFonts w:ascii="Times New Roman" w:hAnsi="Times New Roman" w:cs="Times New Roman"/>
          <w:sz w:val="24"/>
          <w:szCs w:val="24"/>
          <w:lang w:val="es-419"/>
        </w:rPr>
        <w:t xml:space="preserve">el diagnóstico </w:t>
      </w:r>
      <w:r w:rsidR="630A64C7" w:rsidRPr="16C47A3A">
        <w:rPr>
          <w:rFonts w:ascii="Times New Roman" w:hAnsi="Times New Roman" w:cs="Times New Roman"/>
          <w:sz w:val="24"/>
          <w:szCs w:val="24"/>
          <w:lang w:val="es-419"/>
        </w:rPr>
        <w:t>no fuera relevante para el outcome principal</w:t>
      </w:r>
      <w:r w:rsidR="575D2CC7" w:rsidRPr="16C47A3A">
        <w:rPr>
          <w:rFonts w:ascii="Times New Roman" w:hAnsi="Times New Roman" w:cs="Times New Roman"/>
          <w:sz w:val="24"/>
          <w:szCs w:val="24"/>
          <w:lang w:val="es-419"/>
        </w:rPr>
        <w:t xml:space="preserve">. </w:t>
      </w:r>
    </w:p>
    <w:p w14:paraId="171844B4" w14:textId="683683F6" w:rsidR="0084495C" w:rsidRPr="00557263" w:rsidRDefault="70E0D400" w:rsidP="0039189E">
      <w:pPr>
        <w:spacing w:line="360" w:lineRule="auto"/>
        <w:ind w:right="709"/>
        <w:jc w:val="both"/>
        <w:rPr>
          <w:rFonts w:ascii="Times New Roman" w:hAnsi="Times New Roman" w:cs="Times New Roman"/>
          <w:sz w:val="24"/>
          <w:szCs w:val="24"/>
          <w:lang w:val="es-419"/>
        </w:rPr>
      </w:pPr>
      <w:r w:rsidRPr="16C47A3A">
        <w:rPr>
          <w:rFonts w:ascii="Times New Roman" w:hAnsi="Times New Roman" w:cs="Times New Roman"/>
          <w:sz w:val="24"/>
          <w:szCs w:val="24"/>
          <w:lang w:val="es-419"/>
        </w:rPr>
        <w:t>Algunos autores reportaron que la alta carga asistencial de los funcionarios durante la pandemia por COVID-19 y la sobrecarga emocional</w:t>
      </w:r>
      <w:r w:rsidR="00AE3F43" w:rsidRPr="16C47A3A">
        <w:rPr>
          <w:rFonts w:ascii="Times New Roman" w:hAnsi="Times New Roman" w:cs="Times New Roman"/>
          <w:sz w:val="24"/>
          <w:szCs w:val="24"/>
          <w:lang w:val="es-419"/>
        </w:rPr>
        <w:t xml:space="preserve"> podría </w:t>
      </w:r>
      <w:r w:rsidRPr="16C47A3A">
        <w:rPr>
          <w:rFonts w:ascii="Times New Roman" w:hAnsi="Times New Roman" w:cs="Times New Roman"/>
          <w:sz w:val="24"/>
          <w:szCs w:val="24"/>
          <w:lang w:val="es-419"/>
        </w:rPr>
        <w:t>favorec</w:t>
      </w:r>
      <w:r w:rsidR="00CB21B6" w:rsidRPr="16C47A3A">
        <w:rPr>
          <w:rFonts w:ascii="Times New Roman" w:hAnsi="Times New Roman" w:cs="Times New Roman"/>
          <w:sz w:val="24"/>
          <w:szCs w:val="24"/>
          <w:lang w:val="es-419"/>
        </w:rPr>
        <w:t>er</w:t>
      </w:r>
      <w:r w:rsidRPr="16C47A3A">
        <w:rPr>
          <w:rFonts w:ascii="Times New Roman" w:hAnsi="Times New Roman" w:cs="Times New Roman"/>
          <w:sz w:val="24"/>
          <w:szCs w:val="24"/>
          <w:lang w:val="es-419"/>
        </w:rPr>
        <w:t xml:space="preserve"> el delirium en los pacientes de UCI. </w:t>
      </w:r>
      <w:r w:rsidRPr="16C47A3A">
        <w:rPr>
          <w:rFonts w:ascii="Times New Roman" w:hAnsi="Times New Roman" w:cs="Times New Roman"/>
          <w:sz w:val="24"/>
          <w:szCs w:val="24"/>
          <w:lang w:val="es-419"/>
        </w:rPr>
        <w:fldChar w:fldCharType="begin" w:fldLock="1"/>
      </w:r>
      <w:r w:rsidRPr="16C47A3A">
        <w:rPr>
          <w:rFonts w:ascii="Times New Roman" w:hAnsi="Times New Roman" w:cs="Times New Roman"/>
          <w:sz w:val="24"/>
          <w:szCs w:val="24"/>
          <w:lang w:val="es-419"/>
        </w:rPr>
        <w:instrText>ADDIN CSL_CITATION {"citationItems":[{"id":"ITEM-1","itemData":{"DOI":"10.1186/s13054-020-02882-x","ISSN":"1466609X","PMID":"32345343","abstract":"The novel coronavirus, SARS-CoV-2-causing Coronavirus Disease 19 (COVID-19), emerged as a public health threat in December 2019 and was declared a pandemic by the World Health Organization in March 2020. Delirium, a dangerous untoward prognostic development, serves as a barometer of systemic injury in critical illness. The early reports of 25% encephalopathy from China are likely a gross underestimation, which we know occurs whenever delirium is not monitored with a valid tool. Indeed, patients with COVID-19 are at accelerated risk for delirium due to at least seven factors including (1) direct central nervous system (CNS) invasion, (2) induction of CNS inflammatory mediators, (3) secondary effect of other organ system failure, (4) effect of sedative strategies, (5) prolonged mechanical ventilation time, (6) immobilization, and (7) other needed but unfortunate environmental factors including social isolation and quarantine without family. Given early insights into the pathobiology of the virus, as well as the emerging interventions utilized to treat the critically ill patients, delirium prevention and management will prove exceedingly challenging, especially in the intensive care unit (ICU). The main focus during the COVID-19 pandemic lies within organizational issues, i.e., lack of ventilators, shortage of personal protection equipment, resource allocation, prioritization of limited mechanical ventilation options, and end-of-life care. However, the standard of care for ICU patients, including delirium management, must remain the highest quality possible with an eye towards long-term survival and minimization of issues related to post-intensive care syndrome (PICS). This article discusses how ICU professionals (e.g., physicians, nurses, physiotherapists, pharmacologists) can use our knowledge and resources to limit the burden of delirium on patients by reducing modifiable risk factors despite the imposed heavy workload and difficult clinical challenges posed by the pandemic.","author":[{"dropping-particle":"","family":"Kotfis","given":"Katarzyna","non-dropping-particle":"","parse-names":false,"suffix":""},{"dropping-particle":"","family":"Williams Roberson","given":"Shawniqua","non-dropping-particle":"","parse-names":false,"suffix":""},{"dropping-particle":"","family":"Wilson","given":"Jo Ellen","non-dropping-particle":"","parse-names":false,"suffix":""},{"dropping-particle":"","family":"Dabrowski","given":"Wojciech","non-dropping-particle":"","parse-names":false,"suffix":""},{"dropping-particle":"","family":"Pun","given":"Brenda T.","non-dropping-particle":"","parse-names":false,"suffix":""},{"dropping-particle":"","family":"Ely","given":"E. Wesley","non-dropping-particle":"","parse-names":false,"suffix":""}],"container-title":"Critical Care","id":"ITEM-1","issue":"1","issued":{"date-parts":[["2020"]]},"page":"1-9","publisher":"Critical Care","title":"COVID-19: ICU delirium management during SARS-CoV-2 pandemic","type":"article-journal","volume":"24"},"uris":["http://www.mendeley.com/documents/?uuid=e3e03c0a-1823-4ab2-acef-0e768894bcea"]}],"mendeley":{"formattedCitation":"(15)","plainTextFormattedCitation":"(15)","previouslyFormattedCitation":"(15)"},"properties":{"noteIndex":0},"schema":"https://github.com/citation-style-language/schema/raw/master/csl-citation.json"}</w:instrText>
      </w:r>
      <w:r w:rsidRPr="16C47A3A">
        <w:rPr>
          <w:rFonts w:ascii="Times New Roman" w:hAnsi="Times New Roman" w:cs="Times New Roman"/>
          <w:sz w:val="24"/>
          <w:szCs w:val="24"/>
          <w:lang w:val="es-419"/>
        </w:rPr>
        <w:fldChar w:fldCharType="separate"/>
      </w:r>
      <w:r w:rsidR="00105048" w:rsidRPr="16C47A3A">
        <w:rPr>
          <w:rFonts w:ascii="Times New Roman" w:hAnsi="Times New Roman" w:cs="Times New Roman"/>
          <w:noProof/>
          <w:sz w:val="24"/>
          <w:szCs w:val="24"/>
          <w:lang w:val="es-419"/>
        </w:rPr>
        <w:t>(15)</w:t>
      </w:r>
      <w:r w:rsidRPr="16C47A3A">
        <w:rPr>
          <w:rFonts w:ascii="Times New Roman" w:hAnsi="Times New Roman" w:cs="Times New Roman"/>
          <w:sz w:val="24"/>
          <w:szCs w:val="24"/>
          <w:lang w:val="es-419"/>
        </w:rPr>
        <w:fldChar w:fldCharType="end"/>
      </w:r>
      <w:r w:rsidR="00D058B1" w:rsidRPr="16C47A3A">
        <w:rPr>
          <w:rFonts w:ascii="Times New Roman" w:hAnsi="Times New Roman" w:cs="Times New Roman"/>
          <w:sz w:val="24"/>
          <w:szCs w:val="24"/>
          <w:lang w:val="es-419"/>
        </w:rPr>
        <w:t xml:space="preserve"> </w:t>
      </w:r>
      <w:r w:rsidR="00E27A1A" w:rsidRPr="16C47A3A">
        <w:rPr>
          <w:rFonts w:ascii="Times New Roman" w:hAnsi="Times New Roman" w:cs="Times New Roman"/>
          <w:sz w:val="24"/>
          <w:szCs w:val="24"/>
          <w:lang w:val="es-419"/>
        </w:rPr>
        <w:t xml:space="preserve">Otros estudios </w:t>
      </w:r>
      <w:r w:rsidR="00D058B1" w:rsidRPr="16C47A3A">
        <w:rPr>
          <w:rFonts w:ascii="Times New Roman" w:hAnsi="Times New Roman" w:cs="Times New Roman"/>
          <w:sz w:val="24"/>
          <w:szCs w:val="24"/>
          <w:lang w:val="es-419"/>
        </w:rPr>
        <w:t xml:space="preserve">han reportado que la ocupación de camas sobre el 85-90% </w:t>
      </w:r>
      <w:r w:rsidR="00E27A1A" w:rsidRPr="16C47A3A">
        <w:rPr>
          <w:rFonts w:ascii="Times New Roman" w:hAnsi="Times New Roman" w:cs="Times New Roman"/>
          <w:sz w:val="24"/>
          <w:szCs w:val="24"/>
          <w:lang w:val="es-419"/>
        </w:rPr>
        <w:t>disminuye la calidad de la atención</w:t>
      </w:r>
      <w:r w:rsidRPr="16C47A3A">
        <w:rPr>
          <w:rFonts w:ascii="Times New Roman" w:hAnsi="Times New Roman" w:cs="Times New Roman"/>
          <w:sz w:val="24"/>
          <w:szCs w:val="24"/>
          <w:lang w:val="es-419"/>
        </w:rPr>
        <w:fldChar w:fldCharType="begin" w:fldLock="1"/>
      </w:r>
      <w:r w:rsidRPr="16C47A3A">
        <w:rPr>
          <w:rFonts w:ascii="Times New Roman" w:hAnsi="Times New Roman" w:cs="Times New Roman"/>
          <w:sz w:val="24"/>
          <w:szCs w:val="24"/>
          <w:lang w:val="es-419"/>
        </w:rPr>
        <w:instrText>ADDIN CSL_CITATION {"citationItems":[{"id":"ITEM-1","itemData":{"DOI":"10.1007/s10198-022-01464-8","ISBN":"0123456789","ISSN":"16187601","PMID":"35579804","abstract":"We study whether hospitals that exhibit systematically higher bed occupancy rates are associated with lower quality in England over 2010/11–2017/18. We develop an economic conceptual framework to guide our empirical analysis and run regressions to inform possible policy interventions. First, we run a pooled OLS regression to test if high bed occupancy is associated with, and therefore acts as a signal of, lower quality, which could trigger additional regulation. Second, we test whether this association is explained by exogenous demand–supply factors such as potential demand, and unavoidable costs. Third, we include determinants of bed occupancy (beds, length of stay, and volume) that might be associated with quality directly, rather than indirectly through bed occupancy. Last, we use a within-between random-effects specification to decompose these associations into those due to variations in characteristics between hospitals and variations within hospitals. We find that bed occupancy rates are positively associated with overall and surgical mortality, negatively associated with patient-reported health gains, but not associated with other indicators. These results are robust to controlling for demand–supply shifters, beds, and volume. The associations reduce by 12%-25% after controlling for length of stay in most cases and are explained by variations in bed occupancy between hospitals.","author":[{"dropping-particle":"","family":"Bosque-Mercader","given":"Laia","non-dropping-particle":"","parse-names":false,"suffix":""},{"dropping-particle":"","family":"Siciliani","given":"Luigi","non-dropping-particle":"","parse-names":false,"suffix":""}],"container-title":"European Journal of Health Economics","id":"ITEM-1","issue":"2","issued":{"date-parts":[["2023"]]},"page":"209-236","publisher":"Springer Berlin Heidelberg","title":"The association between bed occupancy rates and hospital quality in the English National Health Service","type":"article-journal","volume":"24"},"uris":["http://www.mendeley.com/documents/?uuid=a3092801-333a-4265-9357-fd153b8ab890"]}],"mendeley":{"formattedCitation":"(43)","plainTextFormattedCitation":"(43)","previouslyFormattedCitation":"(43)"},"properties":{"noteIndex":0},"schema":"https://github.com/citation-style-language/schema/raw/master/csl-citation.json"}</w:instrText>
      </w:r>
      <w:r w:rsidRPr="16C47A3A">
        <w:rPr>
          <w:rFonts w:ascii="Times New Roman" w:hAnsi="Times New Roman" w:cs="Times New Roman"/>
          <w:sz w:val="24"/>
          <w:szCs w:val="24"/>
          <w:lang w:val="es-419"/>
        </w:rPr>
        <w:fldChar w:fldCharType="separate"/>
      </w:r>
      <w:r w:rsidR="00105048" w:rsidRPr="16C47A3A">
        <w:rPr>
          <w:rFonts w:ascii="Times New Roman" w:hAnsi="Times New Roman" w:cs="Times New Roman"/>
          <w:noProof/>
          <w:sz w:val="24"/>
          <w:szCs w:val="24"/>
          <w:lang w:val="es-419"/>
        </w:rPr>
        <w:t>(43)</w:t>
      </w:r>
      <w:r w:rsidRPr="16C47A3A">
        <w:rPr>
          <w:rFonts w:ascii="Times New Roman" w:hAnsi="Times New Roman" w:cs="Times New Roman"/>
          <w:sz w:val="24"/>
          <w:szCs w:val="24"/>
          <w:lang w:val="es-419"/>
        </w:rPr>
        <w:fldChar w:fldCharType="end"/>
      </w:r>
      <w:r w:rsidR="00E27A1A" w:rsidRPr="16C47A3A">
        <w:rPr>
          <w:rFonts w:ascii="Times New Roman" w:hAnsi="Times New Roman" w:cs="Times New Roman"/>
          <w:sz w:val="24"/>
          <w:szCs w:val="24"/>
          <w:lang w:val="es-419"/>
        </w:rPr>
        <w:t xml:space="preserve"> y aumenta el riesgo de </w:t>
      </w:r>
      <w:r w:rsidR="002036EE" w:rsidRPr="16C47A3A">
        <w:rPr>
          <w:rFonts w:ascii="Times New Roman" w:hAnsi="Times New Roman" w:cs="Times New Roman"/>
          <w:sz w:val="24"/>
          <w:szCs w:val="24"/>
          <w:lang w:val="es-419"/>
        </w:rPr>
        <w:t>re</w:t>
      </w:r>
      <w:r w:rsidR="00E27A1A" w:rsidRPr="16C47A3A">
        <w:rPr>
          <w:rFonts w:ascii="Times New Roman" w:hAnsi="Times New Roman" w:cs="Times New Roman"/>
          <w:sz w:val="24"/>
          <w:szCs w:val="24"/>
          <w:lang w:val="es-419"/>
        </w:rPr>
        <w:t>admisión</w:t>
      </w:r>
      <w:r w:rsidRPr="16C47A3A">
        <w:rPr>
          <w:rFonts w:ascii="Times New Roman" w:hAnsi="Times New Roman" w:cs="Times New Roman"/>
          <w:sz w:val="24"/>
          <w:szCs w:val="24"/>
          <w:lang w:val="es-419"/>
        </w:rPr>
        <w:fldChar w:fldCharType="begin" w:fldLock="1"/>
      </w:r>
      <w:r w:rsidRPr="16C47A3A">
        <w:rPr>
          <w:rFonts w:ascii="Times New Roman" w:hAnsi="Times New Roman" w:cs="Times New Roman"/>
          <w:sz w:val="24"/>
          <w:szCs w:val="24"/>
          <w:lang w:val="es-419"/>
        </w:rPr>
        <w:instrText>ADDIN CSL_CITATION {"citationItems":[{"id":"ITEM-1","itemData":{"DOI":"10.1016/j.healthpol.2019.06.006","ISSN":"18726054","PMID":"31262535","abstract":"Hospital bed occupancy rates in the English National Health Service have risen to levels considered clinically unsafe. This study assesses the association of increased bed occupancy with changes in the percentage of overnight patients discharged from hospital on a given day, and their subsequent 30-day readmission rate. Longitudinal panel data methods are used to analyse secondary care records (n = 4,193,590) for 136 non-specialist Trusts between April 2014 and February 2016. The average bed occupancy rate across the study period was 90.4%. A 1% increase in bed occupancy was associated with a 0.49% rise in the discharge rate, and a 0.011% increase in the 30-day readmission rate for discharged patients. These associations became more pronounced once bed occupancy exceeded 95%. When bed occupancy rates were high, hospitals discharged a greater proportion of their patients. Those were mostly younger and less clinically complex, suggesting that hospitals are successfully prioritising early discharge amongst least vulnerable patients. However, while increased bed occupancy was not associated with a substantial increase in overall 30-day readmission rates, the relationship was more pronounced in older and sicker patients, indicating possible links with short-fallings in discharge processes.","author":[{"dropping-particle":"","family":"Friebel","given":"R.","non-dropping-particle":"","parse-names":false,"suffix":""},{"dropping-particle":"","family":"Fisher","given":"Rebecca","non-dropping-particle":"","parse-names":false,"suffix":""},{"dropping-particle":"","family":"Deeny","given":"Sarah R.","non-dropping-particle":"","parse-names":false,"suffix":""},{"dropping-particle":"","family":"Gardner","given":"Tim","non-dropping-particle":"","parse-names":false,"suffix":""},{"dropping-particle":"","family":"Molloy","given":"A.","non-dropping-particle":"","parse-names":false,"suffix":""},{"dropping-particle":"","family":"Steventon","given":"Adam","non-dropping-particle":"","parse-names":false,"suffix":""}],"container-title":"Health Policy","id":"ITEM-1","issue":"8","issued":{"date-parts":[["2019"]]},"page":"765-772","publisher":"Elsevier Ireland Ltd","title":"The implications of high bed occupancy rates on readmission rates in England: A longitudinal study","type":"article-journal","volume":"123"},"uris":["http://www.mendeley.com/documents/?uuid=bd34b174-6236-4d74-a9ed-69d3fc654dab"]}],"mendeley":{"formattedCitation":"(44)","plainTextFormattedCitation":"(44)","previouslyFormattedCitation":"(44)"},"properties":{"noteIndex":0},"schema":"https://github.com/citation-style-language/schema/raw/master/csl-citation.json"}</w:instrText>
      </w:r>
      <w:r w:rsidRPr="16C47A3A">
        <w:rPr>
          <w:rFonts w:ascii="Times New Roman" w:hAnsi="Times New Roman" w:cs="Times New Roman"/>
          <w:sz w:val="24"/>
          <w:szCs w:val="24"/>
          <w:lang w:val="es-419"/>
        </w:rPr>
        <w:fldChar w:fldCharType="separate"/>
      </w:r>
      <w:r w:rsidR="00105048" w:rsidRPr="16C47A3A">
        <w:rPr>
          <w:rFonts w:ascii="Times New Roman" w:hAnsi="Times New Roman" w:cs="Times New Roman"/>
          <w:noProof/>
          <w:sz w:val="24"/>
          <w:szCs w:val="24"/>
          <w:lang w:val="es-419"/>
        </w:rPr>
        <w:t>(44)</w:t>
      </w:r>
      <w:r w:rsidRPr="16C47A3A">
        <w:rPr>
          <w:rFonts w:ascii="Times New Roman" w:hAnsi="Times New Roman" w:cs="Times New Roman"/>
          <w:sz w:val="24"/>
          <w:szCs w:val="24"/>
          <w:lang w:val="es-419"/>
        </w:rPr>
        <w:fldChar w:fldCharType="end"/>
      </w:r>
      <w:r w:rsidR="00E27A1A" w:rsidRPr="16C47A3A">
        <w:rPr>
          <w:rFonts w:ascii="Times New Roman" w:hAnsi="Times New Roman" w:cs="Times New Roman"/>
          <w:sz w:val="24"/>
          <w:szCs w:val="24"/>
          <w:lang w:val="es-419"/>
        </w:rPr>
        <w:t xml:space="preserve">. </w:t>
      </w:r>
      <w:r w:rsidR="002036EE" w:rsidRPr="16C47A3A">
        <w:rPr>
          <w:rFonts w:ascii="Times New Roman" w:hAnsi="Times New Roman" w:cs="Times New Roman"/>
          <w:sz w:val="24"/>
          <w:szCs w:val="24"/>
          <w:lang w:val="es-419"/>
        </w:rPr>
        <w:t>La alta ocupación de camas s</w:t>
      </w:r>
      <w:r w:rsidR="00B22A8B" w:rsidRPr="16C47A3A">
        <w:rPr>
          <w:rFonts w:ascii="Times New Roman" w:hAnsi="Times New Roman" w:cs="Times New Roman"/>
          <w:sz w:val="24"/>
          <w:szCs w:val="24"/>
          <w:lang w:val="es-419"/>
        </w:rPr>
        <w:t>e ha</w:t>
      </w:r>
      <w:r w:rsidR="00D058B1" w:rsidRPr="16C47A3A">
        <w:rPr>
          <w:rFonts w:ascii="Times New Roman" w:hAnsi="Times New Roman" w:cs="Times New Roman"/>
          <w:sz w:val="24"/>
          <w:szCs w:val="24"/>
          <w:lang w:val="es-419"/>
        </w:rPr>
        <w:t xml:space="preserve"> asociad</w:t>
      </w:r>
      <w:r w:rsidR="00B22A8B" w:rsidRPr="16C47A3A">
        <w:rPr>
          <w:rFonts w:ascii="Times New Roman" w:hAnsi="Times New Roman" w:cs="Times New Roman"/>
          <w:sz w:val="24"/>
          <w:szCs w:val="24"/>
          <w:lang w:val="es-419"/>
        </w:rPr>
        <w:t>o</w:t>
      </w:r>
      <w:r w:rsidR="00D058B1" w:rsidRPr="16C47A3A">
        <w:rPr>
          <w:rFonts w:ascii="Times New Roman" w:hAnsi="Times New Roman" w:cs="Times New Roman"/>
          <w:sz w:val="24"/>
          <w:szCs w:val="24"/>
          <w:lang w:val="es-419"/>
        </w:rPr>
        <w:t xml:space="preserve"> a </w:t>
      </w:r>
      <w:r w:rsidR="00E27A1A" w:rsidRPr="16C47A3A">
        <w:rPr>
          <w:rFonts w:ascii="Times New Roman" w:hAnsi="Times New Roman" w:cs="Times New Roman"/>
          <w:sz w:val="24"/>
          <w:szCs w:val="24"/>
          <w:lang w:val="es-419"/>
        </w:rPr>
        <w:t>mayores tiempos de espera en salas de emergencia</w:t>
      </w:r>
      <w:r w:rsidRPr="16C47A3A">
        <w:rPr>
          <w:rFonts w:ascii="Times New Roman" w:hAnsi="Times New Roman" w:cs="Times New Roman"/>
          <w:sz w:val="24"/>
          <w:szCs w:val="24"/>
          <w:lang w:val="es-419"/>
        </w:rPr>
        <w:fldChar w:fldCharType="begin" w:fldLock="1"/>
      </w:r>
      <w:r w:rsidRPr="16C47A3A">
        <w:rPr>
          <w:rFonts w:ascii="Times New Roman" w:hAnsi="Times New Roman" w:cs="Times New Roman"/>
          <w:sz w:val="24"/>
          <w:szCs w:val="24"/>
          <w:lang w:val="es-419"/>
        </w:rPr>
        <w:instrText>ADDIN CSL_CITATION {"citationItems":[{"id":"ITEM-1","itemData":{"DOI":"10.1016/j.healthpol.2020.07.008","ISSN":"18726054","PMID":"32811683","abstract":"The English National Health Service (NHS) has failed to meet the four-hour waiting time target to admit, transfer or discharge 95 per cent of patients attending Accident and Emergency Departments (A&amp;E) since 2013. A growing number of patients requiring inpatient care are waiting on trolleys longer than four hours before admission to a hospital bed. This study examines the role of bed occupancy in the deterioration of A&amp;E performance in the NHS. Longitudinal panel data methods are used to analyse hospital data (n = 72,129,886) for 143 Trusts from 1st June 2016 to 31st October 2019. The average bed occupancy rate across the study period was 93.2%. A 1% increase in bed occupancy was associated with a 9.5 percentage point decrease in the Trusts’ probabilitay of meeting the waiting target, and an approximately 6 patient increase in four hours to 12 -hs trolley waits per 1,000 admissions. These relationships became more pronounced with rising bed occupancy levels above a 90% threshold. Bed occupancy is associated with significant negative spill-over effects on A&amp;E performance. We estimate a minimum investment in 3,861 additional inpatient beds across the NHS to improve A&amp;E performance in England. Relevant lessons can be derived for health care systems that have observed similar trends in increasing bed occupancy and deteriorations in A&amp;E performance, including Ireland, Canada and Israel.","author":[{"dropping-particle":"","family":"Friebel","given":"Rocco","non-dropping-particle":"","parse-names":false,"suffix":""},{"dropping-particle":"","family":"Juarez","given":"Rosa M.","non-dropping-particle":"","parse-names":false,"suffix":""}],"container-title":"Health Policy","id":"ITEM-1","issue":"11","issued":{"date-parts":[["2020"]]},"page":"1182-1191","publisher":"Elsevier Ireland Ltd","title":"Spill Over Effects of Inpatient Bed Capacity on Accident and Emergency Performance in England","type":"article-journal","volume":"124"},"uris":["http://www.mendeley.com/documents/?uuid=36623e5e-d153-47e4-8024-a542dadbe108"]}],"mendeley":{"formattedCitation":"(45)","plainTextFormattedCitation":"(45)","previouslyFormattedCitation":"(45)"},"properties":{"noteIndex":0},"schema":"https://github.com/citation-style-language/schema/raw/master/csl-citation.json"}</w:instrText>
      </w:r>
      <w:r w:rsidRPr="16C47A3A">
        <w:rPr>
          <w:rFonts w:ascii="Times New Roman" w:hAnsi="Times New Roman" w:cs="Times New Roman"/>
          <w:sz w:val="24"/>
          <w:szCs w:val="24"/>
          <w:lang w:val="es-419"/>
        </w:rPr>
        <w:fldChar w:fldCharType="separate"/>
      </w:r>
      <w:r w:rsidR="00105048" w:rsidRPr="16C47A3A">
        <w:rPr>
          <w:rFonts w:ascii="Times New Roman" w:hAnsi="Times New Roman" w:cs="Times New Roman"/>
          <w:noProof/>
          <w:sz w:val="24"/>
          <w:szCs w:val="24"/>
          <w:lang w:val="es-419"/>
        </w:rPr>
        <w:t>(45)</w:t>
      </w:r>
      <w:r w:rsidRPr="16C47A3A">
        <w:rPr>
          <w:rFonts w:ascii="Times New Roman" w:hAnsi="Times New Roman" w:cs="Times New Roman"/>
          <w:sz w:val="24"/>
          <w:szCs w:val="24"/>
          <w:lang w:val="es-419"/>
        </w:rPr>
        <w:fldChar w:fldCharType="end"/>
      </w:r>
      <w:r w:rsidR="00E27A1A" w:rsidRPr="16C47A3A">
        <w:rPr>
          <w:rFonts w:ascii="Times New Roman" w:hAnsi="Times New Roman" w:cs="Times New Roman"/>
          <w:sz w:val="24"/>
          <w:szCs w:val="24"/>
          <w:lang w:val="es-419"/>
        </w:rPr>
        <w:t xml:space="preserve">, infecciones </w:t>
      </w:r>
      <w:r w:rsidR="386D1169" w:rsidRPr="16C47A3A">
        <w:rPr>
          <w:rFonts w:ascii="Times New Roman" w:hAnsi="Times New Roman" w:cs="Times New Roman"/>
          <w:sz w:val="24"/>
          <w:szCs w:val="24"/>
          <w:lang w:val="es-419"/>
        </w:rPr>
        <w:t>intrahospitalarias</w:t>
      </w:r>
      <w:r w:rsidR="00E27A1A" w:rsidRPr="16C47A3A">
        <w:rPr>
          <w:rFonts w:ascii="Times New Roman" w:hAnsi="Times New Roman" w:cs="Times New Roman"/>
          <w:sz w:val="24"/>
          <w:szCs w:val="24"/>
          <w:lang w:val="es-419"/>
        </w:rPr>
        <w:t xml:space="preserve"> y mortalidad</w:t>
      </w:r>
      <w:r w:rsidRPr="16C47A3A">
        <w:rPr>
          <w:rFonts w:ascii="Times New Roman" w:hAnsi="Times New Roman" w:cs="Times New Roman"/>
          <w:sz w:val="24"/>
          <w:szCs w:val="24"/>
          <w:lang w:val="es-419"/>
        </w:rPr>
        <w:fldChar w:fldCharType="begin" w:fldLock="1"/>
      </w:r>
      <w:r w:rsidRPr="16C47A3A">
        <w:rPr>
          <w:rFonts w:ascii="Times New Roman" w:hAnsi="Times New Roman" w:cs="Times New Roman"/>
          <w:sz w:val="24"/>
          <w:szCs w:val="24"/>
          <w:lang w:val="es-419"/>
        </w:rPr>
        <w:instrText>ADDIN CSL_CITATION {"citationItems":[{"id":"ITEM-1","itemData":{"DOI":"10.1007/s11606-016-3936-3","ISSN":"15251497","PMID":"27981468","abstract":"Background: Increases in patient needs can strain hospital resources, which may worsen care quality and outcomes. This systematic literature review sought to understand whether hospital capacity strain is associated with worse health outcomes for hospitalized patients and to evaluate benefits and harms of health system interventions to improve care quality during times of hospital capacity strain. Methods: Parallel searches were conducted in MEDLINE, CINAHL, the Cochrane Library, and reference lists from 1999-2015. Two reviewers assessed study eligibility. We included English-language studies describing the association between capacity strain (high census, acuity, turnover, or an indirect measure of strain such as delayed admission) and health outcomes or intermediate outcomes for children and adults hospitalized in highly developed countries. We also included studies of health system interventions to improve care during times of capacity strain. Two reviewers extracted data and assessed risk of bias using the Newcastle-Ottawa Score for observational studies and the Cochrane Collaboration Risk of Bias Assessment Tool for experimental studies. Results: Of 5,702 potentially relevant studies, we included 44 observational and 8 experimental studies. There was marked heterogeneity in the metrics used to define capacity strain, hospital settings, and overall study quality. Mortality increased during times of capacity strain in 18 of 30 studies and in 9 of 12 studies in intensive care unit settings. No experimental studies were randomized, and none demonstrated an improvement in health outcomes after implementing the intervention. The pediatric literature is very limited; only six observational studies included children. There was insufficient study homogeneity to perform meta-analyses. Discussion: In highly developed countries, hospital capacity strain is associated with increased mortality and worsened health outcomes. Evidence-based solutions to improve outcomes during times of capacity strain are needed.","author":[{"dropping-particle":"","family":"Eriksson","given":"Carl O.","non-dropping-particle":"","parse-names":false,"suffix":""},{"dropping-particle":"","family":"Stoner","given":"Ryan C.","non-dropping-particle":"","parse-names":false,"suffix":""},{"dropping-particle":"","family":"Eden","given":"Karen B.","non-dropping-particle":"","parse-names":false,"suffix":""},{"dropping-particle":"","family":"Newgard","given":"Craig D.","non-dropping-particle":"","parse-names":false,"suffix":""},{"dropping-particle":"","family":"Guise","given":"Jeanne Marie","non-dropping-particle":"","parse-names":false,"suffix":""}],"container-title":"Journal of General Internal Medicine","id":"ITEM-1","issue":"6","issued":{"date-parts":[["2017"]]},"page":"686-696","publisher":"Journal of General Internal Medicine","title":"The Association Between Hospital Capacity Strain and Inpatient Outcomes in Highly Developed Countries: A Systematic Review","type":"article-journal","volume":"32"},"uris":["http://www.mendeley.com/documents/?uuid=f284bdbe-816e-46da-a711-d7652c909619"]}],"mendeley":{"formattedCitation":"(46)","plainTextFormattedCitation":"(46)","previouslyFormattedCitation":"(46)"},"properties":{"noteIndex":0},"schema":"https://github.com/citation-style-language/schema/raw/master/csl-citation.json"}</w:instrText>
      </w:r>
      <w:r w:rsidRPr="16C47A3A">
        <w:rPr>
          <w:rFonts w:ascii="Times New Roman" w:hAnsi="Times New Roman" w:cs="Times New Roman"/>
          <w:sz w:val="24"/>
          <w:szCs w:val="24"/>
          <w:lang w:val="es-419"/>
        </w:rPr>
        <w:fldChar w:fldCharType="separate"/>
      </w:r>
      <w:r w:rsidR="00105048" w:rsidRPr="16C47A3A">
        <w:rPr>
          <w:rFonts w:ascii="Times New Roman" w:hAnsi="Times New Roman" w:cs="Times New Roman"/>
          <w:noProof/>
          <w:sz w:val="24"/>
          <w:szCs w:val="24"/>
          <w:lang w:val="es-419"/>
        </w:rPr>
        <w:t>(46)</w:t>
      </w:r>
      <w:r w:rsidRPr="16C47A3A">
        <w:rPr>
          <w:rFonts w:ascii="Times New Roman" w:hAnsi="Times New Roman" w:cs="Times New Roman"/>
          <w:sz w:val="24"/>
          <w:szCs w:val="24"/>
          <w:lang w:val="es-419"/>
        </w:rPr>
        <w:fldChar w:fldCharType="end"/>
      </w:r>
      <w:r w:rsidR="00E27A1A" w:rsidRPr="16C47A3A">
        <w:rPr>
          <w:rFonts w:ascii="Times New Roman" w:hAnsi="Times New Roman" w:cs="Times New Roman"/>
          <w:sz w:val="24"/>
          <w:szCs w:val="24"/>
          <w:lang w:val="es-419"/>
        </w:rPr>
        <w:t xml:space="preserve">. Sin embargo, el impacto </w:t>
      </w:r>
      <w:r w:rsidR="002036EE" w:rsidRPr="16C47A3A">
        <w:rPr>
          <w:rFonts w:ascii="Times New Roman" w:hAnsi="Times New Roman" w:cs="Times New Roman"/>
          <w:sz w:val="24"/>
          <w:szCs w:val="24"/>
          <w:lang w:val="es-419"/>
        </w:rPr>
        <w:t xml:space="preserve">en los resultados post-UCI de </w:t>
      </w:r>
      <w:r w:rsidR="00E27A1A" w:rsidRPr="16C47A3A">
        <w:rPr>
          <w:rFonts w:ascii="Times New Roman" w:hAnsi="Times New Roman" w:cs="Times New Roman"/>
          <w:sz w:val="24"/>
          <w:szCs w:val="24"/>
          <w:lang w:val="es-419"/>
        </w:rPr>
        <w:t xml:space="preserve">los pacientes aún es incierto. </w:t>
      </w:r>
      <w:r w:rsidR="002036EE" w:rsidRPr="16C47A3A">
        <w:rPr>
          <w:rFonts w:ascii="Times New Roman" w:hAnsi="Times New Roman" w:cs="Times New Roman"/>
          <w:sz w:val="24"/>
          <w:szCs w:val="24"/>
          <w:lang w:val="es-419"/>
        </w:rPr>
        <w:t>E</w:t>
      </w:r>
      <w:r w:rsidR="00D058B1" w:rsidRPr="16C47A3A">
        <w:rPr>
          <w:rFonts w:ascii="Times New Roman" w:hAnsi="Times New Roman" w:cs="Times New Roman"/>
          <w:sz w:val="24"/>
          <w:szCs w:val="24"/>
          <w:lang w:val="es-419"/>
        </w:rPr>
        <w:t>n nuestro estudio la</w:t>
      </w:r>
      <w:r w:rsidR="0084495C" w:rsidRPr="16C47A3A">
        <w:rPr>
          <w:rFonts w:ascii="Times New Roman" w:hAnsi="Times New Roman" w:cs="Times New Roman"/>
          <w:sz w:val="24"/>
          <w:szCs w:val="24"/>
          <w:lang w:val="es-419"/>
        </w:rPr>
        <w:t xml:space="preserve"> </w:t>
      </w:r>
      <w:r w:rsidR="00B22A8B" w:rsidRPr="16C47A3A">
        <w:rPr>
          <w:rFonts w:ascii="Times New Roman" w:hAnsi="Times New Roman" w:cs="Times New Roman"/>
          <w:sz w:val="24"/>
          <w:szCs w:val="24"/>
          <w:lang w:val="es-419"/>
        </w:rPr>
        <w:t xml:space="preserve">ocupación de camas durante una pandemia no se asoció </w:t>
      </w:r>
      <w:r w:rsidR="002036EE" w:rsidRPr="16C47A3A">
        <w:rPr>
          <w:rFonts w:ascii="Times New Roman" w:hAnsi="Times New Roman" w:cs="Times New Roman"/>
          <w:sz w:val="24"/>
          <w:szCs w:val="24"/>
          <w:lang w:val="es-419"/>
        </w:rPr>
        <w:t>a la probabilidad de presentar deterioro cognitivo. Esto puede deberse a que la ocupación de camas se midió a nivel nacional, lo que no necesariamente refleja la realidad de ocupación de camas en cada centro. Además, este estudio reclutó pacientes a lo menos cinco meses después de que la pandemia se declarara como emergencia sanitaria, lo que puede ser tiempo suficiente para que los equipos de salud se adapten</w:t>
      </w:r>
      <w:r w:rsidR="003B7EE2" w:rsidRPr="16C47A3A">
        <w:rPr>
          <w:rFonts w:ascii="Times New Roman" w:hAnsi="Times New Roman" w:cs="Times New Roman"/>
          <w:sz w:val="24"/>
          <w:szCs w:val="24"/>
          <w:lang w:val="es-419"/>
        </w:rPr>
        <w:t>, y por tanto, la calidad de atención no produzca un impacto en</w:t>
      </w:r>
      <w:r w:rsidR="003A65F2" w:rsidRPr="16C47A3A">
        <w:rPr>
          <w:rFonts w:ascii="Times New Roman" w:hAnsi="Times New Roman" w:cs="Times New Roman"/>
          <w:sz w:val="24"/>
          <w:szCs w:val="24"/>
          <w:lang w:val="es-419"/>
        </w:rPr>
        <w:t xml:space="preserve"> la frecuencia de deterioro cognitivo</w:t>
      </w:r>
      <w:r w:rsidR="002036EE" w:rsidRPr="16C47A3A">
        <w:rPr>
          <w:rFonts w:ascii="Times New Roman" w:hAnsi="Times New Roman" w:cs="Times New Roman"/>
          <w:sz w:val="24"/>
          <w:szCs w:val="24"/>
          <w:lang w:val="es-419"/>
        </w:rPr>
        <w:t>.</w:t>
      </w:r>
    </w:p>
    <w:p w14:paraId="1EED22F2" w14:textId="606DE052" w:rsidR="0084495C" w:rsidRPr="00557263" w:rsidRDefault="0A1631B6" w:rsidP="0039189E">
      <w:pPr>
        <w:spacing w:line="360" w:lineRule="auto"/>
        <w:ind w:right="709"/>
        <w:jc w:val="both"/>
        <w:rPr>
          <w:rFonts w:ascii="Times New Roman" w:hAnsi="Times New Roman" w:cs="Times New Roman"/>
          <w:color w:val="FF0000"/>
          <w:sz w:val="24"/>
          <w:szCs w:val="24"/>
          <w:lang w:val="es-419"/>
        </w:rPr>
      </w:pPr>
      <w:r w:rsidRPr="1EEEACEB">
        <w:rPr>
          <w:rFonts w:ascii="Times New Roman" w:hAnsi="Times New Roman" w:cs="Times New Roman"/>
          <w:sz w:val="24"/>
          <w:szCs w:val="24"/>
          <w:lang w:val="es-419"/>
        </w:rPr>
        <w:t xml:space="preserve">No hay claridad respecto al impacto de las comorbilidades en el deterioro cognitivo, </w:t>
      </w:r>
      <w:r w:rsidR="6D48A53B" w:rsidRPr="1EEEACEB">
        <w:rPr>
          <w:rFonts w:ascii="Times New Roman" w:hAnsi="Times New Roman" w:cs="Times New Roman"/>
          <w:sz w:val="24"/>
          <w:szCs w:val="24"/>
          <w:lang w:val="es-419"/>
        </w:rPr>
        <w:t>ya que</w:t>
      </w:r>
      <w:r w:rsidRPr="1EEEACEB">
        <w:rPr>
          <w:rFonts w:ascii="Times New Roman" w:hAnsi="Times New Roman" w:cs="Times New Roman"/>
          <w:sz w:val="24"/>
          <w:szCs w:val="24"/>
          <w:lang w:val="es-419"/>
        </w:rPr>
        <w:t xml:space="preserve"> ha</w:t>
      </w:r>
      <w:r w:rsidR="79013E1E" w:rsidRPr="1EEEACEB">
        <w:rPr>
          <w:rFonts w:ascii="Times New Roman" w:hAnsi="Times New Roman" w:cs="Times New Roman"/>
          <w:sz w:val="24"/>
          <w:szCs w:val="24"/>
          <w:lang w:val="es-419"/>
        </w:rPr>
        <w:t>y</w:t>
      </w:r>
      <w:r w:rsidRPr="1EEEACEB">
        <w:rPr>
          <w:rFonts w:ascii="Times New Roman" w:hAnsi="Times New Roman" w:cs="Times New Roman"/>
          <w:sz w:val="24"/>
          <w:szCs w:val="24"/>
          <w:lang w:val="es-419"/>
        </w:rPr>
        <w:t xml:space="preserve"> diferencias </w:t>
      </w:r>
      <w:r w:rsidR="0FE5DF10" w:rsidRPr="1EEEACEB">
        <w:rPr>
          <w:rFonts w:ascii="Times New Roman" w:hAnsi="Times New Roman" w:cs="Times New Roman"/>
          <w:sz w:val="24"/>
          <w:szCs w:val="24"/>
          <w:lang w:val="es-419"/>
        </w:rPr>
        <w:t xml:space="preserve">sociodemográficas </w:t>
      </w:r>
      <w:r w:rsidRPr="1EEEACEB">
        <w:rPr>
          <w:rFonts w:ascii="Times New Roman" w:hAnsi="Times New Roman" w:cs="Times New Roman"/>
          <w:sz w:val="24"/>
          <w:szCs w:val="24"/>
          <w:lang w:val="es-419"/>
        </w:rPr>
        <w:t xml:space="preserve">entre los grupos con y sin deterioro cognitivo, </w:t>
      </w:r>
      <w:r w:rsidR="79013E1E" w:rsidRPr="1EEEACEB">
        <w:rPr>
          <w:rFonts w:ascii="Times New Roman" w:hAnsi="Times New Roman" w:cs="Times New Roman"/>
          <w:sz w:val="24"/>
          <w:szCs w:val="24"/>
          <w:lang w:val="es-419"/>
        </w:rPr>
        <w:t xml:space="preserve">sin </w:t>
      </w:r>
      <w:r w:rsidR="26146C09" w:rsidRPr="1EEEACEB">
        <w:rPr>
          <w:rFonts w:ascii="Times New Roman" w:hAnsi="Times New Roman" w:cs="Times New Roman"/>
          <w:sz w:val="24"/>
          <w:szCs w:val="24"/>
          <w:lang w:val="es-419"/>
        </w:rPr>
        <w:t>embargo,</w:t>
      </w:r>
      <w:r w:rsidR="79013E1E" w:rsidRPr="1EEEACEB">
        <w:rPr>
          <w:rFonts w:ascii="Times New Roman" w:hAnsi="Times New Roman" w:cs="Times New Roman"/>
          <w:sz w:val="24"/>
          <w:szCs w:val="24"/>
          <w:lang w:val="es-419"/>
        </w:rPr>
        <w:t xml:space="preserve"> </w:t>
      </w:r>
      <w:r w:rsidR="2ED0745F" w:rsidRPr="1EEEACEB">
        <w:rPr>
          <w:rFonts w:ascii="Times New Roman" w:hAnsi="Times New Roman" w:cs="Times New Roman"/>
          <w:sz w:val="24"/>
          <w:szCs w:val="24"/>
          <w:lang w:val="es-419"/>
        </w:rPr>
        <w:t xml:space="preserve">las comorbilidades </w:t>
      </w:r>
      <w:r w:rsidRPr="1EEEACEB">
        <w:rPr>
          <w:rFonts w:ascii="Times New Roman" w:hAnsi="Times New Roman" w:cs="Times New Roman"/>
          <w:sz w:val="24"/>
          <w:szCs w:val="24"/>
          <w:lang w:val="es-419"/>
        </w:rPr>
        <w:t>no pareciera</w:t>
      </w:r>
      <w:r w:rsidR="2ED0745F" w:rsidRPr="1EEEACEB">
        <w:rPr>
          <w:rFonts w:ascii="Times New Roman" w:hAnsi="Times New Roman" w:cs="Times New Roman"/>
          <w:sz w:val="24"/>
          <w:szCs w:val="24"/>
          <w:lang w:val="es-419"/>
        </w:rPr>
        <w:t>n</w:t>
      </w:r>
      <w:r w:rsidRPr="1EEEACEB">
        <w:rPr>
          <w:rFonts w:ascii="Times New Roman" w:hAnsi="Times New Roman" w:cs="Times New Roman"/>
          <w:sz w:val="24"/>
          <w:szCs w:val="24"/>
          <w:lang w:val="es-419"/>
        </w:rPr>
        <w:t xml:space="preserve"> ser suficiente para ser un factor de riesgo</w:t>
      </w:r>
      <w:r w:rsidR="00F02F8D" w:rsidRPr="1EEEACEB">
        <w:rPr>
          <w:rFonts w:ascii="Times New Roman" w:hAnsi="Times New Roman" w:cs="Times New Roman"/>
          <w:sz w:val="24"/>
          <w:szCs w:val="24"/>
          <w:lang w:val="es-419"/>
        </w:rPr>
        <w:t xml:space="preserve"> por si sólo</w:t>
      </w:r>
      <w:r w:rsidRPr="1EEEACEB">
        <w:rPr>
          <w:rFonts w:ascii="Times New Roman" w:hAnsi="Times New Roman" w:cs="Times New Roman"/>
          <w:sz w:val="24"/>
          <w:szCs w:val="24"/>
          <w:lang w:val="es-419"/>
        </w:rPr>
        <w:t xml:space="preserve">. </w:t>
      </w:r>
      <w:r w:rsidRPr="1EEEACEB">
        <w:rPr>
          <w:rFonts w:ascii="Times New Roman" w:hAnsi="Times New Roman" w:cs="Times New Roman"/>
          <w:sz w:val="24"/>
          <w:szCs w:val="24"/>
          <w:lang w:val="es-419"/>
        </w:rPr>
        <w:fldChar w:fldCharType="begin" w:fldLock="1"/>
      </w:r>
      <w:r w:rsidRPr="1EEEACEB">
        <w:rPr>
          <w:rFonts w:ascii="Times New Roman" w:hAnsi="Times New Roman" w:cs="Times New Roman"/>
          <w:sz w:val="24"/>
          <w:szCs w:val="24"/>
          <w:lang w:val="es-419"/>
        </w:rPr>
        <w:instrText>ADDIN CSL_CITATION {"citationItems":[{"id":"ITEM-1","itemData":{"DOI":"10.1016/j.iccn.2021.103106","ISSN":"15324036","PMID":"34246526","abstract":"Objective: To evaluate the incidence and risks factors of short-term post-intensive care (ICU) cognitive impairment. Design: Prospective, observational study. Setting: Closed university-affiliated intensive care unit. Patients: We enrolled consecutive patients &gt;18 yrs of age expected to be in intensive care unit for ≥24 hours. Interventions: None. Measurements and main results: The score of Montreal Cognitive Assessment (MoCA) less than 26 was defined as cognitive impairment at hospital discharge and short-term post-ICU cognitive impairment was diagnosed in 185 of 409 assessed patients (45.2%). According to univariate analysis, age, years of education, occupation, past medical history, main ICU diagnosis, Acute Physiology and Chronic Evaluation Scoring System (APACHE II) score, Sequential Organ Failure Assessment (SOFA) score, Charlson comorbidity index, ICU length-of-stay (LOS), total hospital LOS, sedation, vasoactive agents, muscle relaxants, mechanical ventilation and duration of mechanical ventilation, constraints, early active mobilisation, hypoxemia, frequency and severity of delirium, blood pressure, rescue experience, and infection were significant predictors of post-ICU cognitive impairment. Multivariate analysis results showed that the frequency and severity of delirium, and advanced age were risk factors of post-ICU cognitive impairment; high years of education and early active mobilisation were protective factors. Conclusions: Incidence of post-ICU cognitive impairment is at a high level, which is similar to former researches’ results; the frequency and severity of delirium, and advanced age were risk factors of post-ICU cognitive impairment; high years of education and early active mobilisation were protective factors of post-ICU cognitive impairment.","author":[{"dropping-particle":"","family":"Yao","given":"Li","non-dropping-particle":"","parse-names":false,"suffix":""},{"dropping-particle":"","family":"Li","given":"Yaling","non-dropping-particle":"","parse-names":false,"suffix":""},{"dropping-particle":"","family":"Yin","given":"Ruiyuan","non-dropping-particle":"","parse-names":false,"suffix":""},{"dropping-particle":"","family":"Yang","given":"Liping","non-dropping-particle":"","parse-names":false,"suffix":""},{"dropping-particle":"","family":"Ding","given":"Nannan","non-dropping-particle":"","parse-names":false,"suffix":""},{"dropping-particle":"","family":"Li","given":"Bin","non-dropping-particle":"","parse-names":false,"suffix":""},{"dropping-particle":"","family":"Shen","given":"Xiping","non-dropping-particle":"","parse-names":false,"suffix":""},{"dropping-particle":"","family":"Zhang","given":"Zhigang","non-dropping-particle":"","parse-names":false,"suffix":""}],"container-title":"Intensive and Critical Care Nursing","id":"ITEM-1","issue":"1","issued":{"date-parts":[["2021"]]},"page":"103106","publisher":"Elsevier Ltd","title":"Incidence and influencing factors of post-intensive care cognitive impairment","type":"article-journal","volume":"67"},"uris":["http://www.mendeley.com/documents/?uuid=2d8015af-3fc1-4f76-8e63-36b46d0d6b5e"]}],"mendeley":{"formattedCitation":"(36)","plainTextFormattedCitation":"(36)","previouslyFormattedCitation":"(36)"},"properties":{"noteIndex":0},"schema":"https://github.com/citation-style-language/schema/raw/master/csl-citation.json"}</w:instrText>
      </w:r>
      <w:r w:rsidRPr="1EEEACEB">
        <w:rPr>
          <w:rFonts w:ascii="Times New Roman" w:hAnsi="Times New Roman" w:cs="Times New Roman"/>
          <w:sz w:val="24"/>
          <w:szCs w:val="24"/>
          <w:lang w:val="es-419"/>
        </w:rPr>
        <w:fldChar w:fldCharType="separate"/>
      </w:r>
      <w:r w:rsidR="00105048" w:rsidRPr="1EEEACEB">
        <w:rPr>
          <w:rFonts w:ascii="Times New Roman" w:hAnsi="Times New Roman" w:cs="Times New Roman"/>
          <w:noProof/>
          <w:sz w:val="24"/>
          <w:szCs w:val="24"/>
          <w:lang w:val="es-419"/>
        </w:rPr>
        <w:t>(36)</w:t>
      </w:r>
      <w:r w:rsidRPr="1EEEACEB">
        <w:rPr>
          <w:rFonts w:ascii="Times New Roman" w:hAnsi="Times New Roman" w:cs="Times New Roman"/>
          <w:sz w:val="24"/>
          <w:szCs w:val="24"/>
          <w:lang w:val="es-419"/>
        </w:rPr>
        <w:fldChar w:fldCharType="end"/>
      </w:r>
      <w:r w:rsidRPr="1EEEACEB">
        <w:rPr>
          <w:rFonts w:ascii="Times New Roman" w:hAnsi="Times New Roman" w:cs="Times New Roman"/>
          <w:sz w:val="24"/>
          <w:szCs w:val="24"/>
          <w:lang w:val="es-419"/>
        </w:rPr>
        <w:t>. Por otra parte,</w:t>
      </w:r>
      <w:r w:rsidR="64BB9E80" w:rsidRPr="1EEEACEB">
        <w:rPr>
          <w:rFonts w:ascii="Times New Roman" w:hAnsi="Times New Roman" w:cs="Times New Roman"/>
          <w:sz w:val="24"/>
          <w:szCs w:val="24"/>
          <w:lang w:val="es-419"/>
        </w:rPr>
        <w:t xml:space="preserve"> en nuestro estudio el índice de comorbilidad de Charlson </w:t>
      </w:r>
      <w:r w:rsidR="440A2696" w:rsidRPr="1EEEACEB">
        <w:rPr>
          <w:rFonts w:ascii="Times New Roman" w:hAnsi="Times New Roman" w:cs="Times New Roman"/>
          <w:sz w:val="24"/>
          <w:szCs w:val="24"/>
          <w:lang w:val="es-419"/>
        </w:rPr>
        <w:t xml:space="preserve">fue </w:t>
      </w:r>
      <w:r w:rsidR="64BB9E80" w:rsidRPr="1EEEACEB">
        <w:rPr>
          <w:rFonts w:ascii="Times New Roman" w:hAnsi="Times New Roman" w:cs="Times New Roman"/>
          <w:sz w:val="24"/>
          <w:szCs w:val="24"/>
          <w:lang w:val="es-419"/>
        </w:rPr>
        <w:t>significativo</w:t>
      </w:r>
      <w:r w:rsidR="440A2696" w:rsidRPr="1EEEACEB">
        <w:rPr>
          <w:rFonts w:ascii="Times New Roman" w:hAnsi="Times New Roman" w:cs="Times New Roman"/>
          <w:sz w:val="24"/>
          <w:szCs w:val="24"/>
          <w:lang w:val="es-419"/>
        </w:rPr>
        <w:t xml:space="preserve"> </w:t>
      </w:r>
      <w:r w:rsidR="18EC1E01" w:rsidRPr="1EEEACEB">
        <w:rPr>
          <w:rFonts w:ascii="Times New Roman" w:hAnsi="Times New Roman" w:cs="Times New Roman"/>
          <w:sz w:val="24"/>
          <w:szCs w:val="24"/>
          <w:lang w:val="es-419"/>
        </w:rPr>
        <w:t xml:space="preserve">en el </w:t>
      </w:r>
      <w:r w:rsidR="35155CCC" w:rsidRPr="1EEEACEB">
        <w:rPr>
          <w:rFonts w:ascii="Times New Roman" w:hAnsi="Times New Roman" w:cs="Times New Roman"/>
          <w:sz w:val="24"/>
          <w:szCs w:val="24"/>
          <w:lang w:val="es-419"/>
        </w:rPr>
        <w:t>análisis</w:t>
      </w:r>
      <w:r w:rsidR="18EC1E01" w:rsidRPr="1EEEACEB">
        <w:rPr>
          <w:rFonts w:ascii="Times New Roman" w:hAnsi="Times New Roman" w:cs="Times New Roman"/>
          <w:sz w:val="24"/>
          <w:szCs w:val="24"/>
          <w:lang w:val="es-419"/>
        </w:rPr>
        <w:t xml:space="preserve"> univariado, pero </w:t>
      </w:r>
      <w:r w:rsidR="6856F635" w:rsidRPr="1EEEACEB">
        <w:rPr>
          <w:rFonts w:ascii="Times New Roman" w:hAnsi="Times New Roman" w:cs="Times New Roman"/>
          <w:sz w:val="24"/>
          <w:szCs w:val="24"/>
          <w:lang w:val="es-419"/>
        </w:rPr>
        <w:t>dejó de ser</w:t>
      </w:r>
      <w:r w:rsidR="64BB9E80" w:rsidRPr="1EEEACEB">
        <w:rPr>
          <w:rFonts w:ascii="Times New Roman" w:hAnsi="Times New Roman" w:cs="Times New Roman"/>
          <w:sz w:val="24"/>
          <w:szCs w:val="24"/>
          <w:lang w:val="es-419"/>
        </w:rPr>
        <w:t xml:space="preserve">lo </w:t>
      </w:r>
      <w:r w:rsidR="18EC1E01" w:rsidRPr="1EEEACEB">
        <w:rPr>
          <w:rFonts w:ascii="Times New Roman" w:hAnsi="Times New Roman" w:cs="Times New Roman"/>
          <w:sz w:val="24"/>
          <w:szCs w:val="24"/>
          <w:lang w:val="es-419"/>
        </w:rPr>
        <w:t xml:space="preserve">en el </w:t>
      </w:r>
      <w:r w:rsidR="10D721D0" w:rsidRPr="1EEEACEB">
        <w:rPr>
          <w:rFonts w:ascii="Times New Roman" w:hAnsi="Times New Roman" w:cs="Times New Roman"/>
          <w:sz w:val="24"/>
          <w:szCs w:val="24"/>
          <w:lang w:val="es-419"/>
        </w:rPr>
        <w:t>análisis</w:t>
      </w:r>
      <w:r w:rsidR="18EC1E01" w:rsidRPr="1EEEACEB">
        <w:rPr>
          <w:rFonts w:ascii="Times New Roman" w:hAnsi="Times New Roman" w:cs="Times New Roman"/>
          <w:sz w:val="24"/>
          <w:szCs w:val="24"/>
          <w:lang w:val="es-419"/>
        </w:rPr>
        <w:t xml:space="preserve"> multivariado. Probablemente, porque</w:t>
      </w:r>
      <w:r w:rsidR="64BB9E80" w:rsidRPr="1EEEACEB">
        <w:rPr>
          <w:rFonts w:ascii="Times New Roman" w:hAnsi="Times New Roman" w:cs="Times New Roman"/>
          <w:sz w:val="24"/>
          <w:szCs w:val="24"/>
          <w:lang w:val="es-419"/>
        </w:rPr>
        <w:t xml:space="preserve"> la </w:t>
      </w:r>
      <w:r w:rsidR="004425B9" w:rsidRPr="1EEEACEB">
        <w:rPr>
          <w:rFonts w:ascii="Times New Roman" w:hAnsi="Times New Roman" w:cs="Times New Roman"/>
          <w:sz w:val="24"/>
          <w:szCs w:val="24"/>
          <w:lang w:val="es-419"/>
        </w:rPr>
        <w:t xml:space="preserve">mayoría de la </w:t>
      </w:r>
      <w:r w:rsidR="00146F13" w:rsidRPr="1EEEACEB">
        <w:rPr>
          <w:rFonts w:ascii="Times New Roman" w:hAnsi="Times New Roman" w:cs="Times New Roman"/>
          <w:sz w:val="24"/>
          <w:szCs w:val="24"/>
          <w:lang w:val="es-419"/>
        </w:rPr>
        <w:t xml:space="preserve">muestra </w:t>
      </w:r>
      <w:r w:rsidR="004425B9" w:rsidRPr="1EEEACEB">
        <w:rPr>
          <w:rFonts w:ascii="Times New Roman" w:hAnsi="Times New Roman" w:cs="Times New Roman"/>
          <w:sz w:val="24"/>
          <w:szCs w:val="24"/>
          <w:lang w:val="es-419"/>
        </w:rPr>
        <w:t xml:space="preserve">no </w:t>
      </w:r>
      <w:r w:rsidR="003F36A2" w:rsidRPr="1EEEACEB">
        <w:rPr>
          <w:rFonts w:ascii="Times New Roman" w:hAnsi="Times New Roman" w:cs="Times New Roman"/>
          <w:sz w:val="24"/>
          <w:szCs w:val="24"/>
          <w:lang w:val="es-419"/>
        </w:rPr>
        <w:t>tenía</w:t>
      </w:r>
      <w:r w:rsidR="64BB9E80" w:rsidRPr="1EEEACEB">
        <w:rPr>
          <w:rFonts w:ascii="Times New Roman" w:hAnsi="Times New Roman" w:cs="Times New Roman"/>
          <w:sz w:val="24"/>
          <w:szCs w:val="24"/>
          <w:lang w:val="es-419"/>
        </w:rPr>
        <w:t xml:space="preserve"> comorbilidades</w:t>
      </w:r>
      <w:r w:rsidR="003F36A2" w:rsidRPr="1EEEACEB">
        <w:rPr>
          <w:rFonts w:ascii="Times New Roman" w:hAnsi="Times New Roman" w:cs="Times New Roman"/>
          <w:sz w:val="24"/>
          <w:szCs w:val="24"/>
          <w:lang w:val="es-419"/>
        </w:rPr>
        <w:t>,</w:t>
      </w:r>
      <w:r w:rsidR="004425B9" w:rsidRPr="1EEEACEB">
        <w:rPr>
          <w:rFonts w:ascii="Times New Roman" w:hAnsi="Times New Roman" w:cs="Times New Roman"/>
          <w:sz w:val="24"/>
          <w:szCs w:val="24"/>
          <w:lang w:val="es-419"/>
        </w:rPr>
        <w:t xml:space="preserve"> </w:t>
      </w:r>
      <w:r w:rsidR="003F36A2" w:rsidRPr="1EEEACEB">
        <w:rPr>
          <w:rFonts w:ascii="Times New Roman" w:hAnsi="Times New Roman" w:cs="Times New Roman"/>
          <w:sz w:val="24"/>
          <w:szCs w:val="24"/>
          <w:lang w:val="es-419"/>
        </w:rPr>
        <w:t>m</w:t>
      </w:r>
      <w:r w:rsidR="004425B9" w:rsidRPr="1EEEACEB">
        <w:rPr>
          <w:rFonts w:ascii="Times New Roman" w:hAnsi="Times New Roman" w:cs="Times New Roman"/>
          <w:sz w:val="24"/>
          <w:szCs w:val="24"/>
          <w:lang w:val="es-419"/>
        </w:rPr>
        <w:t xml:space="preserve">ientras los pacientes </w:t>
      </w:r>
      <w:r w:rsidR="64BB9E80" w:rsidRPr="1EEEACEB">
        <w:rPr>
          <w:rFonts w:ascii="Times New Roman" w:hAnsi="Times New Roman" w:cs="Times New Roman"/>
          <w:sz w:val="24"/>
          <w:szCs w:val="24"/>
          <w:lang w:val="es-419"/>
        </w:rPr>
        <w:t xml:space="preserve">más añosos </w:t>
      </w:r>
      <w:r w:rsidR="000E3A7B" w:rsidRPr="1EEEACEB">
        <w:rPr>
          <w:rFonts w:ascii="Times New Roman" w:hAnsi="Times New Roman" w:cs="Times New Roman"/>
          <w:sz w:val="24"/>
          <w:szCs w:val="24"/>
          <w:lang w:val="es-419"/>
        </w:rPr>
        <w:t xml:space="preserve">tenían mayor probabilidad de </w:t>
      </w:r>
      <w:r w:rsidR="64BB9E80" w:rsidRPr="1EEEACEB">
        <w:rPr>
          <w:rFonts w:ascii="Times New Roman" w:hAnsi="Times New Roman" w:cs="Times New Roman"/>
          <w:sz w:val="24"/>
          <w:szCs w:val="24"/>
          <w:lang w:val="es-419"/>
        </w:rPr>
        <w:t>ten</w:t>
      </w:r>
      <w:r w:rsidR="000E3A7B" w:rsidRPr="1EEEACEB">
        <w:rPr>
          <w:rFonts w:ascii="Times New Roman" w:hAnsi="Times New Roman" w:cs="Times New Roman"/>
          <w:sz w:val="24"/>
          <w:szCs w:val="24"/>
          <w:lang w:val="es-419"/>
        </w:rPr>
        <w:t>er</w:t>
      </w:r>
      <w:r w:rsidR="64BB9E80" w:rsidRPr="1EEEACEB">
        <w:rPr>
          <w:rFonts w:ascii="Times New Roman" w:hAnsi="Times New Roman" w:cs="Times New Roman"/>
          <w:sz w:val="24"/>
          <w:szCs w:val="24"/>
          <w:lang w:val="es-419"/>
        </w:rPr>
        <w:t xml:space="preserve"> más de una</w:t>
      </w:r>
      <w:r w:rsidRPr="1EEEACEB">
        <w:rPr>
          <w:rFonts w:ascii="Times New Roman" w:hAnsi="Times New Roman" w:cs="Times New Roman"/>
          <w:sz w:val="24"/>
          <w:szCs w:val="24"/>
          <w:lang w:val="es-419"/>
        </w:rPr>
        <w:t xml:space="preserve"> comorbilidad. </w:t>
      </w:r>
    </w:p>
    <w:p w14:paraId="640E2620" w14:textId="5B6B6C1E" w:rsidR="611FC474" w:rsidRPr="00557263" w:rsidRDefault="009174F0" w:rsidP="0039189E">
      <w:pPr>
        <w:spacing w:line="360" w:lineRule="auto"/>
        <w:ind w:right="709"/>
        <w:jc w:val="both"/>
        <w:rPr>
          <w:rFonts w:ascii="Times New Roman" w:hAnsi="Times New Roman" w:cs="Times New Roman"/>
          <w:sz w:val="24"/>
          <w:szCs w:val="24"/>
          <w:lang w:val="es-419"/>
        </w:rPr>
      </w:pPr>
      <w:r w:rsidRPr="1EEEACEB">
        <w:rPr>
          <w:rFonts w:ascii="Times New Roman" w:hAnsi="Times New Roman" w:cs="Times New Roman"/>
          <w:sz w:val="24"/>
          <w:szCs w:val="24"/>
          <w:lang w:val="es-419"/>
        </w:rPr>
        <w:t>Lo</w:t>
      </w:r>
      <w:r w:rsidR="0095644B" w:rsidRPr="1EEEACEB">
        <w:rPr>
          <w:rFonts w:ascii="Times New Roman" w:hAnsi="Times New Roman" w:cs="Times New Roman"/>
          <w:sz w:val="24"/>
          <w:szCs w:val="24"/>
          <w:lang w:val="es-419"/>
        </w:rPr>
        <w:t xml:space="preserve">s </w:t>
      </w:r>
      <w:r w:rsidRPr="1EEEACEB">
        <w:rPr>
          <w:rFonts w:ascii="Times New Roman" w:hAnsi="Times New Roman" w:cs="Times New Roman"/>
          <w:sz w:val="24"/>
          <w:szCs w:val="24"/>
          <w:lang w:val="es-419"/>
        </w:rPr>
        <w:t xml:space="preserve">hallazgos de este estudio presentan algunas </w:t>
      </w:r>
      <w:r w:rsidR="00760513" w:rsidRPr="1EEEACEB">
        <w:rPr>
          <w:rFonts w:ascii="Times New Roman" w:hAnsi="Times New Roman" w:cs="Times New Roman"/>
          <w:sz w:val="24"/>
          <w:szCs w:val="24"/>
          <w:lang w:val="es-419"/>
        </w:rPr>
        <w:t>limitaciones</w:t>
      </w:r>
      <w:r w:rsidRPr="1EEEACEB">
        <w:rPr>
          <w:rFonts w:ascii="Times New Roman" w:hAnsi="Times New Roman" w:cs="Times New Roman"/>
          <w:sz w:val="24"/>
          <w:szCs w:val="24"/>
          <w:lang w:val="es-419"/>
        </w:rPr>
        <w:t>.</w:t>
      </w:r>
      <w:r w:rsidR="00760513" w:rsidRPr="1EEEACEB">
        <w:rPr>
          <w:rFonts w:ascii="Times New Roman" w:hAnsi="Times New Roman" w:cs="Times New Roman"/>
          <w:sz w:val="24"/>
          <w:szCs w:val="24"/>
          <w:lang w:val="es-419"/>
        </w:rPr>
        <w:t xml:space="preserve"> </w:t>
      </w:r>
      <w:r w:rsidR="00887E3A" w:rsidRPr="1EEEACEB">
        <w:rPr>
          <w:rFonts w:ascii="Times New Roman" w:hAnsi="Times New Roman" w:cs="Times New Roman"/>
          <w:sz w:val="24"/>
          <w:szCs w:val="24"/>
          <w:lang w:val="es-419"/>
        </w:rPr>
        <w:t>Las pérdidas durante e</w:t>
      </w:r>
      <w:r w:rsidR="00760513" w:rsidRPr="1EEEACEB">
        <w:rPr>
          <w:rFonts w:ascii="Times New Roman" w:hAnsi="Times New Roman" w:cs="Times New Roman"/>
          <w:sz w:val="24"/>
          <w:szCs w:val="24"/>
          <w:lang w:val="es-419"/>
        </w:rPr>
        <w:t xml:space="preserve">l seguimiento </w:t>
      </w:r>
      <w:r w:rsidR="00887E3A" w:rsidRPr="1EEEACEB">
        <w:rPr>
          <w:rFonts w:ascii="Times New Roman" w:hAnsi="Times New Roman" w:cs="Times New Roman"/>
          <w:sz w:val="24"/>
          <w:szCs w:val="24"/>
          <w:lang w:val="es-419"/>
        </w:rPr>
        <w:t xml:space="preserve">fueron más </w:t>
      </w:r>
      <w:r w:rsidR="00DA7DAC">
        <w:rPr>
          <w:rFonts w:ascii="Times New Roman" w:hAnsi="Times New Roman" w:cs="Times New Roman"/>
          <w:sz w:val="24"/>
          <w:szCs w:val="24"/>
          <w:lang w:val="es-419"/>
        </w:rPr>
        <w:t>altas</w:t>
      </w:r>
      <w:r w:rsidR="00887E3A" w:rsidRPr="1EEEACEB">
        <w:rPr>
          <w:rFonts w:ascii="Times New Roman" w:hAnsi="Times New Roman" w:cs="Times New Roman"/>
          <w:sz w:val="24"/>
          <w:szCs w:val="24"/>
          <w:lang w:val="es-419"/>
        </w:rPr>
        <w:t xml:space="preserve"> que en estudios similares, probablemente </w:t>
      </w:r>
      <w:r w:rsidR="007B7CF6" w:rsidRPr="1EEEACEB">
        <w:rPr>
          <w:rFonts w:ascii="Times New Roman" w:hAnsi="Times New Roman" w:cs="Times New Roman"/>
          <w:sz w:val="24"/>
          <w:szCs w:val="24"/>
          <w:lang w:val="es-419"/>
        </w:rPr>
        <w:t xml:space="preserve">por el contexto de </w:t>
      </w:r>
      <w:r w:rsidR="00E05524" w:rsidRPr="1EEEACEB">
        <w:rPr>
          <w:rFonts w:ascii="Times New Roman" w:hAnsi="Times New Roman" w:cs="Times New Roman"/>
          <w:sz w:val="24"/>
          <w:szCs w:val="24"/>
          <w:lang w:val="es-419"/>
        </w:rPr>
        <w:lastRenderedPageBreak/>
        <w:t>aislamiento social y las medidas propias de una crisis sanitaria</w:t>
      </w:r>
      <w:r w:rsidR="00760513" w:rsidRPr="1EEEACEB">
        <w:rPr>
          <w:rFonts w:ascii="Times New Roman" w:hAnsi="Times New Roman" w:cs="Times New Roman"/>
          <w:sz w:val="24"/>
          <w:szCs w:val="24"/>
          <w:lang w:val="es-419"/>
        </w:rPr>
        <w:t>.</w:t>
      </w:r>
      <w:r w:rsidR="007B7CF6" w:rsidRPr="1EEEACEB">
        <w:rPr>
          <w:rFonts w:ascii="Times New Roman" w:hAnsi="Times New Roman" w:cs="Times New Roman"/>
          <w:sz w:val="24"/>
          <w:szCs w:val="24"/>
          <w:lang w:val="es-419"/>
        </w:rPr>
        <w:t xml:space="preserve"> Sin embargo, </w:t>
      </w:r>
      <w:r w:rsidR="000F1F7C" w:rsidRPr="1EEEACEB">
        <w:rPr>
          <w:rFonts w:ascii="Times New Roman" w:hAnsi="Times New Roman" w:cs="Times New Roman"/>
          <w:sz w:val="24"/>
          <w:szCs w:val="24"/>
          <w:lang w:val="es-419"/>
        </w:rPr>
        <w:t>las características clínicas y sociodemográficas fueron similares en los pacientes evaluados y aquellos que fueron pérdidas.</w:t>
      </w:r>
      <w:r w:rsidR="00760513" w:rsidRPr="1EEEACEB">
        <w:rPr>
          <w:rFonts w:ascii="Times New Roman" w:hAnsi="Times New Roman" w:cs="Times New Roman"/>
          <w:sz w:val="24"/>
          <w:szCs w:val="24"/>
          <w:lang w:val="es-419"/>
        </w:rPr>
        <w:t xml:space="preserve"> </w:t>
      </w:r>
      <w:r w:rsidR="00291D62" w:rsidRPr="1EEEACEB">
        <w:rPr>
          <w:rFonts w:ascii="Times New Roman" w:hAnsi="Times New Roman" w:cs="Times New Roman"/>
          <w:sz w:val="24"/>
          <w:szCs w:val="24"/>
          <w:lang w:val="es-419"/>
        </w:rPr>
        <w:t>No fue posible explorar la relación entre</w:t>
      </w:r>
      <w:r w:rsidR="00760513" w:rsidRPr="1EEEACEB">
        <w:rPr>
          <w:rFonts w:ascii="Times New Roman" w:hAnsi="Times New Roman" w:cs="Times New Roman"/>
          <w:sz w:val="24"/>
          <w:szCs w:val="24"/>
          <w:lang w:val="es-419"/>
        </w:rPr>
        <w:t xml:space="preserve"> delirium </w:t>
      </w:r>
      <w:r w:rsidR="00291D62" w:rsidRPr="1EEEACEB">
        <w:rPr>
          <w:rFonts w:ascii="Times New Roman" w:hAnsi="Times New Roman" w:cs="Times New Roman"/>
          <w:sz w:val="24"/>
          <w:szCs w:val="24"/>
          <w:lang w:val="es-419"/>
        </w:rPr>
        <w:t>durante la estadía en UCI y deterior</w:t>
      </w:r>
      <w:r w:rsidR="00E56A35" w:rsidRPr="1EEEACEB">
        <w:rPr>
          <w:rFonts w:ascii="Times New Roman" w:hAnsi="Times New Roman" w:cs="Times New Roman"/>
          <w:sz w:val="24"/>
          <w:szCs w:val="24"/>
          <w:lang w:val="es-419"/>
        </w:rPr>
        <w:t>o</w:t>
      </w:r>
      <w:r w:rsidR="00291D62" w:rsidRPr="1EEEACEB">
        <w:rPr>
          <w:rFonts w:ascii="Times New Roman" w:hAnsi="Times New Roman" w:cs="Times New Roman"/>
          <w:sz w:val="24"/>
          <w:szCs w:val="24"/>
          <w:lang w:val="es-419"/>
        </w:rPr>
        <w:t xml:space="preserve"> cognitivo a los tres meses, el cual ha sido postulado como factor de riesgo </w:t>
      </w:r>
      <w:r w:rsidRPr="1EEEACEB">
        <w:rPr>
          <w:rFonts w:ascii="Times New Roman" w:hAnsi="Times New Roman" w:cs="Times New Roman"/>
          <w:sz w:val="24"/>
          <w:szCs w:val="24"/>
        </w:rPr>
        <w:fldChar w:fldCharType="begin" w:fldLock="1"/>
      </w:r>
      <w:r w:rsidRPr="1EEEACEB">
        <w:rPr>
          <w:rFonts w:ascii="Times New Roman" w:hAnsi="Times New Roman" w:cs="Times New Roman"/>
          <w:sz w:val="24"/>
          <w:szCs w:val="24"/>
          <w:lang w:val="es-419"/>
        </w:rPr>
        <w:instrText>ADDIN CSL_CITATION {"citationItems":[{"id":"ITEM-1","itemData":{"DOI":"10.1016/j.aucc.2017.07.002","ISSN":"10367314","PMID":"28736089","abstract":"Background: Whilst there is a growing body of research exploring the effect of delirium in intensive care unit (ICU) patients, the relationship between patient delirium and long-term cognitive impairment has not been investigated in settings where low rates of delirium have been reported. Objectives: To assess the association between the incidence of delirium, duration of mechanical ventilation and long term cognitive impairment in general ICU patients. Methods: Prospective cohort study conducted in a tertiary level ICU in Queensland, Australia. Adult medical and surgical ICU patients receiving ≥12 h mechanical ventilation were assessed for delirium on at least one day. Cognitive impairment was assessed at three and/or six-months using the: Repeatable Battery for the Assessment of Neuropsychological Status (RBANS); Trail Making Test (TMT) Part A and B; and Mini-Mental State Examination (MMSE). Results: Of 148 enrollees, 91 (61%) completed assessment at three and/or six months. Incidence of delirium was 19%, with 41% cognitively impaired at three months and 24% remaining impaired at six months. Delirium was associated with impaired cognition at six-months: mean TMT Part A scores (information processing speed) were 7.86 s longer than those with no delirium (p = 0.03), and mean TMT Part B scores (executive functioning) 24.0 s longer (p = 0.04). Conclusions: ICU delirium was positively associated with impaired information processing speed and executive functioning at six-months post-discharge for this cohort. Testing for cognitive impairment with RBANS and TMT should be considered due to its greater sensitivity in comparison to the MMSE.","author":[{"dropping-particle":"","family":"Mitchell","given":"Marion L.","non-dropping-particle":"","parse-names":false,"suffix":""},{"dropping-particle":"","family":"Shum","given":"David H.K.","non-dropping-particle":"","parse-names":false,"suffix":""},{"dropping-particle":"","family":"Mihala","given":"Gabor","non-dropping-particle":"","parse-names":false,"suffix":""},{"dropping-particle":"","family":"Murfield","given":"Jenny E.","non-dropping-particle":"","parse-names":false,"suffix":""},{"dropping-particle":"","family":"Aitken","given":"Leanne M.","non-dropping-particle":"","parse-names":false,"suffix":""}],"container-title":"Australian Critical Care","id":"ITEM-1","issue":"4","issued":{"date-parts":[["2018"]]},"page":"204-211","publisher":"Australian College of Critical Care Nurses Ltd","title":"Long-term cognitive impairment and delirium in intensive care: A prospective cohort study","type":"article-journal","volume":"31"},"uris":["http://www.mendeley.com/documents/?uuid=27697dac-ed5b-4c54-b1ab-8f26bfb4c702"]}],"mendeley":{"formattedCitation":"(47)","plainTextFormattedCitation":"(47)","previouslyFormattedCitation":"(47)"},"properties":{"noteIndex":0},"schema":"https://github.com/citation-style-language/schema/raw/master/csl-citation.json"}</w:instrText>
      </w:r>
      <w:r w:rsidRPr="1EEEACEB">
        <w:rPr>
          <w:rFonts w:ascii="Times New Roman" w:hAnsi="Times New Roman" w:cs="Times New Roman"/>
          <w:sz w:val="24"/>
          <w:szCs w:val="24"/>
        </w:rPr>
        <w:fldChar w:fldCharType="separate"/>
      </w:r>
      <w:r w:rsidR="00105048" w:rsidRPr="1EEEACEB">
        <w:rPr>
          <w:rFonts w:ascii="Times New Roman" w:hAnsi="Times New Roman" w:cs="Times New Roman"/>
          <w:noProof/>
          <w:sz w:val="24"/>
          <w:szCs w:val="24"/>
        </w:rPr>
        <w:t>(47)</w:t>
      </w:r>
      <w:r w:rsidRPr="1EEEACEB">
        <w:rPr>
          <w:rFonts w:ascii="Times New Roman" w:hAnsi="Times New Roman" w:cs="Times New Roman"/>
          <w:sz w:val="24"/>
          <w:szCs w:val="24"/>
        </w:rPr>
        <w:fldChar w:fldCharType="end"/>
      </w:r>
      <w:r w:rsidRPr="1EEEACEB">
        <w:rPr>
          <w:rFonts w:ascii="Times New Roman" w:hAnsi="Times New Roman" w:cs="Times New Roman"/>
          <w:sz w:val="24"/>
          <w:szCs w:val="24"/>
        </w:rPr>
        <w:fldChar w:fldCharType="begin" w:fldLock="1"/>
      </w:r>
      <w:r w:rsidRPr="1EEEACEB">
        <w:rPr>
          <w:rFonts w:ascii="Times New Roman" w:hAnsi="Times New Roman" w:cs="Times New Roman"/>
          <w:sz w:val="24"/>
          <w:szCs w:val="24"/>
          <w:lang w:val="es-419"/>
        </w:rPr>
        <w:instrText>ADDIN CSL_CITATION {"citationItems":[{"id":"ITEM-1","itemData":{"DOI":"10.1056/nejmoa1301372","ISSN":"0028-4793","PMID":"24088092","abstract":"BACKGROUND Survivors of critical illness often have a prolonged and disabling form of cognitive impairment that remains inadequately characterized. METHODS We enrolled adults with respiratory failure or shock in the medical or surgical intensive care unit (ICU), evaluated them for in-hospital delirium, and assessed global cognition and executive function 3 and 12 months after discharge with the use of the Repeatable Battery for the Assessment of Neuropsychological Status (population age-adjusted mean [±SD] score, 100±15, with lower values indicating worse global cognition) and the Trail Making Test, Part B (population age-, sex-, and education-adjusted mean score, 50±10, with lower scores indicating worse executive function). Associations of the duration of delirium and the use of sedative or analgesic agents with the outcomes were assessed with the use of linear regression, with adjustment for potential confounders. RESULTS Of the 821 patients enrolled, 6% had cognitive impairment at baseline, and delirium developed in 74% during the hospital stay. At 3 months, 40% of the patients had global cognition scores that were 1.5 SD below the population means (similar to scores for patients with moderate traumatic brain injury), and 26% had scores 2 SD below the population means (similar to scores for patients with mild Alzheimer's disease). Deficits occurred in both older and younger patients and persisted, with 34% and 24% of all patients with assessments at 12 months that were similar to scores for patients with moderate traumatic brain injury and scores for patients with mild Alzheimer's disease, respectively. A longer duration of delirium was independently associated with worse global cognition at 3 and 12 months (P=0.001 and P=0.04, respectively) and worse executive function at 3 and 12 months (P=0.004 and P=0.007, respectively). Use of sedative or analgesic medications was not consistently associated with cognitive impairment at 3 and 12 months. CONCLUSIONS Patients in medical and surgical ICUs are at high risk for long-term cognitive impairment. A longer duration of delirium in the hospital was associated with worse global cognition and executive function scores at 3 and 12 months. (Funded by the National Institutes of Health and others; BRAIN-ICU ClinicalTrials.gov number, NCT00392795.).","author":[{"dropping-particle":"","family":"Pandharipande","given":"P.P.","non-dropping-particle":"","parse-names":false,"suffix":""},{"dropping-particle":"","family":"Girard","given":"T.D.","non-dropping-particle":"","parse-names":false,"suffix":""},{"dropping-particle":"","family":"Jackson","given":"J.C.","non-dropping-particle":"","parse-names":false,"suffix":""},{"dropping-particle":"","family":"Morandi","given":"A.","non-dropping-particle":"","parse-names":false,"suffix":""},{"dropping-particle":"","family":"Thompson","given":"J.L.","non-dropping-particle":"","parse-names":false,"suffix":""},{"dropping-particle":"","family":"Pun","given":"B.T.","non-dropping-particle":"","parse-names":false,"suffix":""},{"dropping-particle":"","family":"Brummel","given":"N.E.","non-dropping-particle":"","parse-names":false,"suffix":""},{"dropping-particle":"","family":"Hughes","given":"C.G.","non-dropping-particle":"","parse-names":false,"suffix":""},{"dropping-particle":"","family":"Vasilevskis","given":"E.E.","non-dropping-particle":"","parse-names":false,"suffix":""},{"dropping-particle":"","family":"Shintani","given":"A.K.","non-dropping-particle":"","parse-names":false,"suffix":""},{"dropping-particle":"","family":"Moons","given":"K.G.","non-dropping-particle":"","parse-names":false,"suffix":""},{"dropping-particle":"","family":"Geevarghese","given":"S.K.","non-dropping-particle":"","parse-names":false,"suffix":""},{"dropping-particle":"","family":"Canonico","given":"A.","non-dropping-particle":"","parse-names":false,"suffix":""},{"dropping-particle":"","family":"Hopkins","given":"R.O.","non-dropping-particle":"","parse-names":false,"suffix":""},{"dropping-particle":"","family":"Bernard","given":"G.R.","non-dropping-particle":"","parse-names":false,"suffix":""},{"dropping-particle":"","family":"Dittus","given":"R.S.","non-dropping-particle":"","parse-names":false,"suffix":""},{"dropping-particle":"","family":"Ely","given":"E.W.","non-dropping-particle":"","parse-names":false,"suffix":""}],"container-title":"New England Journal of Medicine","id":"ITEM-1","issue":"14","issued":{"date-parts":[["2013"]]},"page":"1306-1316","title":"Long-Term Cognitive Impairment after Critical Illness","type":"article-journal","volume":"369"},"uris":["http://www.mendeley.com/documents/?uuid=be8a1f09-ebf1-4046-811a-5223e2a6c621"]}],"mendeley":{"formattedCitation":"(5)","plainTextFormattedCitation":"(5)","previouslyFormattedCitation":"(5)"},"properties":{"noteIndex":0},"schema":"https://github.com/citation-style-language/schema/raw/master/csl-citation.json"}</w:instrText>
      </w:r>
      <w:r w:rsidRPr="1EEEACEB">
        <w:rPr>
          <w:rFonts w:ascii="Times New Roman" w:hAnsi="Times New Roman" w:cs="Times New Roman"/>
          <w:sz w:val="24"/>
          <w:szCs w:val="24"/>
        </w:rPr>
        <w:fldChar w:fldCharType="separate"/>
      </w:r>
      <w:r w:rsidR="00105048" w:rsidRPr="1EEEACEB">
        <w:rPr>
          <w:rFonts w:ascii="Times New Roman" w:hAnsi="Times New Roman" w:cs="Times New Roman"/>
          <w:noProof/>
          <w:sz w:val="24"/>
          <w:szCs w:val="24"/>
          <w:lang w:val="es-419"/>
        </w:rPr>
        <w:t>(5)</w:t>
      </w:r>
      <w:r w:rsidRPr="1EEEACEB">
        <w:rPr>
          <w:rFonts w:ascii="Times New Roman" w:hAnsi="Times New Roman" w:cs="Times New Roman"/>
          <w:sz w:val="24"/>
          <w:szCs w:val="24"/>
        </w:rPr>
        <w:fldChar w:fldCharType="end"/>
      </w:r>
      <w:r w:rsidR="00DD315D" w:rsidRPr="1EEEACEB">
        <w:rPr>
          <w:rFonts w:ascii="Times New Roman" w:hAnsi="Times New Roman" w:cs="Times New Roman"/>
          <w:sz w:val="24"/>
          <w:szCs w:val="24"/>
          <w:lang w:val="es-419"/>
        </w:rPr>
        <w:t xml:space="preserve"> </w:t>
      </w:r>
      <w:r w:rsidR="00760513" w:rsidRPr="1EEEACEB">
        <w:rPr>
          <w:rFonts w:ascii="Times New Roman" w:hAnsi="Times New Roman" w:cs="Times New Roman"/>
          <w:sz w:val="24"/>
          <w:szCs w:val="24"/>
          <w:lang w:val="es-419"/>
        </w:rPr>
        <w:t>ya que</w:t>
      </w:r>
      <w:r w:rsidR="00DD315D" w:rsidRPr="1EEEACEB">
        <w:rPr>
          <w:rFonts w:ascii="Times New Roman" w:hAnsi="Times New Roman" w:cs="Times New Roman"/>
          <w:sz w:val="24"/>
          <w:szCs w:val="24"/>
          <w:lang w:val="es-419"/>
        </w:rPr>
        <w:t xml:space="preserve"> </w:t>
      </w:r>
      <w:r w:rsidR="00291D62" w:rsidRPr="1EEEACEB">
        <w:rPr>
          <w:rFonts w:ascii="Times New Roman" w:hAnsi="Times New Roman" w:cs="Times New Roman"/>
          <w:sz w:val="24"/>
          <w:szCs w:val="24"/>
          <w:lang w:val="es-419"/>
        </w:rPr>
        <w:t>esta información no fue recopilada</w:t>
      </w:r>
      <w:r w:rsidR="00530AB2" w:rsidRPr="1EEEACEB">
        <w:rPr>
          <w:rFonts w:ascii="Times New Roman" w:hAnsi="Times New Roman" w:cs="Times New Roman"/>
          <w:sz w:val="24"/>
          <w:szCs w:val="24"/>
          <w:lang w:val="es-419"/>
        </w:rPr>
        <w:t xml:space="preserve"> al egreso de UCI</w:t>
      </w:r>
      <w:r w:rsidR="00DD315D" w:rsidRPr="1EEEACEB">
        <w:rPr>
          <w:rFonts w:ascii="Times New Roman" w:hAnsi="Times New Roman" w:cs="Times New Roman"/>
          <w:sz w:val="24"/>
          <w:szCs w:val="24"/>
          <w:lang w:val="es-419"/>
        </w:rPr>
        <w:t>.</w:t>
      </w:r>
    </w:p>
    <w:p w14:paraId="299F6DC9" w14:textId="333DF6A0" w:rsidR="006F34D7" w:rsidRDefault="137BAF00" w:rsidP="0039189E">
      <w:pPr>
        <w:spacing w:line="360" w:lineRule="auto"/>
        <w:ind w:right="709"/>
        <w:jc w:val="both"/>
        <w:rPr>
          <w:rFonts w:ascii="Times New Roman" w:hAnsi="Times New Roman" w:cs="Times New Roman"/>
          <w:sz w:val="24"/>
          <w:szCs w:val="24"/>
          <w:lang w:val="es-419"/>
        </w:rPr>
      </w:pPr>
      <w:r w:rsidRPr="4A2AA5A2">
        <w:rPr>
          <w:rFonts w:ascii="Times New Roman" w:hAnsi="Times New Roman" w:cs="Times New Roman"/>
          <w:sz w:val="24"/>
          <w:szCs w:val="24"/>
          <w:lang w:val="es-419"/>
        </w:rPr>
        <w:t xml:space="preserve">En la actualidad los estudios que </w:t>
      </w:r>
      <w:r w:rsidR="00790F81" w:rsidRPr="4A2AA5A2">
        <w:rPr>
          <w:rFonts w:ascii="Times New Roman" w:hAnsi="Times New Roman" w:cs="Times New Roman"/>
          <w:sz w:val="24"/>
          <w:szCs w:val="24"/>
          <w:lang w:val="es-419"/>
        </w:rPr>
        <w:t>investigan</w:t>
      </w:r>
      <w:r w:rsidRPr="4A2AA5A2">
        <w:rPr>
          <w:rFonts w:ascii="Times New Roman" w:hAnsi="Times New Roman" w:cs="Times New Roman"/>
          <w:sz w:val="24"/>
          <w:szCs w:val="24"/>
          <w:lang w:val="es-419"/>
        </w:rPr>
        <w:t xml:space="preserve"> FR para det</w:t>
      </w:r>
      <w:r w:rsidR="52209431" w:rsidRPr="4A2AA5A2">
        <w:rPr>
          <w:rFonts w:ascii="Times New Roman" w:hAnsi="Times New Roman" w:cs="Times New Roman"/>
          <w:sz w:val="24"/>
          <w:szCs w:val="24"/>
          <w:lang w:val="es-419"/>
        </w:rPr>
        <w:t>erioro</w:t>
      </w:r>
      <w:r w:rsidRPr="4A2AA5A2">
        <w:rPr>
          <w:rFonts w:ascii="Times New Roman" w:hAnsi="Times New Roman" w:cs="Times New Roman"/>
          <w:sz w:val="24"/>
          <w:szCs w:val="24"/>
          <w:lang w:val="es-419"/>
        </w:rPr>
        <w:t xml:space="preserve"> </w:t>
      </w:r>
      <w:r w:rsidR="172C0FC7" w:rsidRPr="4A2AA5A2">
        <w:rPr>
          <w:rFonts w:ascii="Times New Roman" w:hAnsi="Times New Roman" w:cs="Times New Roman"/>
          <w:sz w:val="24"/>
          <w:szCs w:val="24"/>
          <w:lang w:val="es-419"/>
        </w:rPr>
        <w:t>cognitivo</w:t>
      </w:r>
      <w:r w:rsidRPr="4A2AA5A2">
        <w:rPr>
          <w:rFonts w:ascii="Times New Roman" w:hAnsi="Times New Roman" w:cs="Times New Roman"/>
          <w:sz w:val="24"/>
          <w:szCs w:val="24"/>
          <w:lang w:val="es-419"/>
        </w:rPr>
        <w:t xml:space="preserve"> se enfocan en </w:t>
      </w:r>
      <w:r w:rsidR="432163EE" w:rsidRPr="4A2AA5A2">
        <w:rPr>
          <w:rFonts w:ascii="Times New Roman" w:hAnsi="Times New Roman" w:cs="Times New Roman"/>
          <w:sz w:val="24"/>
          <w:szCs w:val="24"/>
          <w:lang w:val="es-419"/>
        </w:rPr>
        <w:t>la</w:t>
      </w:r>
      <w:r w:rsidRPr="4A2AA5A2">
        <w:rPr>
          <w:rFonts w:ascii="Times New Roman" w:hAnsi="Times New Roman" w:cs="Times New Roman"/>
          <w:sz w:val="24"/>
          <w:szCs w:val="24"/>
          <w:lang w:val="es-419"/>
        </w:rPr>
        <w:t xml:space="preserve"> </w:t>
      </w:r>
      <w:r w:rsidR="317306CA" w:rsidRPr="4A2AA5A2">
        <w:rPr>
          <w:rFonts w:ascii="Times New Roman" w:hAnsi="Times New Roman" w:cs="Times New Roman"/>
          <w:sz w:val="24"/>
          <w:szCs w:val="24"/>
          <w:lang w:val="es-419"/>
        </w:rPr>
        <w:t>exploración</w:t>
      </w:r>
      <w:r w:rsidRPr="4A2AA5A2">
        <w:rPr>
          <w:rFonts w:ascii="Times New Roman" w:hAnsi="Times New Roman" w:cs="Times New Roman"/>
          <w:sz w:val="24"/>
          <w:szCs w:val="24"/>
          <w:lang w:val="es-419"/>
        </w:rPr>
        <w:t xml:space="preserve"> unifac</w:t>
      </w:r>
      <w:r w:rsidR="4987FA52" w:rsidRPr="4A2AA5A2">
        <w:rPr>
          <w:rFonts w:ascii="Times New Roman" w:hAnsi="Times New Roman" w:cs="Times New Roman"/>
          <w:sz w:val="24"/>
          <w:szCs w:val="24"/>
          <w:lang w:val="es-419"/>
        </w:rPr>
        <w:t>t</w:t>
      </w:r>
      <w:r w:rsidRPr="4A2AA5A2">
        <w:rPr>
          <w:rFonts w:ascii="Times New Roman" w:hAnsi="Times New Roman" w:cs="Times New Roman"/>
          <w:sz w:val="24"/>
          <w:szCs w:val="24"/>
          <w:lang w:val="es-419"/>
        </w:rPr>
        <w:t>or</w:t>
      </w:r>
      <w:r w:rsidR="742A4F7C" w:rsidRPr="4A2AA5A2">
        <w:rPr>
          <w:rFonts w:ascii="Times New Roman" w:hAnsi="Times New Roman" w:cs="Times New Roman"/>
          <w:sz w:val="24"/>
          <w:szCs w:val="24"/>
          <w:lang w:val="es-419"/>
        </w:rPr>
        <w:t>i</w:t>
      </w:r>
      <w:r w:rsidRPr="4A2AA5A2">
        <w:rPr>
          <w:rFonts w:ascii="Times New Roman" w:hAnsi="Times New Roman" w:cs="Times New Roman"/>
          <w:sz w:val="24"/>
          <w:szCs w:val="24"/>
          <w:lang w:val="es-419"/>
        </w:rPr>
        <w:t xml:space="preserve">al o en el </w:t>
      </w:r>
      <w:r w:rsidR="1A7C2ACA" w:rsidRPr="4A2AA5A2">
        <w:rPr>
          <w:rFonts w:ascii="Times New Roman" w:hAnsi="Times New Roman" w:cs="Times New Roman"/>
          <w:sz w:val="24"/>
          <w:szCs w:val="24"/>
          <w:lang w:val="es-419"/>
        </w:rPr>
        <w:t>análisis</w:t>
      </w:r>
      <w:r w:rsidRPr="4A2AA5A2">
        <w:rPr>
          <w:rFonts w:ascii="Times New Roman" w:hAnsi="Times New Roman" w:cs="Times New Roman"/>
          <w:sz w:val="24"/>
          <w:szCs w:val="24"/>
          <w:lang w:val="es-419"/>
        </w:rPr>
        <w:t xml:space="preserve"> ajustado. Sin </w:t>
      </w:r>
      <w:r w:rsidR="10C57963" w:rsidRPr="4A2AA5A2">
        <w:rPr>
          <w:rFonts w:ascii="Times New Roman" w:hAnsi="Times New Roman" w:cs="Times New Roman"/>
          <w:sz w:val="24"/>
          <w:szCs w:val="24"/>
          <w:lang w:val="es-419"/>
        </w:rPr>
        <w:t>embargo</w:t>
      </w:r>
      <w:r w:rsidRPr="4A2AA5A2">
        <w:rPr>
          <w:rFonts w:ascii="Times New Roman" w:hAnsi="Times New Roman" w:cs="Times New Roman"/>
          <w:sz w:val="24"/>
          <w:szCs w:val="24"/>
          <w:lang w:val="es-419"/>
        </w:rPr>
        <w:t>, no identifican</w:t>
      </w:r>
      <w:r w:rsidR="334FC279" w:rsidRPr="4A2AA5A2">
        <w:rPr>
          <w:rFonts w:ascii="Times New Roman" w:hAnsi="Times New Roman" w:cs="Times New Roman"/>
          <w:sz w:val="24"/>
          <w:szCs w:val="24"/>
          <w:lang w:val="es-419"/>
        </w:rPr>
        <w:t xml:space="preserve"> factores que </w:t>
      </w:r>
      <w:r w:rsidR="2A1C8130" w:rsidRPr="4A2AA5A2">
        <w:rPr>
          <w:rFonts w:ascii="Times New Roman" w:hAnsi="Times New Roman" w:cs="Times New Roman"/>
          <w:sz w:val="24"/>
          <w:szCs w:val="24"/>
          <w:lang w:val="es-419"/>
        </w:rPr>
        <w:t>coexisten</w:t>
      </w:r>
      <w:r w:rsidR="334FC279" w:rsidRPr="4A2AA5A2">
        <w:rPr>
          <w:rFonts w:ascii="Times New Roman" w:hAnsi="Times New Roman" w:cs="Times New Roman"/>
          <w:sz w:val="24"/>
          <w:szCs w:val="24"/>
          <w:lang w:val="es-419"/>
        </w:rPr>
        <w:t xml:space="preserve"> (</w:t>
      </w:r>
      <w:r w:rsidR="00790F81" w:rsidRPr="4A2AA5A2">
        <w:rPr>
          <w:rFonts w:ascii="Times New Roman" w:hAnsi="Times New Roman" w:cs="Times New Roman"/>
          <w:sz w:val="24"/>
          <w:szCs w:val="24"/>
          <w:lang w:val="es-419"/>
        </w:rPr>
        <w:t>edad avanzada</w:t>
      </w:r>
      <w:r w:rsidR="334FC279" w:rsidRPr="4A2AA5A2">
        <w:rPr>
          <w:rFonts w:ascii="Times New Roman" w:hAnsi="Times New Roman" w:cs="Times New Roman"/>
          <w:sz w:val="24"/>
          <w:szCs w:val="24"/>
          <w:lang w:val="es-419"/>
        </w:rPr>
        <w:t xml:space="preserve">, </w:t>
      </w:r>
      <w:r w:rsidR="00790F81" w:rsidRPr="4A2AA5A2">
        <w:rPr>
          <w:rFonts w:ascii="Times New Roman" w:hAnsi="Times New Roman" w:cs="Times New Roman"/>
          <w:sz w:val="24"/>
          <w:szCs w:val="24"/>
          <w:lang w:val="es-419"/>
        </w:rPr>
        <w:t xml:space="preserve">baja </w:t>
      </w:r>
      <w:r w:rsidR="334FC279" w:rsidRPr="4A2AA5A2">
        <w:rPr>
          <w:rFonts w:ascii="Times New Roman" w:hAnsi="Times New Roman" w:cs="Times New Roman"/>
          <w:sz w:val="24"/>
          <w:szCs w:val="24"/>
          <w:lang w:val="es-419"/>
        </w:rPr>
        <w:t>escolaridad, comorbilidades</w:t>
      </w:r>
      <w:r w:rsidR="00790F81" w:rsidRPr="4A2AA5A2">
        <w:rPr>
          <w:rFonts w:ascii="Times New Roman" w:hAnsi="Times New Roman" w:cs="Times New Roman"/>
          <w:sz w:val="24"/>
          <w:szCs w:val="24"/>
          <w:lang w:val="es-419"/>
        </w:rPr>
        <w:t>, etc.</w:t>
      </w:r>
      <w:r w:rsidR="334FC279" w:rsidRPr="4A2AA5A2">
        <w:rPr>
          <w:rFonts w:ascii="Times New Roman" w:hAnsi="Times New Roman" w:cs="Times New Roman"/>
          <w:sz w:val="24"/>
          <w:szCs w:val="24"/>
          <w:lang w:val="es-419"/>
        </w:rPr>
        <w:t>)</w:t>
      </w:r>
      <w:r w:rsidR="0B24D704" w:rsidRPr="4A2AA5A2">
        <w:rPr>
          <w:rFonts w:ascii="Times New Roman" w:hAnsi="Times New Roman" w:cs="Times New Roman"/>
          <w:sz w:val="24"/>
          <w:szCs w:val="24"/>
          <w:lang w:val="es-419"/>
        </w:rPr>
        <w:t xml:space="preserve"> y que en </w:t>
      </w:r>
      <w:r w:rsidR="00790F81" w:rsidRPr="4A2AA5A2">
        <w:rPr>
          <w:rFonts w:ascii="Times New Roman" w:hAnsi="Times New Roman" w:cs="Times New Roman"/>
          <w:sz w:val="24"/>
          <w:szCs w:val="24"/>
          <w:lang w:val="es-419"/>
        </w:rPr>
        <w:t xml:space="preserve">su </w:t>
      </w:r>
      <w:r w:rsidR="0B24D704" w:rsidRPr="4A2AA5A2">
        <w:rPr>
          <w:rFonts w:ascii="Times New Roman" w:hAnsi="Times New Roman" w:cs="Times New Roman"/>
          <w:sz w:val="24"/>
          <w:szCs w:val="24"/>
          <w:lang w:val="es-419"/>
        </w:rPr>
        <w:t xml:space="preserve">conjunto </w:t>
      </w:r>
      <w:r w:rsidR="002036EE" w:rsidRPr="4A2AA5A2">
        <w:rPr>
          <w:rFonts w:ascii="Times New Roman" w:hAnsi="Times New Roman" w:cs="Times New Roman"/>
          <w:sz w:val="24"/>
          <w:szCs w:val="24"/>
          <w:lang w:val="es-419"/>
        </w:rPr>
        <w:t>aumenten el riesgo de morbilidad post-UCI</w:t>
      </w:r>
      <w:r w:rsidR="00790F81" w:rsidRPr="4A2AA5A2">
        <w:rPr>
          <w:rFonts w:ascii="Times New Roman" w:hAnsi="Times New Roman" w:cs="Times New Roman"/>
          <w:sz w:val="24"/>
          <w:szCs w:val="24"/>
          <w:lang w:val="es-419"/>
        </w:rPr>
        <w:t>.</w:t>
      </w:r>
      <w:r w:rsidR="334FC279" w:rsidRPr="4A2AA5A2">
        <w:rPr>
          <w:rFonts w:ascii="Times New Roman" w:hAnsi="Times New Roman" w:cs="Times New Roman"/>
          <w:sz w:val="24"/>
          <w:szCs w:val="24"/>
          <w:lang w:val="es-419"/>
        </w:rPr>
        <w:t xml:space="preserve"> </w:t>
      </w:r>
      <w:r w:rsidR="00790F81" w:rsidRPr="4A2AA5A2">
        <w:rPr>
          <w:rFonts w:ascii="Times New Roman" w:hAnsi="Times New Roman" w:cs="Times New Roman"/>
          <w:sz w:val="24"/>
          <w:szCs w:val="24"/>
          <w:lang w:val="es-419"/>
        </w:rPr>
        <w:t xml:space="preserve">Es por esto, que </w:t>
      </w:r>
      <w:r w:rsidR="573B6750" w:rsidRPr="4A2AA5A2">
        <w:rPr>
          <w:rFonts w:ascii="Times New Roman" w:hAnsi="Times New Roman" w:cs="Times New Roman"/>
          <w:sz w:val="24"/>
          <w:szCs w:val="24"/>
          <w:lang w:val="es-419"/>
        </w:rPr>
        <w:t xml:space="preserve">para mejorar el </w:t>
      </w:r>
      <w:r w:rsidR="10B71567" w:rsidRPr="4A2AA5A2">
        <w:rPr>
          <w:rFonts w:ascii="Times New Roman" w:hAnsi="Times New Roman" w:cs="Times New Roman"/>
          <w:sz w:val="24"/>
          <w:szCs w:val="24"/>
          <w:lang w:val="es-419"/>
        </w:rPr>
        <w:t>reconocimiento</w:t>
      </w:r>
      <w:r w:rsidR="573B6750" w:rsidRPr="4A2AA5A2">
        <w:rPr>
          <w:rFonts w:ascii="Times New Roman" w:hAnsi="Times New Roman" w:cs="Times New Roman"/>
          <w:sz w:val="24"/>
          <w:szCs w:val="24"/>
          <w:lang w:val="es-419"/>
        </w:rPr>
        <w:t xml:space="preserve"> </w:t>
      </w:r>
      <w:r w:rsidR="0739B031" w:rsidRPr="4A2AA5A2">
        <w:rPr>
          <w:rFonts w:ascii="Times New Roman" w:hAnsi="Times New Roman" w:cs="Times New Roman"/>
          <w:sz w:val="24"/>
          <w:szCs w:val="24"/>
          <w:lang w:val="es-419"/>
        </w:rPr>
        <w:t>o</w:t>
      </w:r>
      <w:r w:rsidR="573B6750" w:rsidRPr="4A2AA5A2">
        <w:rPr>
          <w:rFonts w:ascii="Times New Roman" w:hAnsi="Times New Roman" w:cs="Times New Roman"/>
          <w:sz w:val="24"/>
          <w:szCs w:val="24"/>
          <w:lang w:val="es-419"/>
        </w:rPr>
        <w:t>portuno de pacientes que pueden necesitar intervención temprana</w:t>
      </w:r>
      <w:r w:rsidR="00790F81" w:rsidRPr="4A2AA5A2">
        <w:rPr>
          <w:rFonts w:ascii="Times New Roman" w:hAnsi="Times New Roman" w:cs="Times New Roman"/>
          <w:sz w:val="24"/>
          <w:szCs w:val="24"/>
          <w:lang w:val="es-419"/>
        </w:rPr>
        <w:t xml:space="preserve"> es necesario </w:t>
      </w:r>
      <w:r w:rsidR="00402ECC" w:rsidRPr="4A2AA5A2">
        <w:rPr>
          <w:rFonts w:ascii="Times New Roman" w:hAnsi="Times New Roman" w:cs="Times New Roman"/>
          <w:sz w:val="24"/>
          <w:szCs w:val="24"/>
          <w:lang w:val="es-419"/>
        </w:rPr>
        <w:t xml:space="preserve">identificar </w:t>
      </w:r>
      <w:r w:rsidR="00790F81" w:rsidRPr="4A2AA5A2">
        <w:rPr>
          <w:rFonts w:ascii="Times New Roman" w:hAnsi="Times New Roman" w:cs="Times New Roman"/>
          <w:sz w:val="24"/>
          <w:szCs w:val="24"/>
          <w:lang w:val="es-419"/>
        </w:rPr>
        <w:t>dichos grupos de riesgo</w:t>
      </w:r>
      <w:r w:rsidR="573B6750" w:rsidRPr="4A2AA5A2">
        <w:rPr>
          <w:rFonts w:ascii="Times New Roman" w:hAnsi="Times New Roman" w:cs="Times New Roman"/>
          <w:sz w:val="24"/>
          <w:szCs w:val="24"/>
          <w:lang w:val="es-419"/>
        </w:rPr>
        <w:t xml:space="preserve">. </w:t>
      </w:r>
      <w:r w:rsidRPr="4A2AA5A2">
        <w:rPr>
          <w:rFonts w:ascii="Times New Roman" w:hAnsi="Times New Roman" w:cs="Times New Roman"/>
          <w:sz w:val="24"/>
          <w:szCs w:val="24"/>
        </w:rPr>
        <w:fldChar w:fldCharType="begin" w:fldLock="1"/>
      </w:r>
      <w:r w:rsidRPr="4A2AA5A2">
        <w:rPr>
          <w:rFonts w:ascii="Times New Roman" w:hAnsi="Times New Roman" w:cs="Times New Roman"/>
          <w:sz w:val="24"/>
          <w:szCs w:val="24"/>
          <w:lang w:val="es-419"/>
        </w:rPr>
        <w:instrText>ADDIN CSL_CITATION {"citationItems":[{"id":"ITEM-1","itemData":{"DOI":"10.1016/j.iccn.2021.103106","ISSN":"15324036","PMID":"34246526","abstract":"Objective: To evaluate the incidence and risks factors of short-term post-intensive care (ICU) cognitive impairment. Design: Prospective, observational study. Setting: Closed university-affiliated intensive care unit. Patients: We enrolled consecutive patients &gt;18 yrs of age expected to be in intensive care unit for ≥24 hours. Interventions: None. Measurements and main results: The score of Montreal Cognitive Assessment (MoCA) less than 26 was defined as cognitive impairment at hospital discharge and short-term post-ICU cognitive impairment was diagnosed in 185 of 409 assessed patients (45.2%). According to univariate analysis, age, years of education, occupation, past medical history, main ICU diagnosis, Acute Physiology and Chronic Evaluation Scoring System (APACHE II) score, Sequential Organ Failure Assessment (SOFA) score, Charlson comorbidity index, ICU length-of-stay (LOS), total hospital LOS, sedation, vasoactive agents, muscle relaxants, mechanical ventilation and duration of mechanical ventilation, constraints, early active mobilisation, hypoxemia, frequency and severity of delirium, blood pressure, rescue experience, and infection were significant predictors of post-ICU cognitive impairment. Multivariate analysis results showed that the frequency and severity of delirium, and advanced age were risk factors of post-ICU cognitive impairment; high years of education and early active mobilisation were protective factors. Conclusions: Incidence of post-ICU cognitive impairment is at a high level, which is similar to former researches’ results; the frequency and severity of delirium, and advanced age were risk factors of post-ICU cognitive impairment; high years of education and early active mobilisation were protective factors of post-ICU cognitive impairment.","author":[{"dropping-particle":"","family":"Yao","given":"Li","non-dropping-particle":"","parse-names":false,"suffix":""},{"dropping-particle":"","family":"Li","given":"Yaling","non-dropping-particle":"","parse-names":false,"suffix":""},{"dropping-particle":"","family":"Yin","given":"Ruiyuan","non-dropping-particle":"","parse-names":false,"suffix":""},{"dropping-particle":"","family":"Yang","given":"Liping","non-dropping-particle":"","parse-names":false,"suffix":""},{"dropping-particle":"","family":"Ding","given":"Nannan","non-dropping-particle":"","parse-names":false,"suffix":""},{"dropping-particle":"","family":"Li","given":"Bin","non-dropping-particle":"","parse-names":false,"suffix":""},{"dropping-particle":"","family":"Shen","given":"Xiping","non-dropping-particle":"","parse-names":false,"suffix":""},{"dropping-particle":"","family":"Zhang","given":"Zhigang","non-dropping-particle":"","parse-names":false,"suffix":""}],"container-title":"Intensive and Critical Care Nursing","id":"ITEM-1","issue":"1","issued":{"date-parts":[["2021"]]},"page":"103106","publisher":"Elsevier Ltd","title":"Incidence and influencing factors of post-intensive care cognitive impairment","type":"article-journal","volume":"67"},"uris":["http://www.mendeley.com/documents/?uuid=2d8015af-3fc1-4f76-8e63-36b46d0d6b5e"]}],"mendeley":{"formattedCitation":"(36)","plainTextFormattedCitation":"(36)","previouslyFormattedCitation":"(36)"},"properties":{"noteIndex":0},"schema":"https://github.com/citation-style-language/schema/raw/master/csl-citation.json"}</w:instrText>
      </w:r>
      <w:r w:rsidRPr="4A2AA5A2">
        <w:rPr>
          <w:rFonts w:ascii="Times New Roman" w:hAnsi="Times New Roman" w:cs="Times New Roman"/>
          <w:sz w:val="24"/>
          <w:szCs w:val="24"/>
        </w:rPr>
        <w:fldChar w:fldCharType="separate"/>
      </w:r>
      <w:r w:rsidR="00105048" w:rsidRPr="4A2AA5A2">
        <w:rPr>
          <w:rFonts w:ascii="Times New Roman" w:hAnsi="Times New Roman" w:cs="Times New Roman"/>
          <w:noProof/>
          <w:sz w:val="24"/>
          <w:szCs w:val="24"/>
          <w:lang w:val="es-419"/>
        </w:rPr>
        <w:t>(36)</w:t>
      </w:r>
      <w:r w:rsidRPr="4A2AA5A2">
        <w:rPr>
          <w:rFonts w:ascii="Times New Roman" w:hAnsi="Times New Roman" w:cs="Times New Roman"/>
          <w:sz w:val="24"/>
          <w:szCs w:val="24"/>
        </w:rPr>
        <w:fldChar w:fldCharType="end"/>
      </w:r>
      <w:r w:rsidR="00115461" w:rsidRPr="4A2AA5A2">
        <w:rPr>
          <w:rFonts w:ascii="Times New Roman" w:hAnsi="Times New Roman" w:cs="Times New Roman"/>
          <w:sz w:val="24"/>
          <w:szCs w:val="24"/>
          <w:lang w:val="es-419"/>
        </w:rPr>
        <w:t xml:space="preserve"> </w:t>
      </w:r>
    </w:p>
    <w:p w14:paraId="160D1137" w14:textId="50CDBD6C" w:rsidR="008B35BC" w:rsidRPr="008B35BC" w:rsidRDefault="00115461" w:rsidP="0039189E">
      <w:pPr>
        <w:spacing w:line="360" w:lineRule="auto"/>
        <w:ind w:right="709"/>
        <w:jc w:val="both"/>
        <w:rPr>
          <w:rFonts w:ascii="Times New Roman" w:hAnsi="Times New Roman" w:cs="Times New Roman"/>
          <w:sz w:val="24"/>
          <w:szCs w:val="24"/>
        </w:rPr>
      </w:pPr>
      <w:r w:rsidRPr="00557263">
        <w:rPr>
          <w:rFonts w:ascii="Times New Roman" w:hAnsi="Times New Roman" w:cs="Times New Roman"/>
          <w:sz w:val="24"/>
          <w:szCs w:val="24"/>
          <w:lang w:val="es-419"/>
        </w:rPr>
        <w:t>En la actualidad, existen intervenciones que han demostrado disminuir el riesgo en estos pacientes mediante intervenciones y abordajes enfocados en las necesidades personales</w:t>
      </w:r>
      <w:r w:rsidR="00551ABF" w:rsidRPr="00557263">
        <w:rPr>
          <w:rFonts w:ascii="Times New Roman" w:hAnsi="Times New Roman" w:cs="Times New Roman"/>
          <w:sz w:val="24"/>
          <w:szCs w:val="24"/>
          <w:lang w:val="es-419"/>
        </w:rPr>
        <w:t xml:space="preserve"> para disminuir el impacto que pueda generar la UCI en </w:t>
      </w:r>
      <w:r w:rsidR="1298AD16" w:rsidRPr="00557263">
        <w:rPr>
          <w:rFonts w:ascii="Times New Roman" w:hAnsi="Times New Roman" w:cs="Times New Roman"/>
          <w:sz w:val="24"/>
          <w:szCs w:val="24"/>
          <w:lang w:val="es-419"/>
        </w:rPr>
        <w:t>aquellos</w:t>
      </w:r>
      <w:r w:rsidR="00551ABF" w:rsidRPr="00557263">
        <w:rPr>
          <w:rFonts w:ascii="Times New Roman" w:hAnsi="Times New Roman" w:cs="Times New Roman"/>
          <w:sz w:val="24"/>
          <w:szCs w:val="24"/>
          <w:lang w:val="es-419"/>
        </w:rPr>
        <w:t xml:space="preserve"> pacientes que ya ingresan lábiles. </w:t>
      </w:r>
      <w:r w:rsidR="002036EE" w:rsidRPr="00557263">
        <w:rPr>
          <w:rFonts w:ascii="Times New Roman" w:hAnsi="Times New Roman" w:cs="Times New Roman"/>
          <w:sz w:val="24"/>
          <w:szCs w:val="24"/>
          <w:lang w:val="es-419"/>
        </w:rPr>
        <w:t>Estas intervenciones se enfocan en</w:t>
      </w:r>
      <w:r w:rsidR="00C91B1B" w:rsidRPr="00557263">
        <w:rPr>
          <w:rFonts w:ascii="Times New Roman" w:hAnsi="Times New Roman" w:cs="Times New Roman"/>
          <w:sz w:val="24"/>
          <w:szCs w:val="24"/>
          <w:lang w:val="es-419"/>
        </w:rPr>
        <w:t xml:space="preserve"> </w:t>
      </w:r>
      <w:r w:rsidR="006F34D7">
        <w:rPr>
          <w:rFonts w:ascii="Times New Roman" w:hAnsi="Times New Roman" w:cs="Times New Roman"/>
          <w:sz w:val="24"/>
          <w:szCs w:val="24"/>
          <w:lang w:val="es-419"/>
        </w:rPr>
        <w:t xml:space="preserve">la </w:t>
      </w:r>
      <w:r w:rsidR="00C91B1B" w:rsidRPr="00557263">
        <w:rPr>
          <w:rFonts w:ascii="Times New Roman" w:hAnsi="Times New Roman" w:cs="Times New Roman"/>
          <w:sz w:val="24"/>
          <w:szCs w:val="24"/>
          <w:lang w:val="es-419"/>
        </w:rPr>
        <w:t>fase aguda;</w:t>
      </w:r>
      <w:r w:rsidR="00D44469" w:rsidRPr="00557263">
        <w:rPr>
          <w:rFonts w:ascii="Times New Roman" w:hAnsi="Times New Roman" w:cs="Times New Roman"/>
          <w:sz w:val="24"/>
          <w:szCs w:val="24"/>
          <w:lang w:val="es-419"/>
        </w:rPr>
        <w:t xml:space="preserve"> en</w:t>
      </w:r>
      <w:r w:rsidR="00C91B1B" w:rsidRPr="00557263">
        <w:rPr>
          <w:rFonts w:ascii="Times New Roman" w:hAnsi="Times New Roman" w:cs="Times New Roman"/>
          <w:sz w:val="24"/>
          <w:szCs w:val="24"/>
          <w:lang w:val="es-419"/>
        </w:rPr>
        <w:t xml:space="preserve"> reanimación oportuna</w:t>
      </w:r>
      <w:r w:rsidR="006F34D7">
        <w:rPr>
          <w:rFonts w:ascii="Times New Roman" w:hAnsi="Times New Roman" w:cs="Times New Roman"/>
          <w:sz w:val="24"/>
          <w:szCs w:val="24"/>
          <w:lang w:val="es-419"/>
        </w:rPr>
        <w:t>,</w:t>
      </w:r>
      <w:r w:rsidR="00D44469" w:rsidRPr="00557263">
        <w:rPr>
          <w:rFonts w:ascii="Times New Roman" w:hAnsi="Times New Roman" w:cs="Times New Roman"/>
          <w:sz w:val="24"/>
          <w:szCs w:val="24"/>
          <w:lang w:val="es-419"/>
        </w:rPr>
        <w:t xml:space="preserve"> </w:t>
      </w:r>
      <w:r w:rsidR="00136BEF" w:rsidRPr="00557263">
        <w:rPr>
          <w:rFonts w:ascii="Times New Roman" w:hAnsi="Times New Roman" w:cs="Times New Roman"/>
          <w:sz w:val="24"/>
          <w:szCs w:val="24"/>
          <w:lang w:val="es-419"/>
        </w:rPr>
        <w:t>titulación de</w:t>
      </w:r>
      <w:r w:rsidR="00C91B1B" w:rsidRPr="00557263">
        <w:rPr>
          <w:rFonts w:ascii="Times New Roman" w:hAnsi="Times New Roman" w:cs="Times New Roman"/>
          <w:sz w:val="24"/>
          <w:szCs w:val="24"/>
          <w:lang w:val="es-419"/>
        </w:rPr>
        <w:t xml:space="preserve"> sedación</w:t>
      </w:r>
      <w:r w:rsidR="00136BEF" w:rsidRPr="00557263">
        <w:rPr>
          <w:rFonts w:ascii="Times New Roman" w:hAnsi="Times New Roman" w:cs="Times New Roman"/>
          <w:sz w:val="24"/>
          <w:szCs w:val="24"/>
          <w:lang w:val="es-419"/>
        </w:rPr>
        <w:t xml:space="preserve"> mínima necesaria</w:t>
      </w:r>
      <w:r w:rsidR="00C91B1B" w:rsidRPr="00557263">
        <w:rPr>
          <w:rFonts w:ascii="Times New Roman" w:hAnsi="Times New Roman" w:cs="Times New Roman"/>
          <w:sz w:val="24"/>
          <w:szCs w:val="24"/>
          <w:lang w:val="es-419"/>
        </w:rPr>
        <w:t xml:space="preserve"> </w:t>
      </w:r>
      <w:r w:rsidR="00D44469" w:rsidRPr="00557263">
        <w:rPr>
          <w:rFonts w:ascii="Times New Roman" w:hAnsi="Times New Roman" w:cs="Times New Roman"/>
          <w:sz w:val="24"/>
          <w:szCs w:val="24"/>
          <w:lang w:val="es-419"/>
        </w:rPr>
        <w:t>durante la hospitalización; en ciclo sueño-vigilia, estimulación cognitiva y</w:t>
      </w:r>
      <w:r w:rsidR="00C91B1B" w:rsidRPr="00557263">
        <w:rPr>
          <w:rFonts w:ascii="Times New Roman" w:hAnsi="Times New Roman" w:cs="Times New Roman"/>
          <w:sz w:val="24"/>
          <w:szCs w:val="24"/>
          <w:lang w:val="es-419"/>
        </w:rPr>
        <w:t xml:space="preserve"> movilización</w:t>
      </w:r>
      <w:r w:rsidR="00D44469" w:rsidRPr="00557263">
        <w:rPr>
          <w:rFonts w:ascii="Times New Roman" w:hAnsi="Times New Roman" w:cs="Times New Roman"/>
          <w:sz w:val="24"/>
          <w:szCs w:val="24"/>
          <w:lang w:val="es-419"/>
        </w:rPr>
        <w:t xml:space="preserve"> temprana. </w:t>
      </w:r>
      <w:r w:rsidR="137BAF00" w:rsidRPr="00557263">
        <w:rPr>
          <w:rFonts w:ascii="Times New Roman" w:hAnsi="Times New Roman" w:cs="Times New Roman"/>
          <w:sz w:val="24"/>
          <w:szCs w:val="24"/>
          <w:lang w:val="es-419"/>
        </w:rPr>
        <w:fldChar w:fldCharType="begin" w:fldLock="1"/>
      </w:r>
      <w:r w:rsidR="00975F13">
        <w:rPr>
          <w:rFonts w:ascii="Times New Roman" w:hAnsi="Times New Roman" w:cs="Times New Roman"/>
          <w:sz w:val="24"/>
          <w:szCs w:val="24"/>
          <w:lang w:val="es-419"/>
        </w:rPr>
        <w:instrText>ADDIN CSL_CITATION {"citationItems":[{"id":"ITEM-1","itemData":{"DOI":"10.1097/CCM.0b013e3182a16946","ISSN":"00903493","PMID":"23989098","abstract":"In contrast to other clinical outcomes, long-term cognitive function in critical care survivors has not been deeply studied. In this narrative review, we summarize the existing literature on the prevalence, mechanisms, risk factors, and prediction of cognitive impairment after surviving critical illness. Depending on the exact clinical subgroup, up to 100% of critical care survivors may suffer some degree of long-term cognitive impairment at hospital discharge; in approximately 50%, decrements in cognitive function will persist years later. Although the mechanisms of acquiring this impairment are poorly understood, several risk factors have been identified. Unfortunately, no easy means of predicting long-term cognitive impairment exists. Despite this barrier, research is ongoing to test possible treatments for cognitive impairment. In particular, the potential role of exercise on cognitive recovery is an exciting area of exploration. Opportunities exist to incorporate physical and cognitive rehabilitation strategies across a spectrum of environments (in the ICU, on the hospital ward, and at home, posthospital discharge). © 2013 by the Society of Critical Care Medicine and Lippincott Williams &amp; Wilkins.","author":[{"dropping-particle":"","family":"Elizabeth Wilcox","given":"M.","non-dropping-particle":"","parse-names":false,"suffix":""},{"dropping-particle":"","family":"Brummel","given":"Nathan E.","non-dropping-particle":"","parse-names":false,"suffix":""},{"dropping-particle":"","family":"Archer","given":"Kristin","non-dropping-particle":"","parse-names":false,"suffix":""},{"dropping-particle":"","family":"Wesley Ely","given":"E.","non-dropping-particle":"","parse-names":false,"suffix":""},{"dropping-particle":"","family":"Jackson","given":"James C.","non-dropping-particle":"","parse-names":false,"suffix":""},{"dropping-particle":"","family":"Hopkins","given":"Ramona O.","non-dropping-particle":"","parse-names":false,"suffix":""}],"container-title":"Critical Care Medicine","id":"ITEM-1","issue":"9 SUPPL.1","issued":{"date-parts":[["2013"]]},"title":"Cognitive dysfunction in ICU patients: Risk factors, predictors, and rehabilitation interventions","type":"article-journal","volume":"41"},"uris":["http://www.mendeley.com/documents/?uuid=ddfa9b6b-fe88-43d9-9c8c-855910f84195"]}],"mendeley":{"formattedCitation":"(33)","plainTextFormattedCitation":"(33)","previouslyFormattedCitation":"(33)"},"properties":{"noteIndex":0},"schema":"https://github.com/citation-style-language/schema/raw/master/csl-citation.json"}</w:instrText>
      </w:r>
      <w:r w:rsidR="137BAF00" w:rsidRPr="00557263">
        <w:rPr>
          <w:rFonts w:ascii="Times New Roman" w:hAnsi="Times New Roman" w:cs="Times New Roman"/>
          <w:sz w:val="24"/>
          <w:szCs w:val="24"/>
          <w:lang w:val="es-419"/>
        </w:rPr>
        <w:fldChar w:fldCharType="separate"/>
      </w:r>
      <w:r w:rsidR="00105048" w:rsidRPr="00105048">
        <w:rPr>
          <w:rFonts w:ascii="Times New Roman" w:hAnsi="Times New Roman" w:cs="Times New Roman"/>
          <w:noProof/>
          <w:sz w:val="24"/>
          <w:szCs w:val="24"/>
          <w:lang w:val="es-419"/>
        </w:rPr>
        <w:t>(33)</w:t>
      </w:r>
      <w:r w:rsidR="137BAF00" w:rsidRPr="00557263">
        <w:rPr>
          <w:rFonts w:ascii="Times New Roman" w:hAnsi="Times New Roman" w:cs="Times New Roman"/>
          <w:sz w:val="24"/>
          <w:szCs w:val="24"/>
          <w:lang w:val="es-419"/>
        </w:rPr>
        <w:fldChar w:fldCharType="end"/>
      </w:r>
      <w:r w:rsidR="008B35BC">
        <w:rPr>
          <w:rFonts w:ascii="Times New Roman" w:hAnsi="Times New Roman" w:cs="Times New Roman"/>
          <w:sz w:val="24"/>
          <w:szCs w:val="24"/>
          <w:lang w:val="es-419"/>
        </w:rPr>
        <w:t xml:space="preserve"> </w:t>
      </w:r>
      <w:r w:rsidR="00DF4694">
        <w:rPr>
          <w:rFonts w:ascii="Times New Roman" w:hAnsi="Times New Roman" w:cs="Times New Roman"/>
          <w:sz w:val="24"/>
          <w:szCs w:val="24"/>
          <w:lang w:val="es-419"/>
        </w:rPr>
        <w:t xml:space="preserve">El efecto de estas intervenciones se puede maximizar si </w:t>
      </w:r>
      <w:r w:rsidR="008446E2">
        <w:rPr>
          <w:rFonts w:ascii="Times New Roman" w:hAnsi="Times New Roman" w:cs="Times New Roman"/>
          <w:sz w:val="24"/>
          <w:szCs w:val="24"/>
        </w:rPr>
        <w:t xml:space="preserve">se </w:t>
      </w:r>
      <w:r w:rsidR="008B35BC" w:rsidRPr="008B35BC">
        <w:rPr>
          <w:rFonts w:ascii="Times New Roman" w:hAnsi="Times New Roman" w:cs="Times New Roman"/>
          <w:sz w:val="24"/>
          <w:szCs w:val="24"/>
        </w:rPr>
        <w:t>mejora el reconocimiento temprano</w:t>
      </w:r>
      <w:r w:rsidR="003F0869">
        <w:rPr>
          <w:rFonts w:ascii="Times New Roman" w:hAnsi="Times New Roman" w:cs="Times New Roman"/>
          <w:sz w:val="24"/>
          <w:szCs w:val="24"/>
        </w:rPr>
        <w:t xml:space="preserve"> de forma que </w:t>
      </w:r>
      <w:r w:rsidR="0094028A">
        <w:rPr>
          <w:rFonts w:ascii="Times New Roman" w:hAnsi="Times New Roman" w:cs="Times New Roman"/>
          <w:sz w:val="24"/>
          <w:szCs w:val="24"/>
        </w:rPr>
        <w:t>el tratamiento se provea de forma</w:t>
      </w:r>
      <w:r w:rsidR="008B35BC" w:rsidRPr="008B35BC">
        <w:rPr>
          <w:rFonts w:ascii="Times New Roman" w:hAnsi="Times New Roman" w:cs="Times New Roman"/>
          <w:sz w:val="24"/>
          <w:szCs w:val="24"/>
        </w:rPr>
        <w:t xml:space="preserve"> oportuna.</w:t>
      </w:r>
    </w:p>
    <w:p w14:paraId="0E5A1911" w14:textId="77777777" w:rsidR="008B35BC" w:rsidRPr="008B35BC" w:rsidRDefault="008B35BC" w:rsidP="0039189E">
      <w:pPr>
        <w:spacing w:line="360" w:lineRule="auto"/>
        <w:ind w:right="709"/>
        <w:jc w:val="both"/>
        <w:rPr>
          <w:rFonts w:ascii="Times New Roman" w:hAnsi="Times New Roman" w:cs="Times New Roman"/>
          <w:sz w:val="24"/>
          <w:szCs w:val="24"/>
        </w:rPr>
      </w:pPr>
    </w:p>
    <w:p w14:paraId="2F85F21A" w14:textId="77777777" w:rsidR="00364983" w:rsidRPr="008B35BC" w:rsidRDefault="00364983" w:rsidP="0039189E">
      <w:pPr>
        <w:spacing w:line="360" w:lineRule="auto"/>
        <w:ind w:right="709"/>
        <w:jc w:val="both"/>
        <w:rPr>
          <w:rFonts w:ascii="Times New Roman" w:hAnsi="Times New Roman" w:cs="Times New Roman"/>
          <w:sz w:val="24"/>
          <w:szCs w:val="24"/>
        </w:rPr>
      </w:pPr>
    </w:p>
    <w:p w14:paraId="28980689" w14:textId="77777777" w:rsidR="00987C8B" w:rsidRPr="00965CE8" w:rsidRDefault="00987C8B" w:rsidP="0039189E">
      <w:pPr>
        <w:spacing w:line="360" w:lineRule="auto"/>
        <w:ind w:right="709"/>
        <w:rPr>
          <w:rFonts w:ascii="Times New Roman" w:hAnsi="Times New Roman" w:cs="Times New Roman"/>
          <w:b/>
          <w:bCs/>
          <w:sz w:val="24"/>
          <w:szCs w:val="24"/>
          <w:lang w:val="es-419"/>
        </w:rPr>
      </w:pPr>
      <w:r w:rsidRPr="00965CE8">
        <w:rPr>
          <w:rFonts w:ascii="Times New Roman" w:hAnsi="Times New Roman" w:cs="Times New Roman"/>
          <w:b/>
          <w:bCs/>
          <w:sz w:val="24"/>
          <w:szCs w:val="24"/>
          <w:lang w:val="es-419"/>
        </w:rPr>
        <w:br w:type="page"/>
      </w:r>
    </w:p>
    <w:p w14:paraId="2C1E81F4" w14:textId="77777777" w:rsidR="00D62D5F" w:rsidRDefault="00364983" w:rsidP="0039189E">
      <w:pPr>
        <w:spacing w:line="360" w:lineRule="auto"/>
        <w:ind w:right="709"/>
        <w:jc w:val="both"/>
        <w:rPr>
          <w:rFonts w:ascii="Times New Roman" w:hAnsi="Times New Roman" w:cs="Times New Roman"/>
          <w:b/>
          <w:bCs/>
          <w:sz w:val="24"/>
          <w:szCs w:val="24"/>
        </w:rPr>
      </w:pPr>
      <w:r w:rsidRPr="00557263">
        <w:rPr>
          <w:rFonts w:ascii="Times New Roman" w:hAnsi="Times New Roman" w:cs="Times New Roman"/>
          <w:b/>
          <w:bCs/>
          <w:sz w:val="24"/>
          <w:szCs w:val="24"/>
        </w:rPr>
        <w:lastRenderedPageBreak/>
        <w:t>A</w:t>
      </w:r>
      <w:r w:rsidR="00D62D5F">
        <w:rPr>
          <w:rFonts w:ascii="Times New Roman" w:hAnsi="Times New Roman" w:cs="Times New Roman"/>
          <w:b/>
          <w:bCs/>
          <w:sz w:val="24"/>
          <w:szCs w:val="24"/>
        </w:rPr>
        <w:t>NEXOS</w:t>
      </w:r>
    </w:p>
    <w:p w14:paraId="70F044C7" w14:textId="1792C78B" w:rsidR="00D62D5F" w:rsidRPr="00D62D5F" w:rsidRDefault="00D62D5F" w:rsidP="0039189E">
      <w:pPr>
        <w:spacing w:line="360" w:lineRule="auto"/>
        <w:ind w:right="709"/>
        <w:rPr>
          <w:rFonts w:ascii="Times New Roman" w:hAnsi="Times New Roman" w:cs="Times New Roman"/>
          <w:sz w:val="24"/>
          <w:szCs w:val="24"/>
        </w:rPr>
      </w:pPr>
      <w:r w:rsidRPr="00557263">
        <w:rPr>
          <w:rFonts w:ascii="Times New Roman" w:hAnsi="Times New Roman" w:cs="Times New Roman"/>
          <w:b/>
          <w:bCs/>
          <w:sz w:val="24"/>
          <w:szCs w:val="24"/>
        </w:rPr>
        <w:t xml:space="preserve">Tabla 1. </w:t>
      </w:r>
      <w:r w:rsidRPr="00557263">
        <w:rPr>
          <w:rFonts w:ascii="Times New Roman" w:hAnsi="Times New Roman" w:cs="Times New Roman"/>
          <w:sz w:val="24"/>
          <w:szCs w:val="24"/>
        </w:rPr>
        <w:t>Características sociodemográficas</w:t>
      </w:r>
    </w:p>
    <w:tbl>
      <w:tblPr>
        <w:tblStyle w:val="Tablaconcuadrcula"/>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5"/>
        <w:gridCol w:w="1708"/>
        <w:gridCol w:w="1564"/>
        <w:gridCol w:w="1564"/>
        <w:gridCol w:w="977"/>
      </w:tblGrid>
      <w:tr w:rsidR="002061B8" w:rsidRPr="00D62D5F" w14:paraId="61A88334" w14:textId="77777777" w:rsidTr="0067629C">
        <w:trPr>
          <w:trHeight w:val="227"/>
          <w:tblHeader/>
        </w:trPr>
        <w:tc>
          <w:tcPr>
            <w:tcW w:w="3685" w:type="dxa"/>
            <w:vAlign w:val="center"/>
          </w:tcPr>
          <w:p w14:paraId="428713C4" w14:textId="77777777" w:rsidR="002061B8" w:rsidRPr="00D62D5F" w:rsidRDefault="002061B8" w:rsidP="0067629C">
            <w:pPr>
              <w:spacing w:line="360" w:lineRule="auto"/>
              <w:jc w:val="both"/>
              <w:rPr>
                <w:rFonts w:ascii="Times New Roman" w:hAnsi="Times New Roman" w:cs="Times New Roman"/>
                <w:lang w:val="es-ES"/>
              </w:rPr>
            </w:pPr>
            <w:bookmarkStart w:id="1" w:name="OLE_LINK3"/>
          </w:p>
        </w:tc>
        <w:tc>
          <w:tcPr>
            <w:tcW w:w="1708" w:type="dxa"/>
            <w:tcBorders>
              <w:bottom w:val="single" w:sz="4" w:space="0" w:color="auto"/>
              <w:right w:val="single" w:sz="4" w:space="0" w:color="auto"/>
            </w:tcBorders>
            <w:vAlign w:val="center"/>
          </w:tcPr>
          <w:p w14:paraId="530E1FD1" w14:textId="77777777" w:rsidR="002061B8" w:rsidRPr="00D62D5F" w:rsidRDefault="002061B8" w:rsidP="0067629C">
            <w:pPr>
              <w:spacing w:line="360" w:lineRule="auto"/>
              <w:jc w:val="both"/>
              <w:rPr>
                <w:rFonts w:ascii="Times New Roman" w:hAnsi="Times New Roman" w:cs="Times New Roman"/>
                <w:lang w:val="es-ES"/>
              </w:rPr>
            </w:pPr>
          </w:p>
        </w:tc>
        <w:tc>
          <w:tcPr>
            <w:tcW w:w="3128" w:type="dxa"/>
            <w:gridSpan w:val="2"/>
            <w:tcBorders>
              <w:left w:val="single" w:sz="4" w:space="0" w:color="auto"/>
              <w:bottom w:val="single" w:sz="4" w:space="0" w:color="auto"/>
            </w:tcBorders>
            <w:noWrap/>
            <w:vAlign w:val="center"/>
          </w:tcPr>
          <w:p w14:paraId="5FE7780E" w14:textId="77777777" w:rsidR="002061B8" w:rsidRPr="00D62D5F" w:rsidRDefault="002061B8" w:rsidP="0067629C">
            <w:pPr>
              <w:spacing w:line="360" w:lineRule="auto"/>
              <w:jc w:val="center"/>
              <w:rPr>
                <w:rFonts w:ascii="Times New Roman" w:hAnsi="Times New Roman" w:cs="Times New Roman"/>
                <w:b/>
                <w:bCs/>
                <w:lang w:val="es-ES"/>
              </w:rPr>
            </w:pPr>
            <w:r w:rsidRPr="00D62D5F">
              <w:rPr>
                <w:rFonts w:ascii="Times New Roman" w:hAnsi="Times New Roman" w:cs="Times New Roman"/>
                <w:b/>
                <w:bCs/>
                <w:lang w:val="es-ES"/>
              </w:rPr>
              <w:t>Deterioro cognitivo</w:t>
            </w:r>
          </w:p>
        </w:tc>
        <w:tc>
          <w:tcPr>
            <w:tcW w:w="977" w:type="dxa"/>
            <w:tcBorders>
              <w:left w:val="nil"/>
              <w:bottom w:val="single" w:sz="4" w:space="0" w:color="auto"/>
            </w:tcBorders>
            <w:noWrap/>
            <w:vAlign w:val="center"/>
          </w:tcPr>
          <w:p w14:paraId="4DF596D7" w14:textId="77777777" w:rsidR="002061B8" w:rsidRPr="00D62D5F" w:rsidRDefault="002061B8" w:rsidP="0067629C">
            <w:pPr>
              <w:spacing w:line="360" w:lineRule="auto"/>
              <w:jc w:val="both"/>
              <w:rPr>
                <w:rFonts w:ascii="Times New Roman" w:hAnsi="Times New Roman" w:cs="Times New Roman"/>
                <w:lang w:val="es-ES"/>
              </w:rPr>
            </w:pPr>
          </w:p>
        </w:tc>
      </w:tr>
      <w:tr w:rsidR="002061B8" w:rsidRPr="00D62D5F" w14:paraId="0F301CA0" w14:textId="77777777" w:rsidTr="0067629C">
        <w:trPr>
          <w:trHeight w:val="227"/>
          <w:tblHeader/>
        </w:trPr>
        <w:tc>
          <w:tcPr>
            <w:tcW w:w="3685" w:type="dxa"/>
            <w:vAlign w:val="center"/>
          </w:tcPr>
          <w:p w14:paraId="18BE5E93" w14:textId="77777777" w:rsidR="002061B8" w:rsidRPr="00D62D5F" w:rsidRDefault="002061B8" w:rsidP="0067629C">
            <w:pPr>
              <w:spacing w:line="360" w:lineRule="auto"/>
              <w:jc w:val="both"/>
              <w:rPr>
                <w:rFonts w:ascii="Times New Roman" w:hAnsi="Times New Roman" w:cs="Times New Roman"/>
                <w:b/>
                <w:bCs/>
                <w:lang w:val="es-ES"/>
              </w:rPr>
            </w:pPr>
          </w:p>
        </w:tc>
        <w:tc>
          <w:tcPr>
            <w:tcW w:w="1708" w:type="dxa"/>
            <w:tcBorders>
              <w:top w:val="single" w:sz="4" w:space="0" w:color="auto"/>
              <w:right w:val="single" w:sz="4" w:space="0" w:color="auto"/>
            </w:tcBorders>
            <w:vAlign w:val="center"/>
          </w:tcPr>
          <w:p w14:paraId="5A3EEA78" w14:textId="77777777" w:rsidR="002061B8" w:rsidRPr="00D62D5F" w:rsidRDefault="002061B8" w:rsidP="0067629C">
            <w:pPr>
              <w:spacing w:line="360" w:lineRule="auto"/>
              <w:jc w:val="right"/>
              <w:rPr>
                <w:rFonts w:ascii="Times New Roman" w:hAnsi="Times New Roman" w:cs="Times New Roman"/>
                <w:b/>
                <w:bCs/>
                <w:lang w:val="es-ES"/>
              </w:rPr>
            </w:pPr>
            <w:r w:rsidRPr="00D62D5F">
              <w:rPr>
                <w:rFonts w:ascii="Times New Roman" w:hAnsi="Times New Roman" w:cs="Times New Roman"/>
                <w:b/>
                <w:bCs/>
                <w:lang w:val="es-ES"/>
              </w:rPr>
              <w:t>total</w:t>
            </w:r>
          </w:p>
        </w:tc>
        <w:tc>
          <w:tcPr>
            <w:tcW w:w="1564" w:type="dxa"/>
            <w:tcBorders>
              <w:top w:val="single" w:sz="4" w:space="0" w:color="auto"/>
              <w:left w:val="single" w:sz="4" w:space="0" w:color="auto"/>
            </w:tcBorders>
            <w:noWrap/>
            <w:vAlign w:val="center"/>
            <w:hideMark/>
          </w:tcPr>
          <w:p w14:paraId="3AB5D8DB" w14:textId="77777777" w:rsidR="002061B8" w:rsidRPr="00D62D5F" w:rsidRDefault="002061B8" w:rsidP="0067629C">
            <w:pPr>
              <w:spacing w:line="360" w:lineRule="auto"/>
              <w:jc w:val="right"/>
              <w:rPr>
                <w:rFonts w:ascii="Times New Roman" w:hAnsi="Times New Roman" w:cs="Times New Roman"/>
                <w:b/>
                <w:bCs/>
                <w:lang w:val="es-ES"/>
              </w:rPr>
            </w:pPr>
            <w:r w:rsidRPr="00D62D5F">
              <w:rPr>
                <w:rFonts w:ascii="Times New Roman" w:hAnsi="Times New Roman" w:cs="Times New Roman"/>
                <w:b/>
                <w:bCs/>
                <w:lang w:val="es-ES"/>
              </w:rPr>
              <w:t>no</w:t>
            </w:r>
          </w:p>
        </w:tc>
        <w:tc>
          <w:tcPr>
            <w:tcW w:w="1564" w:type="dxa"/>
            <w:tcBorders>
              <w:top w:val="single" w:sz="4" w:space="0" w:color="auto"/>
            </w:tcBorders>
            <w:noWrap/>
            <w:vAlign w:val="center"/>
            <w:hideMark/>
          </w:tcPr>
          <w:p w14:paraId="6D4D2C89" w14:textId="77777777" w:rsidR="002061B8" w:rsidRPr="00D62D5F" w:rsidRDefault="002061B8" w:rsidP="0067629C">
            <w:pPr>
              <w:spacing w:line="360" w:lineRule="auto"/>
              <w:jc w:val="right"/>
              <w:rPr>
                <w:rFonts w:ascii="Times New Roman" w:hAnsi="Times New Roman" w:cs="Times New Roman"/>
                <w:b/>
                <w:bCs/>
                <w:lang w:val="es-ES"/>
              </w:rPr>
            </w:pPr>
            <w:r w:rsidRPr="00D62D5F">
              <w:rPr>
                <w:rFonts w:ascii="Times New Roman" w:hAnsi="Times New Roman" w:cs="Times New Roman"/>
                <w:b/>
                <w:bCs/>
                <w:lang w:val="es-ES"/>
              </w:rPr>
              <w:t>si</w:t>
            </w:r>
          </w:p>
        </w:tc>
        <w:tc>
          <w:tcPr>
            <w:tcW w:w="977" w:type="dxa"/>
            <w:tcBorders>
              <w:top w:val="single" w:sz="4" w:space="0" w:color="auto"/>
              <w:left w:val="nil"/>
            </w:tcBorders>
            <w:noWrap/>
            <w:vAlign w:val="center"/>
            <w:hideMark/>
          </w:tcPr>
          <w:p w14:paraId="44B281F3" w14:textId="77777777" w:rsidR="002061B8" w:rsidRPr="00D62D5F" w:rsidRDefault="002061B8" w:rsidP="0067629C">
            <w:pPr>
              <w:spacing w:line="360" w:lineRule="auto"/>
              <w:jc w:val="right"/>
              <w:rPr>
                <w:rFonts w:ascii="Times New Roman" w:hAnsi="Times New Roman" w:cs="Times New Roman"/>
                <w:b/>
                <w:bCs/>
                <w:i/>
                <w:iCs/>
                <w:lang w:val="es-ES"/>
              </w:rPr>
            </w:pPr>
            <w:r w:rsidRPr="00D62D5F">
              <w:rPr>
                <w:rFonts w:ascii="Times New Roman" w:hAnsi="Times New Roman" w:cs="Times New Roman"/>
                <w:b/>
                <w:bCs/>
                <w:i/>
                <w:iCs/>
                <w:lang w:val="es-ES"/>
              </w:rPr>
              <w:t>p-value</w:t>
            </w:r>
          </w:p>
        </w:tc>
      </w:tr>
      <w:tr w:rsidR="002061B8" w:rsidRPr="00D62D5F" w14:paraId="06279AE9" w14:textId="77777777" w:rsidTr="0067629C">
        <w:trPr>
          <w:trHeight w:val="227"/>
          <w:tblHeader/>
        </w:trPr>
        <w:tc>
          <w:tcPr>
            <w:tcW w:w="3685" w:type="dxa"/>
            <w:vAlign w:val="center"/>
          </w:tcPr>
          <w:p w14:paraId="43C6D554"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N</w:t>
            </w:r>
          </w:p>
        </w:tc>
        <w:tc>
          <w:tcPr>
            <w:tcW w:w="1708" w:type="dxa"/>
            <w:tcBorders>
              <w:right w:val="single" w:sz="4" w:space="0" w:color="auto"/>
            </w:tcBorders>
            <w:vAlign w:val="center"/>
          </w:tcPr>
          <w:p w14:paraId="3DF2E1FD"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103</w:t>
            </w:r>
          </w:p>
        </w:tc>
        <w:tc>
          <w:tcPr>
            <w:tcW w:w="1564" w:type="dxa"/>
            <w:tcBorders>
              <w:left w:val="single" w:sz="4" w:space="0" w:color="auto"/>
            </w:tcBorders>
            <w:noWrap/>
            <w:vAlign w:val="center"/>
            <w:hideMark/>
          </w:tcPr>
          <w:p w14:paraId="29D48506"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63</w:t>
            </w:r>
          </w:p>
        </w:tc>
        <w:tc>
          <w:tcPr>
            <w:tcW w:w="1564" w:type="dxa"/>
            <w:noWrap/>
            <w:vAlign w:val="center"/>
            <w:hideMark/>
          </w:tcPr>
          <w:p w14:paraId="58FFF00D"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40</w:t>
            </w:r>
          </w:p>
        </w:tc>
        <w:tc>
          <w:tcPr>
            <w:tcW w:w="977" w:type="dxa"/>
            <w:tcBorders>
              <w:left w:val="nil"/>
            </w:tcBorders>
            <w:noWrap/>
            <w:vAlign w:val="center"/>
            <w:hideMark/>
          </w:tcPr>
          <w:p w14:paraId="6DA8F764"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63E9FC6E" w14:textId="77777777" w:rsidTr="0067629C">
        <w:trPr>
          <w:trHeight w:val="227"/>
        </w:trPr>
        <w:tc>
          <w:tcPr>
            <w:tcW w:w="3685" w:type="dxa"/>
            <w:vAlign w:val="center"/>
          </w:tcPr>
          <w:p w14:paraId="386E9F8E"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Edad (años),</w:t>
            </w:r>
            <w:r w:rsidRPr="00D62D5F">
              <w:rPr>
                <w:rFonts w:ascii="Times New Roman" w:hAnsi="Times New Roman" w:cs="Times New Roman"/>
                <w:lang w:val="es-ES"/>
              </w:rPr>
              <w:t xml:space="preserve"> median (IQR)</w:t>
            </w:r>
          </w:p>
        </w:tc>
        <w:tc>
          <w:tcPr>
            <w:tcW w:w="1708" w:type="dxa"/>
            <w:tcBorders>
              <w:right w:val="single" w:sz="4" w:space="0" w:color="auto"/>
            </w:tcBorders>
            <w:vAlign w:val="center"/>
          </w:tcPr>
          <w:p w14:paraId="06EBEC4C"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56 (47, 65)</w:t>
            </w:r>
          </w:p>
        </w:tc>
        <w:tc>
          <w:tcPr>
            <w:tcW w:w="1564" w:type="dxa"/>
            <w:tcBorders>
              <w:left w:val="single" w:sz="4" w:space="0" w:color="auto"/>
            </w:tcBorders>
            <w:noWrap/>
            <w:vAlign w:val="center"/>
            <w:hideMark/>
          </w:tcPr>
          <w:p w14:paraId="23D4CDB1"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53 (42, 63)</w:t>
            </w:r>
          </w:p>
        </w:tc>
        <w:tc>
          <w:tcPr>
            <w:tcW w:w="1564" w:type="dxa"/>
            <w:noWrap/>
            <w:vAlign w:val="center"/>
            <w:hideMark/>
          </w:tcPr>
          <w:p w14:paraId="35E3CDFA"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57.5 (52, 66)</w:t>
            </w:r>
          </w:p>
        </w:tc>
        <w:tc>
          <w:tcPr>
            <w:tcW w:w="977" w:type="dxa"/>
            <w:tcBorders>
              <w:left w:val="nil"/>
            </w:tcBorders>
            <w:noWrap/>
            <w:vAlign w:val="center"/>
            <w:hideMark/>
          </w:tcPr>
          <w:p w14:paraId="7F61BF04"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0.068</w:t>
            </w:r>
          </w:p>
        </w:tc>
      </w:tr>
      <w:tr w:rsidR="002061B8" w:rsidRPr="00D62D5F" w14:paraId="3CFEF444" w14:textId="77777777" w:rsidTr="0067629C">
        <w:trPr>
          <w:trHeight w:val="227"/>
        </w:trPr>
        <w:tc>
          <w:tcPr>
            <w:tcW w:w="3685" w:type="dxa"/>
            <w:vAlign w:val="center"/>
          </w:tcPr>
          <w:p w14:paraId="2285EB18"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Sexo (femenino)</w:t>
            </w:r>
          </w:p>
        </w:tc>
        <w:tc>
          <w:tcPr>
            <w:tcW w:w="1708" w:type="dxa"/>
            <w:tcBorders>
              <w:right w:val="single" w:sz="4" w:space="0" w:color="auto"/>
            </w:tcBorders>
            <w:vAlign w:val="center"/>
          </w:tcPr>
          <w:p w14:paraId="0698B71D"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34 (33.0%)</w:t>
            </w:r>
          </w:p>
        </w:tc>
        <w:tc>
          <w:tcPr>
            <w:tcW w:w="1564" w:type="dxa"/>
            <w:tcBorders>
              <w:left w:val="single" w:sz="4" w:space="0" w:color="auto"/>
            </w:tcBorders>
            <w:noWrap/>
            <w:vAlign w:val="center"/>
            <w:hideMark/>
          </w:tcPr>
          <w:p w14:paraId="2BB57A46"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18 (29%)</w:t>
            </w:r>
          </w:p>
        </w:tc>
        <w:tc>
          <w:tcPr>
            <w:tcW w:w="1564" w:type="dxa"/>
            <w:noWrap/>
            <w:vAlign w:val="center"/>
            <w:hideMark/>
          </w:tcPr>
          <w:p w14:paraId="6C20A5BF"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16 (40%)</w:t>
            </w:r>
          </w:p>
        </w:tc>
        <w:tc>
          <w:tcPr>
            <w:tcW w:w="977" w:type="dxa"/>
            <w:tcBorders>
              <w:left w:val="nil"/>
            </w:tcBorders>
            <w:noWrap/>
            <w:vAlign w:val="center"/>
            <w:hideMark/>
          </w:tcPr>
          <w:p w14:paraId="3B8373D1"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0.23</w:t>
            </w:r>
          </w:p>
        </w:tc>
      </w:tr>
      <w:tr w:rsidR="002061B8" w:rsidRPr="00D62D5F" w14:paraId="336B007A" w14:textId="77777777" w:rsidTr="0067629C">
        <w:trPr>
          <w:trHeight w:val="227"/>
        </w:trPr>
        <w:tc>
          <w:tcPr>
            <w:tcW w:w="3685" w:type="dxa"/>
            <w:vAlign w:val="center"/>
          </w:tcPr>
          <w:p w14:paraId="1BED984A"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Fragilidad clínica</w:t>
            </w:r>
          </w:p>
        </w:tc>
        <w:tc>
          <w:tcPr>
            <w:tcW w:w="1708" w:type="dxa"/>
            <w:tcBorders>
              <w:right w:val="single" w:sz="4" w:space="0" w:color="auto"/>
            </w:tcBorders>
            <w:vAlign w:val="center"/>
          </w:tcPr>
          <w:p w14:paraId="04F82295"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5 (4.9%)</w:t>
            </w:r>
          </w:p>
        </w:tc>
        <w:tc>
          <w:tcPr>
            <w:tcW w:w="1564" w:type="dxa"/>
            <w:tcBorders>
              <w:left w:val="single" w:sz="4" w:space="0" w:color="auto"/>
            </w:tcBorders>
            <w:noWrap/>
            <w:vAlign w:val="center"/>
            <w:hideMark/>
          </w:tcPr>
          <w:p w14:paraId="3E535D7C"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 (2%)</w:t>
            </w:r>
          </w:p>
        </w:tc>
        <w:tc>
          <w:tcPr>
            <w:tcW w:w="1564" w:type="dxa"/>
            <w:noWrap/>
            <w:vAlign w:val="center"/>
            <w:hideMark/>
          </w:tcPr>
          <w:p w14:paraId="1F363018"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4 (10%)</w:t>
            </w:r>
          </w:p>
        </w:tc>
        <w:tc>
          <w:tcPr>
            <w:tcW w:w="977" w:type="dxa"/>
            <w:tcBorders>
              <w:left w:val="nil"/>
            </w:tcBorders>
            <w:noWrap/>
            <w:vAlign w:val="center"/>
            <w:hideMark/>
          </w:tcPr>
          <w:p w14:paraId="7CDFDE95"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0.073</w:t>
            </w:r>
          </w:p>
        </w:tc>
      </w:tr>
      <w:tr w:rsidR="002061B8" w:rsidRPr="00D62D5F" w14:paraId="0A25C403" w14:textId="77777777" w:rsidTr="0067629C">
        <w:trPr>
          <w:trHeight w:val="227"/>
        </w:trPr>
        <w:tc>
          <w:tcPr>
            <w:tcW w:w="3685" w:type="dxa"/>
            <w:vAlign w:val="center"/>
          </w:tcPr>
          <w:p w14:paraId="2AFE1606"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Nivel educacional</w:t>
            </w:r>
          </w:p>
        </w:tc>
        <w:tc>
          <w:tcPr>
            <w:tcW w:w="1708" w:type="dxa"/>
            <w:tcBorders>
              <w:right w:val="single" w:sz="4" w:space="0" w:color="auto"/>
            </w:tcBorders>
            <w:vAlign w:val="center"/>
          </w:tcPr>
          <w:p w14:paraId="709FA584" w14:textId="77777777" w:rsidR="002061B8" w:rsidRPr="00D62D5F" w:rsidRDefault="002061B8" w:rsidP="0067629C">
            <w:pPr>
              <w:spacing w:line="360" w:lineRule="auto"/>
              <w:jc w:val="right"/>
              <w:rPr>
                <w:rFonts w:ascii="Times New Roman" w:hAnsi="Times New Roman" w:cs="Times New Roman"/>
                <w:lang w:val="es-ES"/>
              </w:rPr>
            </w:pPr>
          </w:p>
        </w:tc>
        <w:tc>
          <w:tcPr>
            <w:tcW w:w="1564" w:type="dxa"/>
            <w:tcBorders>
              <w:left w:val="single" w:sz="4" w:space="0" w:color="auto"/>
            </w:tcBorders>
            <w:noWrap/>
            <w:vAlign w:val="center"/>
            <w:hideMark/>
          </w:tcPr>
          <w:p w14:paraId="379DA1C7" w14:textId="77777777" w:rsidR="002061B8" w:rsidRPr="00D62D5F" w:rsidRDefault="002061B8" w:rsidP="0067629C">
            <w:pPr>
              <w:spacing w:line="360" w:lineRule="auto"/>
              <w:jc w:val="right"/>
              <w:rPr>
                <w:rFonts w:ascii="Times New Roman" w:hAnsi="Times New Roman" w:cs="Times New Roman"/>
                <w:lang w:val="es-ES"/>
              </w:rPr>
            </w:pPr>
          </w:p>
        </w:tc>
        <w:tc>
          <w:tcPr>
            <w:tcW w:w="1564" w:type="dxa"/>
            <w:noWrap/>
            <w:vAlign w:val="center"/>
            <w:hideMark/>
          </w:tcPr>
          <w:p w14:paraId="35542DA1" w14:textId="77777777" w:rsidR="002061B8" w:rsidRPr="00D62D5F" w:rsidRDefault="002061B8" w:rsidP="0067629C">
            <w:pPr>
              <w:spacing w:line="360" w:lineRule="auto"/>
              <w:jc w:val="right"/>
              <w:rPr>
                <w:rFonts w:ascii="Times New Roman" w:hAnsi="Times New Roman" w:cs="Times New Roman"/>
                <w:lang w:val="es-ES"/>
              </w:rPr>
            </w:pPr>
          </w:p>
        </w:tc>
        <w:tc>
          <w:tcPr>
            <w:tcW w:w="977" w:type="dxa"/>
            <w:tcBorders>
              <w:left w:val="nil"/>
            </w:tcBorders>
            <w:noWrap/>
            <w:vAlign w:val="center"/>
            <w:hideMark/>
          </w:tcPr>
          <w:p w14:paraId="79674743" w14:textId="77777777" w:rsidR="002061B8" w:rsidRPr="00D62D5F" w:rsidRDefault="002061B8" w:rsidP="0067629C">
            <w:pPr>
              <w:spacing w:line="360" w:lineRule="auto"/>
              <w:jc w:val="right"/>
              <w:rPr>
                <w:rFonts w:ascii="Times New Roman" w:hAnsi="Times New Roman" w:cs="Times New Roman"/>
                <w:b/>
                <w:bCs/>
                <w:lang w:val="es-ES"/>
              </w:rPr>
            </w:pPr>
            <w:r w:rsidRPr="00D62D5F">
              <w:rPr>
                <w:rFonts w:ascii="Times New Roman" w:hAnsi="Times New Roman" w:cs="Times New Roman"/>
                <w:b/>
                <w:bCs/>
                <w:lang w:val="es-ES"/>
              </w:rPr>
              <w:t>&lt;0.001</w:t>
            </w:r>
          </w:p>
        </w:tc>
      </w:tr>
      <w:tr w:rsidR="002061B8" w:rsidRPr="00D62D5F" w14:paraId="51F1DB79" w14:textId="77777777" w:rsidTr="0067629C">
        <w:trPr>
          <w:trHeight w:val="227"/>
        </w:trPr>
        <w:tc>
          <w:tcPr>
            <w:tcW w:w="3685" w:type="dxa"/>
            <w:vAlign w:val="center"/>
          </w:tcPr>
          <w:p w14:paraId="65DD6581"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 xml:space="preserve">   </w:t>
            </w:r>
            <w:r w:rsidRPr="00D62D5F">
              <w:rPr>
                <w:rFonts w:ascii="Times New Roman" w:hAnsi="Times New Roman" w:cs="Times New Roman"/>
                <w:b/>
                <w:bCs/>
                <w:lang w:val="es-ES"/>
              </w:rPr>
              <w:t xml:space="preserve"> </w:t>
            </w:r>
            <w:r w:rsidRPr="00D62D5F">
              <w:rPr>
                <w:rFonts w:ascii="Times New Roman" w:hAnsi="Times New Roman" w:cs="Times New Roman"/>
                <w:lang w:val="es-ES"/>
              </w:rPr>
              <w:t>≤8 años</w:t>
            </w:r>
          </w:p>
        </w:tc>
        <w:tc>
          <w:tcPr>
            <w:tcW w:w="1708" w:type="dxa"/>
            <w:tcBorders>
              <w:right w:val="single" w:sz="4" w:space="0" w:color="auto"/>
            </w:tcBorders>
            <w:vAlign w:val="center"/>
          </w:tcPr>
          <w:p w14:paraId="798BEB76"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16 (15.5%)</w:t>
            </w:r>
          </w:p>
        </w:tc>
        <w:tc>
          <w:tcPr>
            <w:tcW w:w="1564" w:type="dxa"/>
            <w:tcBorders>
              <w:left w:val="single" w:sz="4" w:space="0" w:color="auto"/>
            </w:tcBorders>
            <w:noWrap/>
            <w:vAlign w:val="center"/>
            <w:hideMark/>
          </w:tcPr>
          <w:p w14:paraId="07D519C3"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 (2%)</w:t>
            </w:r>
          </w:p>
        </w:tc>
        <w:tc>
          <w:tcPr>
            <w:tcW w:w="1564" w:type="dxa"/>
            <w:noWrap/>
            <w:vAlign w:val="center"/>
            <w:hideMark/>
          </w:tcPr>
          <w:p w14:paraId="154A061D"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15 (38%)</w:t>
            </w:r>
          </w:p>
        </w:tc>
        <w:tc>
          <w:tcPr>
            <w:tcW w:w="977" w:type="dxa"/>
            <w:tcBorders>
              <w:left w:val="nil"/>
            </w:tcBorders>
            <w:noWrap/>
            <w:vAlign w:val="center"/>
            <w:hideMark/>
          </w:tcPr>
          <w:p w14:paraId="53D949D2"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1E17434D" w14:textId="77777777" w:rsidTr="0067629C">
        <w:trPr>
          <w:trHeight w:val="227"/>
        </w:trPr>
        <w:tc>
          <w:tcPr>
            <w:tcW w:w="3685" w:type="dxa"/>
            <w:vAlign w:val="center"/>
          </w:tcPr>
          <w:p w14:paraId="467D9729"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 xml:space="preserve">   9 a 12 años</w:t>
            </w:r>
          </w:p>
        </w:tc>
        <w:tc>
          <w:tcPr>
            <w:tcW w:w="1708" w:type="dxa"/>
            <w:tcBorders>
              <w:right w:val="single" w:sz="4" w:space="0" w:color="auto"/>
            </w:tcBorders>
            <w:vAlign w:val="center"/>
          </w:tcPr>
          <w:p w14:paraId="5B1CD071"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28 (27.2%)</w:t>
            </w:r>
          </w:p>
        </w:tc>
        <w:tc>
          <w:tcPr>
            <w:tcW w:w="1564" w:type="dxa"/>
            <w:tcBorders>
              <w:left w:val="single" w:sz="4" w:space="0" w:color="auto"/>
            </w:tcBorders>
            <w:noWrap/>
            <w:vAlign w:val="center"/>
            <w:hideMark/>
          </w:tcPr>
          <w:p w14:paraId="7B756300"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19 (30%)</w:t>
            </w:r>
          </w:p>
        </w:tc>
        <w:tc>
          <w:tcPr>
            <w:tcW w:w="1564" w:type="dxa"/>
            <w:noWrap/>
            <w:vAlign w:val="center"/>
            <w:hideMark/>
          </w:tcPr>
          <w:p w14:paraId="6164030A"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9 (22%)</w:t>
            </w:r>
          </w:p>
        </w:tc>
        <w:tc>
          <w:tcPr>
            <w:tcW w:w="977" w:type="dxa"/>
            <w:tcBorders>
              <w:left w:val="nil"/>
            </w:tcBorders>
            <w:noWrap/>
            <w:vAlign w:val="center"/>
            <w:hideMark/>
          </w:tcPr>
          <w:p w14:paraId="54D58334"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1E8F3D84" w14:textId="77777777" w:rsidTr="0067629C">
        <w:trPr>
          <w:trHeight w:val="227"/>
        </w:trPr>
        <w:tc>
          <w:tcPr>
            <w:tcW w:w="3685" w:type="dxa"/>
            <w:vAlign w:val="center"/>
          </w:tcPr>
          <w:p w14:paraId="7D7D998A"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 xml:space="preserve">   &gt;12 años</w:t>
            </w:r>
          </w:p>
        </w:tc>
        <w:tc>
          <w:tcPr>
            <w:tcW w:w="1708" w:type="dxa"/>
            <w:tcBorders>
              <w:right w:val="single" w:sz="4" w:space="0" w:color="auto"/>
            </w:tcBorders>
            <w:vAlign w:val="center"/>
          </w:tcPr>
          <w:p w14:paraId="567848A7"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59 (57.3%)</w:t>
            </w:r>
          </w:p>
        </w:tc>
        <w:tc>
          <w:tcPr>
            <w:tcW w:w="1564" w:type="dxa"/>
            <w:tcBorders>
              <w:left w:val="single" w:sz="4" w:space="0" w:color="auto"/>
            </w:tcBorders>
            <w:noWrap/>
            <w:vAlign w:val="center"/>
            <w:hideMark/>
          </w:tcPr>
          <w:p w14:paraId="5F8822E1"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43 (68%)</w:t>
            </w:r>
          </w:p>
        </w:tc>
        <w:tc>
          <w:tcPr>
            <w:tcW w:w="1564" w:type="dxa"/>
            <w:noWrap/>
            <w:vAlign w:val="center"/>
            <w:hideMark/>
          </w:tcPr>
          <w:p w14:paraId="04AF0761"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16 (40%)</w:t>
            </w:r>
          </w:p>
        </w:tc>
        <w:tc>
          <w:tcPr>
            <w:tcW w:w="977" w:type="dxa"/>
            <w:tcBorders>
              <w:left w:val="nil"/>
            </w:tcBorders>
            <w:noWrap/>
            <w:vAlign w:val="center"/>
            <w:hideMark/>
          </w:tcPr>
          <w:p w14:paraId="49BACE75"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1E7F73FB" w14:textId="77777777" w:rsidTr="0067629C">
        <w:trPr>
          <w:trHeight w:val="227"/>
        </w:trPr>
        <w:tc>
          <w:tcPr>
            <w:tcW w:w="3685" w:type="dxa"/>
            <w:vAlign w:val="center"/>
          </w:tcPr>
          <w:p w14:paraId="7837B0B7"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Alteración cognitiva al egreso de UCI</w:t>
            </w:r>
          </w:p>
        </w:tc>
        <w:tc>
          <w:tcPr>
            <w:tcW w:w="1708" w:type="dxa"/>
            <w:tcBorders>
              <w:right w:val="single" w:sz="4" w:space="0" w:color="auto"/>
            </w:tcBorders>
            <w:vAlign w:val="center"/>
          </w:tcPr>
          <w:p w14:paraId="0B834C6D"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72 (69.9%)</w:t>
            </w:r>
          </w:p>
        </w:tc>
        <w:tc>
          <w:tcPr>
            <w:tcW w:w="1564" w:type="dxa"/>
            <w:tcBorders>
              <w:left w:val="single" w:sz="4" w:space="0" w:color="auto"/>
            </w:tcBorders>
            <w:noWrap/>
            <w:vAlign w:val="center"/>
            <w:hideMark/>
          </w:tcPr>
          <w:p w14:paraId="4717B376"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39 (62%)</w:t>
            </w:r>
          </w:p>
        </w:tc>
        <w:tc>
          <w:tcPr>
            <w:tcW w:w="1564" w:type="dxa"/>
            <w:noWrap/>
            <w:vAlign w:val="center"/>
            <w:hideMark/>
          </w:tcPr>
          <w:p w14:paraId="734C82BE"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33 (82%)</w:t>
            </w:r>
          </w:p>
        </w:tc>
        <w:tc>
          <w:tcPr>
            <w:tcW w:w="977" w:type="dxa"/>
            <w:tcBorders>
              <w:left w:val="nil"/>
            </w:tcBorders>
            <w:noWrap/>
            <w:vAlign w:val="center"/>
            <w:hideMark/>
          </w:tcPr>
          <w:p w14:paraId="59409ACC" w14:textId="77777777" w:rsidR="002061B8" w:rsidRPr="00D62D5F" w:rsidRDefault="002061B8" w:rsidP="0067629C">
            <w:pPr>
              <w:spacing w:line="360" w:lineRule="auto"/>
              <w:jc w:val="right"/>
              <w:rPr>
                <w:rFonts w:ascii="Times New Roman" w:hAnsi="Times New Roman" w:cs="Times New Roman"/>
                <w:b/>
                <w:bCs/>
                <w:lang w:val="es-ES"/>
              </w:rPr>
            </w:pPr>
            <w:r w:rsidRPr="00D62D5F">
              <w:rPr>
                <w:rFonts w:ascii="Times New Roman" w:hAnsi="Times New Roman" w:cs="Times New Roman"/>
                <w:b/>
                <w:bCs/>
                <w:lang w:val="es-ES"/>
              </w:rPr>
              <w:t>0.026</w:t>
            </w:r>
          </w:p>
        </w:tc>
      </w:tr>
      <w:tr w:rsidR="002061B8" w:rsidRPr="00D62D5F" w14:paraId="6FAC5262" w14:textId="77777777" w:rsidTr="0067629C">
        <w:trPr>
          <w:trHeight w:val="227"/>
        </w:trPr>
        <w:tc>
          <w:tcPr>
            <w:tcW w:w="3685" w:type="dxa"/>
            <w:vAlign w:val="center"/>
          </w:tcPr>
          <w:p w14:paraId="1A911EEE"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Comorbilidades</w:t>
            </w:r>
          </w:p>
        </w:tc>
        <w:tc>
          <w:tcPr>
            <w:tcW w:w="1708" w:type="dxa"/>
            <w:tcBorders>
              <w:right w:val="single" w:sz="4" w:space="0" w:color="auto"/>
            </w:tcBorders>
            <w:vAlign w:val="center"/>
          </w:tcPr>
          <w:p w14:paraId="4C5C5385" w14:textId="77777777" w:rsidR="002061B8" w:rsidRPr="00D62D5F" w:rsidRDefault="002061B8" w:rsidP="0067629C">
            <w:pPr>
              <w:spacing w:line="360" w:lineRule="auto"/>
              <w:jc w:val="right"/>
              <w:rPr>
                <w:rFonts w:ascii="Times New Roman" w:hAnsi="Times New Roman" w:cs="Times New Roman"/>
                <w:lang w:val="es-ES"/>
              </w:rPr>
            </w:pPr>
          </w:p>
        </w:tc>
        <w:tc>
          <w:tcPr>
            <w:tcW w:w="1564" w:type="dxa"/>
            <w:tcBorders>
              <w:left w:val="single" w:sz="4" w:space="0" w:color="auto"/>
            </w:tcBorders>
            <w:noWrap/>
            <w:vAlign w:val="center"/>
            <w:hideMark/>
          </w:tcPr>
          <w:p w14:paraId="0CFD04F7" w14:textId="77777777" w:rsidR="002061B8" w:rsidRPr="00D62D5F" w:rsidRDefault="002061B8" w:rsidP="0067629C">
            <w:pPr>
              <w:spacing w:line="360" w:lineRule="auto"/>
              <w:jc w:val="right"/>
              <w:rPr>
                <w:rFonts w:ascii="Times New Roman" w:hAnsi="Times New Roman" w:cs="Times New Roman"/>
                <w:lang w:val="es-ES"/>
              </w:rPr>
            </w:pPr>
          </w:p>
        </w:tc>
        <w:tc>
          <w:tcPr>
            <w:tcW w:w="1564" w:type="dxa"/>
            <w:noWrap/>
            <w:vAlign w:val="center"/>
            <w:hideMark/>
          </w:tcPr>
          <w:p w14:paraId="61B41D91" w14:textId="77777777" w:rsidR="002061B8" w:rsidRPr="00D62D5F" w:rsidRDefault="002061B8" w:rsidP="0067629C">
            <w:pPr>
              <w:spacing w:line="360" w:lineRule="auto"/>
              <w:jc w:val="right"/>
              <w:rPr>
                <w:rFonts w:ascii="Times New Roman" w:hAnsi="Times New Roman" w:cs="Times New Roman"/>
                <w:lang w:val="es-ES"/>
              </w:rPr>
            </w:pPr>
          </w:p>
        </w:tc>
        <w:tc>
          <w:tcPr>
            <w:tcW w:w="977" w:type="dxa"/>
            <w:tcBorders>
              <w:left w:val="nil"/>
            </w:tcBorders>
            <w:noWrap/>
            <w:vAlign w:val="center"/>
            <w:hideMark/>
          </w:tcPr>
          <w:p w14:paraId="55DF3976" w14:textId="77777777" w:rsidR="002061B8" w:rsidRPr="00D62D5F" w:rsidRDefault="002061B8" w:rsidP="0067629C">
            <w:pPr>
              <w:spacing w:line="360" w:lineRule="auto"/>
              <w:jc w:val="right"/>
              <w:rPr>
                <w:rFonts w:ascii="Times New Roman" w:hAnsi="Times New Roman" w:cs="Times New Roman"/>
                <w:b/>
                <w:bCs/>
                <w:lang w:val="es-ES"/>
              </w:rPr>
            </w:pPr>
            <w:r w:rsidRPr="00D62D5F">
              <w:rPr>
                <w:rFonts w:ascii="Times New Roman" w:hAnsi="Times New Roman" w:cs="Times New Roman"/>
                <w:b/>
                <w:bCs/>
                <w:lang w:val="es-ES"/>
              </w:rPr>
              <w:t>0.044</w:t>
            </w:r>
          </w:p>
        </w:tc>
      </w:tr>
      <w:tr w:rsidR="002061B8" w:rsidRPr="00D62D5F" w14:paraId="1074D82A" w14:textId="77777777" w:rsidTr="0067629C">
        <w:trPr>
          <w:trHeight w:val="227"/>
        </w:trPr>
        <w:tc>
          <w:tcPr>
            <w:tcW w:w="3685" w:type="dxa"/>
            <w:vAlign w:val="center"/>
          </w:tcPr>
          <w:p w14:paraId="40E176BB"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 xml:space="preserve">   0</w:t>
            </w:r>
          </w:p>
        </w:tc>
        <w:tc>
          <w:tcPr>
            <w:tcW w:w="1708" w:type="dxa"/>
            <w:tcBorders>
              <w:right w:val="single" w:sz="4" w:space="0" w:color="auto"/>
            </w:tcBorders>
            <w:vAlign w:val="center"/>
          </w:tcPr>
          <w:p w14:paraId="2494CAF6"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57 (55.3%)</w:t>
            </w:r>
          </w:p>
        </w:tc>
        <w:tc>
          <w:tcPr>
            <w:tcW w:w="1564" w:type="dxa"/>
            <w:tcBorders>
              <w:left w:val="single" w:sz="4" w:space="0" w:color="auto"/>
            </w:tcBorders>
            <w:noWrap/>
            <w:vAlign w:val="center"/>
            <w:hideMark/>
          </w:tcPr>
          <w:p w14:paraId="7B3B0FD6"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41 (65%)</w:t>
            </w:r>
          </w:p>
        </w:tc>
        <w:tc>
          <w:tcPr>
            <w:tcW w:w="1564" w:type="dxa"/>
            <w:noWrap/>
            <w:vAlign w:val="center"/>
            <w:hideMark/>
          </w:tcPr>
          <w:p w14:paraId="23DB8818"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16 (40%)</w:t>
            </w:r>
          </w:p>
        </w:tc>
        <w:tc>
          <w:tcPr>
            <w:tcW w:w="977" w:type="dxa"/>
            <w:tcBorders>
              <w:left w:val="nil"/>
            </w:tcBorders>
            <w:noWrap/>
            <w:vAlign w:val="center"/>
            <w:hideMark/>
          </w:tcPr>
          <w:p w14:paraId="3800C43B"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0A535147" w14:textId="77777777" w:rsidTr="0067629C">
        <w:trPr>
          <w:trHeight w:val="227"/>
        </w:trPr>
        <w:tc>
          <w:tcPr>
            <w:tcW w:w="3685" w:type="dxa"/>
            <w:vAlign w:val="center"/>
          </w:tcPr>
          <w:p w14:paraId="6D9576BB"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 xml:space="preserve">   1</w:t>
            </w:r>
          </w:p>
        </w:tc>
        <w:tc>
          <w:tcPr>
            <w:tcW w:w="1708" w:type="dxa"/>
            <w:tcBorders>
              <w:right w:val="single" w:sz="4" w:space="0" w:color="auto"/>
            </w:tcBorders>
            <w:vAlign w:val="center"/>
          </w:tcPr>
          <w:p w14:paraId="19F8DBF9"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31 (30.1%)</w:t>
            </w:r>
          </w:p>
        </w:tc>
        <w:tc>
          <w:tcPr>
            <w:tcW w:w="1564" w:type="dxa"/>
            <w:tcBorders>
              <w:left w:val="single" w:sz="4" w:space="0" w:color="auto"/>
            </w:tcBorders>
            <w:noWrap/>
            <w:vAlign w:val="center"/>
            <w:hideMark/>
          </w:tcPr>
          <w:p w14:paraId="7B1B92A1"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15 (24%)</w:t>
            </w:r>
          </w:p>
        </w:tc>
        <w:tc>
          <w:tcPr>
            <w:tcW w:w="1564" w:type="dxa"/>
            <w:noWrap/>
            <w:vAlign w:val="center"/>
            <w:hideMark/>
          </w:tcPr>
          <w:p w14:paraId="6BD52D03"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16 (40%)</w:t>
            </w:r>
          </w:p>
        </w:tc>
        <w:tc>
          <w:tcPr>
            <w:tcW w:w="977" w:type="dxa"/>
            <w:tcBorders>
              <w:left w:val="nil"/>
            </w:tcBorders>
            <w:noWrap/>
            <w:vAlign w:val="center"/>
            <w:hideMark/>
          </w:tcPr>
          <w:p w14:paraId="6C2CB61C"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1CCC7025" w14:textId="77777777" w:rsidTr="0067629C">
        <w:trPr>
          <w:trHeight w:val="227"/>
        </w:trPr>
        <w:tc>
          <w:tcPr>
            <w:tcW w:w="3685" w:type="dxa"/>
            <w:vAlign w:val="center"/>
          </w:tcPr>
          <w:p w14:paraId="3961C312"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 xml:space="preserve">   2</w:t>
            </w:r>
          </w:p>
        </w:tc>
        <w:tc>
          <w:tcPr>
            <w:tcW w:w="1708" w:type="dxa"/>
            <w:tcBorders>
              <w:right w:val="single" w:sz="4" w:space="0" w:color="auto"/>
            </w:tcBorders>
            <w:vAlign w:val="center"/>
          </w:tcPr>
          <w:p w14:paraId="76855ECE"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15 (14.6%)</w:t>
            </w:r>
          </w:p>
        </w:tc>
        <w:tc>
          <w:tcPr>
            <w:tcW w:w="1564" w:type="dxa"/>
            <w:tcBorders>
              <w:left w:val="single" w:sz="4" w:space="0" w:color="auto"/>
            </w:tcBorders>
            <w:noWrap/>
            <w:vAlign w:val="center"/>
            <w:hideMark/>
          </w:tcPr>
          <w:p w14:paraId="7592F9CC"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7 (11%)</w:t>
            </w:r>
          </w:p>
        </w:tc>
        <w:tc>
          <w:tcPr>
            <w:tcW w:w="1564" w:type="dxa"/>
            <w:noWrap/>
            <w:vAlign w:val="center"/>
            <w:hideMark/>
          </w:tcPr>
          <w:p w14:paraId="2285F5C8"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8 (20%)</w:t>
            </w:r>
          </w:p>
        </w:tc>
        <w:tc>
          <w:tcPr>
            <w:tcW w:w="977" w:type="dxa"/>
            <w:tcBorders>
              <w:left w:val="nil"/>
            </w:tcBorders>
            <w:noWrap/>
            <w:vAlign w:val="center"/>
            <w:hideMark/>
          </w:tcPr>
          <w:p w14:paraId="0832B813"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7B767DF7" w14:textId="77777777" w:rsidTr="0067629C">
        <w:trPr>
          <w:trHeight w:val="227"/>
        </w:trPr>
        <w:tc>
          <w:tcPr>
            <w:tcW w:w="3685" w:type="dxa"/>
            <w:vAlign w:val="center"/>
          </w:tcPr>
          <w:p w14:paraId="69F6FA9B"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Diagnóstico de ingreso</w:t>
            </w:r>
          </w:p>
        </w:tc>
        <w:tc>
          <w:tcPr>
            <w:tcW w:w="1708" w:type="dxa"/>
            <w:tcBorders>
              <w:right w:val="single" w:sz="4" w:space="0" w:color="auto"/>
            </w:tcBorders>
            <w:vAlign w:val="center"/>
          </w:tcPr>
          <w:p w14:paraId="42F8EADE" w14:textId="77777777" w:rsidR="002061B8" w:rsidRPr="00D62D5F" w:rsidRDefault="002061B8" w:rsidP="0067629C">
            <w:pPr>
              <w:spacing w:line="360" w:lineRule="auto"/>
              <w:jc w:val="right"/>
              <w:rPr>
                <w:rFonts w:ascii="Times New Roman" w:hAnsi="Times New Roman" w:cs="Times New Roman"/>
                <w:lang w:val="es-ES"/>
              </w:rPr>
            </w:pPr>
          </w:p>
        </w:tc>
        <w:tc>
          <w:tcPr>
            <w:tcW w:w="1564" w:type="dxa"/>
            <w:tcBorders>
              <w:left w:val="single" w:sz="4" w:space="0" w:color="auto"/>
            </w:tcBorders>
            <w:noWrap/>
            <w:vAlign w:val="center"/>
            <w:hideMark/>
          </w:tcPr>
          <w:p w14:paraId="62572954" w14:textId="77777777" w:rsidR="002061B8" w:rsidRPr="00D62D5F" w:rsidRDefault="002061B8" w:rsidP="0067629C">
            <w:pPr>
              <w:spacing w:line="360" w:lineRule="auto"/>
              <w:jc w:val="right"/>
              <w:rPr>
                <w:rFonts w:ascii="Times New Roman" w:hAnsi="Times New Roman" w:cs="Times New Roman"/>
                <w:lang w:val="es-ES"/>
              </w:rPr>
            </w:pPr>
          </w:p>
        </w:tc>
        <w:tc>
          <w:tcPr>
            <w:tcW w:w="1564" w:type="dxa"/>
            <w:noWrap/>
            <w:vAlign w:val="center"/>
            <w:hideMark/>
          </w:tcPr>
          <w:p w14:paraId="44D95DD2" w14:textId="77777777" w:rsidR="002061B8" w:rsidRPr="00D62D5F" w:rsidRDefault="002061B8" w:rsidP="0067629C">
            <w:pPr>
              <w:spacing w:line="360" w:lineRule="auto"/>
              <w:jc w:val="right"/>
              <w:rPr>
                <w:rFonts w:ascii="Times New Roman" w:hAnsi="Times New Roman" w:cs="Times New Roman"/>
                <w:lang w:val="es-ES"/>
              </w:rPr>
            </w:pPr>
          </w:p>
        </w:tc>
        <w:tc>
          <w:tcPr>
            <w:tcW w:w="977" w:type="dxa"/>
            <w:tcBorders>
              <w:left w:val="nil"/>
            </w:tcBorders>
            <w:noWrap/>
            <w:vAlign w:val="center"/>
            <w:hideMark/>
          </w:tcPr>
          <w:p w14:paraId="61F1271D"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0.43</w:t>
            </w:r>
          </w:p>
        </w:tc>
      </w:tr>
      <w:tr w:rsidR="002061B8" w:rsidRPr="00D62D5F" w14:paraId="1403812E" w14:textId="77777777" w:rsidTr="0067629C">
        <w:trPr>
          <w:trHeight w:val="227"/>
        </w:trPr>
        <w:tc>
          <w:tcPr>
            <w:tcW w:w="3685" w:type="dxa"/>
            <w:vAlign w:val="center"/>
          </w:tcPr>
          <w:p w14:paraId="0BCB654B"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 xml:space="preserve">   Neumonía x COVID19</w:t>
            </w:r>
          </w:p>
        </w:tc>
        <w:tc>
          <w:tcPr>
            <w:tcW w:w="1708" w:type="dxa"/>
            <w:tcBorders>
              <w:right w:val="single" w:sz="4" w:space="0" w:color="auto"/>
            </w:tcBorders>
            <w:vAlign w:val="center"/>
          </w:tcPr>
          <w:p w14:paraId="14F9ABC4"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81 (78.6%)</w:t>
            </w:r>
          </w:p>
        </w:tc>
        <w:tc>
          <w:tcPr>
            <w:tcW w:w="1564" w:type="dxa"/>
            <w:tcBorders>
              <w:left w:val="single" w:sz="4" w:space="0" w:color="auto"/>
            </w:tcBorders>
            <w:noWrap/>
            <w:vAlign w:val="center"/>
            <w:hideMark/>
          </w:tcPr>
          <w:p w14:paraId="493F368D"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52 (83%)</w:t>
            </w:r>
          </w:p>
        </w:tc>
        <w:tc>
          <w:tcPr>
            <w:tcW w:w="1564" w:type="dxa"/>
            <w:noWrap/>
            <w:vAlign w:val="center"/>
            <w:hideMark/>
          </w:tcPr>
          <w:p w14:paraId="191C897B"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29 (72%)</w:t>
            </w:r>
          </w:p>
        </w:tc>
        <w:tc>
          <w:tcPr>
            <w:tcW w:w="977" w:type="dxa"/>
            <w:tcBorders>
              <w:left w:val="nil"/>
            </w:tcBorders>
            <w:noWrap/>
            <w:vAlign w:val="center"/>
            <w:hideMark/>
          </w:tcPr>
          <w:p w14:paraId="76D2E762"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7DA81471" w14:textId="77777777" w:rsidTr="0067629C">
        <w:trPr>
          <w:trHeight w:val="227"/>
        </w:trPr>
        <w:tc>
          <w:tcPr>
            <w:tcW w:w="3685" w:type="dxa"/>
            <w:vAlign w:val="center"/>
          </w:tcPr>
          <w:p w14:paraId="657F8ECF"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 xml:space="preserve">   IRA-NAC-SDRA no COVID</w:t>
            </w:r>
          </w:p>
        </w:tc>
        <w:tc>
          <w:tcPr>
            <w:tcW w:w="1708" w:type="dxa"/>
            <w:tcBorders>
              <w:right w:val="single" w:sz="4" w:space="0" w:color="auto"/>
            </w:tcBorders>
            <w:vAlign w:val="center"/>
          </w:tcPr>
          <w:p w14:paraId="699697E1"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7 (6.8%)</w:t>
            </w:r>
          </w:p>
        </w:tc>
        <w:tc>
          <w:tcPr>
            <w:tcW w:w="1564" w:type="dxa"/>
            <w:tcBorders>
              <w:left w:val="single" w:sz="4" w:space="0" w:color="auto"/>
            </w:tcBorders>
            <w:noWrap/>
            <w:vAlign w:val="center"/>
            <w:hideMark/>
          </w:tcPr>
          <w:p w14:paraId="514D762B"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4 (6%)</w:t>
            </w:r>
          </w:p>
        </w:tc>
        <w:tc>
          <w:tcPr>
            <w:tcW w:w="1564" w:type="dxa"/>
            <w:noWrap/>
            <w:vAlign w:val="center"/>
            <w:hideMark/>
          </w:tcPr>
          <w:p w14:paraId="23BB2AE3"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3 (8%)</w:t>
            </w:r>
          </w:p>
        </w:tc>
        <w:tc>
          <w:tcPr>
            <w:tcW w:w="977" w:type="dxa"/>
            <w:tcBorders>
              <w:left w:val="nil"/>
            </w:tcBorders>
            <w:noWrap/>
            <w:vAlign w:val="center"/>
            <w:hideMark/>
          </w:tcPr>
          <w:p w14:paraId="5E690315"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5B474D29" w14:textId="77777777" w:rsidTr="0067629C">
        <w:trPr>
          <w:trHeight w:val="227"/>
        </w:trPr>
        <w:tc>
          <w:tcPr>
            <w:tcW w:w="3685" w:type="dxa"/>
            <w:vAlign w:val="center"/>
          </w:tcPr>
          <w:p w14:paraId="34252EC2"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 xml:space="preserve">   Otros</w:t>
            </w:r>
          </w:p>
        </w:tc>
        <w:tc>
          <w:tcPr>
            <w:tcW w:w="1708" w:type="dxa"/>
            <w:tcBorders>
              <w:right w:val="single" w:sz="4" w:space="0" w:color="auto"/>
            </w:tcBorders>
            <w:vAlign w:val="center"/>
          </w:tcPr>
          <w:p w14:paraId="117F9E1F"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15 (14.6%)</w:t>
            </w:r>
          </w:p>
        </w:tc>
        <w:tc>
          <w:tcPr>
            <w:tcW w:w="1564" w:type="dxa"/>
            <w:tcBorders>
              <w:left w:val="single" w:sz="4" w:space="0" w:color="auto"/>
            </w:tcBorders>
            <w:noWrap/>
            <w:vAlign w:val="center"/>
            <w:hideMark/>
          </w:tcPr>
          <w:p w14:paraId="67E1D656"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7 (11%)</w:t>
            </w:r>
          </w:p>
        </w:tc>
        <w:tc>
          <w:tcPr>
            <w:tcW w:w="1564" w:type="dxa"/>
            <w:noWrap/>
            <w:vAlign w:val="center"/>
            <w:hideMark/>
          </w:tcPr>
          <w:p w14:paraId="5DE8A198"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8 (20%)</w:t>
            </w:r>
          </w:p>
        </w:tc>
        <w:tc>
          <w:tcPr>
            <w:tcW w:w="977" w:type="dxa"/>
            <w:tcBorders>
              <w:left w:val="nil"/>
            </w:tcBorders>
            <w:noWrap/>
            <w:vAlign w:val="center"/>
            <w:hideMark/>
          </w:tcPr>
          <w:p w14:paraId="408C23D4"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5F207FC1" w14:textId="77777777" w:rsidTr="0067629C">
        <w:trPr>
          <w:trHeight w:val="227"/>
        </w:trPr>
        <w:tc>
          <w:tcPr>
            <w:tcW w:w="3685" w:type="dxa"/>
            <w:vAlign w:val="center"/>
          </w:tcPr>
          <w:p w14:paraId="19643671"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Estadía en UCI, median</w:t>
            </w:r>
            <w:r w:rsidRPr="00D62D5F">
              <w:rPr>
                <w:rFonts w:ascii="Times New Roman" w:hAnsi="Times New Roman" w:cs="Times New Roman"/>
                <w:lang w:val="es-ES"/>
              </w:rPr>
              <w:t xml:space="preserve"> (IQR)</w:t>
            </w:r>
          </w:p>
        </w:tc>
        <w:tc>
          <w:tcPr>
            <w:tcW w:w="1708" w:type="dxa"/>
            <w:tcBorders>
              <w:right w:val="single" w:sz="4" w:space="0" w:color="auto"/>
            </w:tcBorders>
            <w:vAlign w:val="center"/>
          </w:tcPr>
          <w:p w14:paraId="34895535"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14 (10, 24)</w:t>
            </w:r>
          </w:p>
        </w:tc>
        <w:tc>
          <w:tcPr>
            <w:tcW w:w="1564" w:type="dxa"/>
            <w:tcBorders>
              <w:left w:val="single" w:sz="4" w:space="0" w:color="auto"/>
            </w:tcBorders>
            <w:noWrap/>
            <w:vAlign w:val="center"/>
            <w:hideMark/>
          </w:tcPr>
          <w:p w14:paraId="1396A906"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14 (10, 22)</w:t>
            </w:r>
          </w:p>
        </w:tc>
        <w:tc>
          <w:tcPr>
            <w:tcW w:w="1564" w:type="dxa"/>
            <w:noWrap/>
            <w:vAlign w:val="center"/>
            <w:hideMark/>
          </w:tcPr>
          <w:p w14:paraId="15DF0BB2"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16 (9.5, 26)</w:t>
            </w:r>
          </w:p>
        </w:tc>
        <w:tc>
          <w:tcPr>
            <w:tcW w:w="977" w:type="dxa"/>
            <w:tcBorders>
              <w:left w:val="nil"/>
            </w:tcBorders>
            <w:noWrap/>
            <w:vAlign w:val="center"/>
            <w:hideMark/>
          </w:tcPr>
          <w:p w14:paraId="28D06E34"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0.38</w:t>
            </w:r>
          </w:p>
        </w:tc>
      </w:tr>
      <w:tr w:rsidR="002061B8" w:rsidRPr="00D62D5F" w14:paraId="48FF2D1B" w14:textId="77777777" w:rsidTr="0067629C">
        <w:trPr>
          <w:trHeight w:val="227"/>
        </w:trPr>
        <w:tc>
          <w:tcPr>
            <w:tcW w:w="3685" w:type="dxa"/>
            <w:vAlign w:val="center"/>
          </w:tcPr>
          <w:p w14:paraId="7CD1F829"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Duración VM, median</w:t>
            </w:r>
            <w:r w:rsidRPr="00D62D5F">
              <w:rPr>
                <w:rFonts w:ascii="Times New Roman" w:hAnsi="Times New Roman" w:cs="Times New Roman"/>
                <w:lang w:val="es-ES"/>
              </w:rPr>
              <w:t xml:space="preserve"> (IQR)</w:t>
            </w:r>
          </w:p>
        </w:tc>
        <w:tc>
          <w:tcPr>
            <w:tcW w:w="1708" w:type="dxa"/>
            <w:tcBorders>
              <w:right w:val="single" w:sz="4" w:space="0" w:color="auto"/>
            </w:tcBorders>
            <w:vAlign w:val="center"/>
          </w:tcPr>
          <w:p w14:paraId="1E2A3010"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10 (6, 14)</w:t>
            </w:r>
          </w:p>
        </w:tc>
        <w:tc>
          <w:tcPr>
            <w:tcW w:w="1564" w:type="dxa"/>
            <w:tcBorders>
              <w:left w:val="single" w:sz="4" w:space="0" w:color="auto"/>
            </w:tcBorders>
            <w:noWrap/>
            <w:vAlign w:val="center"/>
            <w:hideMark/>
          </w:tcPr>
          <w:p w14:paraId="53829055"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8 (6, 13)</w:t>
            </w:r>
          </w:p>
        </w:tc>
        <w:tc>
          <w:tcPr>
            <w:tcW w:w="1564" w:type="dxa"/>
            <w:noWrap/>
            <w:vAlign w:val="center"/>
            <w:hideMark/>
          </w:tcPr>
          <w:p w14:paraId="52E7E166"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10 (5.5, 15.5)</w:t>
            </w:r>
          </w:p>
        </w:tc>
        <w:tc>
          <w:tcPr>
            <w:tcW w:w="977" w:type="dxa"/>
            <w:tcBorders>
              <w:left w:val="nil"/>
            </w:tcBorders>
            <w:noWrap/>
            <w:vAlign w:val="center"/>
            <w:hideMark/>
          </w:tcPr>
          <w:p w14:paraId="24BEDBB3"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0.58</w:t>
            </w:r>
          </w:p>
        </w:tc>
      </w:tr>
      <w:tr w:rsidR="002061B8" w:rsidRPr="00D62D5F" w14:paraId="60D7ABC4" w14:textId="77777777" w:rsidTr="0067629C">
        <w:trPr>
          <w:trHeight w:val="227"/>
        </w:trPr>
        <w:tc>
          <w:tcPr>
            <w:tcW w:w="3685" w:type="dxa"/>
            <w:vAlign w:val="center"/>
          </w:tcPr>
          <w:p w14:paraId="00723ECD"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Ocupación de camas</w:t>
            </w:r>
          </w:p>
        </w:tc>
        <w:tc>
          <w:tcPr>
            <w:tcW w:w="1708" w:type="dxa"/>
            <w:tcBorders>
              <w:right w:val="single" w:sz="4" w:space="0" w:color="auto"/>
            </w:tcBorders>
            <w:vAlign w:val="center"/>
          </w:tcPr>
          <w:p w14:paraId="39DFF7B8" w14:textId="77777777" w:rsidR="002061B8" w:rsidRPr="00D62D5F" w:rsidRDefault="002061B8" w:rsidP="0067629C">
            <w:pPr>
              <w:spacing w:line="360" w:lineRule="auto"/>
              <w:jc w:val="right"/>
              <w:rPr>
                <w:rFonts w:ascii="Times New Roman" w:hAnsi="Times New Roman" w:cs="Times New Roman"/>
                <w:lang w:val="es-ES"/>
              </w:rPr>
            </w:pPr>
          </w:p>
        </w:tc>
        <w:tc>
          <w:tcPr>
            <w:tcW w:w="1564" w:type="dxa"/>
            <w:tcBorders>
              <w:left w:val="single" w:sz="4" w:space="0" w:color="auto"/>
            </w:tcBorders>
            <w:noWrap/>
            <w:vAlign w:val="center"/>
            <w:hideMark/>
          </w:tcPr>
          <w:p w14:paraId="602F1EFE" w14:textId="77777777" w:rsidR="002061B8" w:rsidRPr="00D62D5F" w:rsidRDefault="002061B8" w:rsidP="0067629C">
            <w:pPr>
              <w:spacing w:line="360" w:lineRule="auto"/>
              <w:jc w:val="right"/>
              <w:rPr>
                <w:rFonts w:ascii="Times New Roman" w:hAnsi="Times New Roman" w:cs="Times New Roman"/>
                <w:lang w:val="es-ES"/>
              </w:rPr>
            </w:pPr>
          </w:p>
        </w:tc>
        <w:tc>
          <w:tcPr>
            <w:tcW w:w="1564" w:type="dxa"/>
            <w:noWrap/>
            <w:vAlign w:val="center"/>
            <w:hideMark/>
          </w:tcPr>
          <w:p w14:paraId="0AC4D0B7" w14:textId="77777777" w:rsidR="002061B8" w:rsidRPr="00D62D5F" w:rsidRDefault="002061B8" w:rsidP="0067629C">
            <w:pPr>
              <w:spacing w:line="360" w:lineRule="auto"/>
              <w:jc w:val="right"/>
              <w:rPr>
                <w:rFonts w:ascii="Times New Roman" w:hAnsi="Times New Roman" w:cs="Times New Roman"/>
                <w:lang w:val="es-ES"/>
              </w:rPr>
            </w:pPr>
          </w:p>
        </w:tc>
        <w:tc>
          <w:tcPr>
            <w:tcW w:w="977" w:type="dxa"/>
            <w:tcBorders>
              <w:left w:val="nil"/>
            </w:tcBorders>
            <w:noWrap/>
            <w:vAlign w:val="center"/>
            <w:hideMark/>
          </w:tcPr>
          <w:p w14:paraId="3B87B92C"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0.22</w:t>
            </w:r>
          </w:p>
        </w:tc>
      </w:tr>
      <w:tr w:rsidR="002061B8" w:rsidRPr="00D62D5F" w14:paraId="63692CEA" w14:textId="77777777" w:rsidTr="0067629C">
        <w:trPr>
          <w:trHeight w:val="227"/>
        </w:trPr>
        <w:tc>
          <w:tcPr>
            <w:tcW w:w="3685" w:type="dxa"/>
            <w:vAlign w:val="center"/>
          </w:tcPr>
          <w:p w14:paraId="4CE575CA"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Baja ocupación- No-COVID</w:t>
            </w:r>
          </w:p>
        </w:tc>
        <w:tc>
          <w:tcPr>
            <w:tcW w:w="1708" w:type="dxa"/>
            <w:tcBorders>
              <w:right w:val="single" w:sz="4" w:space="0" w:color="auto"/>
            </w:tcBorders>
            <w:vAlign w:val="center"/>
          </w:tcPr>
          <w:p w14:paraId="19E49C54"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12 (11.7%)</w:t>
            </w:r>
          </w:p>
        </w:tc>
        <w:tc>
          <w:tcPr>
            <w:tcW w:w="1564" w:type="dxa"/>
            <w:tcBorders>
              <w:left w:val="single" w:sz="4" w:space="0" w:color="auto"/>
            </w:tcBorders>
            <w:noWrap/>
            <w:vAlign w:val="center"/>
            <w:hideMark/>
          </w:tcPr>
          <w:p w14:paraId="724E031A"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6 (10%)</w:t>
            </w:r>
          </w:p>
        </w:tc>
        <w:tc>
          <w:tcPr>
            <w:tcW w:w="1564" w:type="dxa"/>
            <w:noWrap/>
            <w:vAlign w:val="center"/>
            <w:hideMark/>
          </w:tcPr>
          <w:p w14:paraId="35D9EC50"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6 (15%)</w:t>
            </w:r>
          </w:p>
        </w:tc>
        <w:tc>
          <w:tcPr>
            <w:tcW w:w="977" w:type="dxa"/>
            <w:tcBorders>
              <w:left w:val="nil"/>
            </w:tcBorders>
            <w:noWrap/>
            <w:vAlign w:val="center"/>
            <w:hideMark/>
          </w:tcPr>
          <w:p w14:paraId="044B9A40"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34F8B5D2" w14:textId="77777777" w:rsidTr="0067629C">
        <w:trPr>
          <w:trHeight w:val="227"/>
        </w:trPr>
        <w:tc>
          <w:tcPr>
            <w:tcW w:w="3685" w:type="dxa"/>
            <w:vAlign w:val="center"/>
          </w:tcPr>
          <w:p w14:paraId="54ECF887"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Baja ocupación - COVID</w:t>
            </w:r>
          </w:p>
        </w:tc>
        <w:tc>
          <w:tcPr>
            <w:tcW w:w="1708" w:type="dxa"/>
            <w:tcBorders>
              <w:right w:val="single" w:sz="4" w:space="0" w:color="auto"/>
            </w:tcBorders>
            <w:vAlign w:val="center"/>
          </w:tcPr>
          <w:p w14:paraId="220745FC"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37 (35.9%)</w:t>
            </w:r>
          </w:p>
        </w:tc>
        <w:tc>
          <w:tcPr>
            <w:tcW w:w="1564" w:type="dxa"/>
            <w:tcBorders>
              <w:left w:val="single" w:sz="4" w:space="0" w:color="auto"/>
            </w:tcBorders>
            <w:noWrap/>
            <w:vAlign w:val="center"/>
            <w:hideMark/>
          </w:tcPr>
          <w:p w14:paraId="0C14A074"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20 (32%)</w:t>
            </w:r>
          </w:p>
        </w:tc>
        <w:tc>
          <w:tcPr>
            <w:tcW w:w="1564" w:type="dxa"/>
            <w:noWrap/>
            <w:vAlign w:val="center"/>
            <w:hideMark/>
          </w:tcPr>
          <w:p w14:paraId="0E5C35B2"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17 (42%)</w:t>
            </w:r>
          </w:p>
        </w:tc>
        <w:tc>
          <w:tcPr>
            <w:tcW w:w="977" w:type="dxa"/>
            <w:tcBorders>
              <w:left w:val="nil"/>
            </w:tcBorders>
            <w:noWrap/>
            <w:vAlign w:val="center"/>
            <w:hideMark/>
          </w:tcPr>
          <w:p w14:paraId="02849FF2"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1472F8E0" w14:textId="77777777" w:rsidTr="0067629C">
        <w:trPr>
          <w:trHeight w:val="227"/>
        </w:trPr>
        <w:tc>
          <w:tcPr>
            <w:tcW w:w="3685" w:type="dxa"/>
            <w:vAlign w:val="center"/>
          </w:tcPr>
          <w:p w14:paraId="446407E4"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Alta ocupación - No-COVID</w:t>
            </w:r>
          </w:p>
        </w:tc>
        <w:tc>
          <w:tcPr>
            <w:tcW w:w="1708" w:type="dxa"/>
            <w:tcBorders>
              <w:right w:val="single" w:sz="4" w:space="0" w:color="auto"/>
            </w:tcBorders>
            <w:vAlign w:val="center"/>
          </w:tcPr>
          <w:p w14:paraId="4C8F9510"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10 (9.7%)</w:t>
            </w:r>
          </w:p>
        </w:tc>
        <w:tc>
          <w:tcPr>
            <w:tcW w:w="1564" w:type="dxa"/>
            <w:tcBorders>
              <w:left w:val="single" w:sz="4" w:space="0" w:color="auto"/>
            </w:tcBorders>
            <w:noWrap/>
            <w:vAlign w:val="center"/>
            <w:hideMark/>
          </w:tcPr>
          <w:p w14:paraId="3B565B7B"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5 (8%)</w:t>
            </w:r>
          </w:p>
        </w:tc>
        <w:tc>
          <w:tcPr>
            <w:tcW w:w="1564" w:type="dxa"/>
            <w:noWrap/>
            <w:vAlign w:val="center"/>
            <w:hideMark/>
          </w:tcPr>
          <w:p w14:paraId="7B006143"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5 (12%)</w:t>
            </w:r>
          </w:p>
        </w:tc>
        <w:tc>
          <w:tcPr>
            <w:tcW w:w="977" w:type="dxa"/>
            <w:tcBorders>
              <w:left w:val="nil"/>
            </w:tcBorders>
            <w:noWrap/>
            <w:vAlign w:val="center"/>
            <w:hideMark/>
          </w:tcPr>
          <w:p w14:paraId="58A0308A"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19DD916B" w14:textId="77777777" w:rsidTr="0067629C">
        <w:trPr>
          <w:trHeight w:val="227"/>
        </w:trPr>
        <w:tc>
          <w:tcPr>
            <w:tcW w:w="3685" w:type="dxa"/>
            <w:vAlign w:val="center"/>
          </w:tcPr>
          <w:p w14:paraId="19C25B94"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lang w:val="es-ES"/>
              </w:rPr>
              <w:t>Alta ocupación - COVID</w:t>
            </w:r>
          </w:p>
        </w:tc>
        <w:tc>
          <w:tcPr>
            <w:tcW w:w="1708" w:type="dxa"/>
            <w:tcBorders>
              <w:right w:val="single" w:sz="4" w:space="0" w:color="auto"/>
            </w:tcBorders>
            <w:vAlign w:val="center"/>
          </w:tcPr>
          <w:p w14:paraId="50400B11"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44 (42.7%)</w:t>
            </w:r>
          </w:p>
        </w:tc>
        <w:tc>
          <w:tcPr>
            <w:tcW w:w="1564" w:type="dxa"/>
            <w:tcBorders>
              <w:left w:val="single" w:sz="4" w:space="0" w:color="auto"/>
            </w:tcBorders>
            <w:noWrap/>
            <w:vAlign w:val="center"/>
            <w:hideMark/>
          </w:tcPr>
          <w:p w14:paraId="43F55DE6"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32 (51%)</w:t>
            </w:r>
          </w:p>
        </w:tc>
        <w:tc>
          <w:tcPr>
            <w:tcW w:w="1564" w:type="dxa"/>
            <w:noWrap/>
            <w:vAlign w:val="center"/>
            <w:hideMark/>
          </w:tcPr>
          <w:p w14:paraId="37200869"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12 (30%)</w:t>
            </w:r>
          </w:p>
        </w:tc>
        <w:tc>
          <w:tcPr>
            <w:tcW w:w="977" w:type="dxa"/>
            <w:tcBorders>
              <w:left w:val="nil"/>
            </w:tcBorders>
            <w:noWrap/>
            <w:vAlign w:val="center"/>
            <w:hideMark/>
          </w:tcPr>
          <w:p w14:paraId="62EF8566" w14:textId="77777777" w:rsidR="002061B8" w:rsidRPr="00D62D5F" w:rsidRDefault="002061B8" w:rsidP="0067629C">
            <w:pPr>
              <w:spacing w:line="360" w:lineRule="auto"/>
              <w:jc w:val="right"/>
              <w:rPr>
                <w:rFonts w:ascii="Times New Roman" w:hAnsi="Times New Roman" w:cs="Times New Roman"/>
                <w:lang w:val="es-ES"/>
              </w:rPr>
            </w:pPr>
          </w:p>
        </w:tc>
      </w:tr>
      <w:tr w:rsidR="002061B8" w:rsidRPr="00D62D5F" w14:paraId="40862677" w14:textId="77777777" w:rsidTr="0067629C">
        <w:trPr>
          <w:trHeight w:val="227"/>
        </w:trPr>
        <w:tc>
          <w:tcPr>
            <w:tcW w:w="3685" w:type="dxa"/>
            <w:tcBorders>
              <w:bottom w:val="single" w:sz="4" w:space="0" w:color="auto"/>
            </w:tcBorders>
            <w:vAlign w:val="center"/>
          </w:tcPr>
          <w:p w14:paraId="642076E8" w14:textId="77777777" w:rsidR="002061B8" w:rsidRPr="00D62D5F" w:rsidRDefault="002061B8" w:rsidP="0067629C">
            <w:pPr>
              <w:spacing w:line="360" w:lineRule="auto"/>
              <w:jc w:val="both"/>
              <w:rPr>
                <w:rFonts w:ascii="Times New Roman" w:hAnsi="Times New Roman" w:cs="Times New Roman"/>
                <w:lang w:val="es-ES"/>
              </w:rPr>
            </w:pPr>
            <w:r w:rsidRPr="00D62D5F">
              <w:rPr>
                <w:rFonts w:ascii="Times New Roman" w:hAnsi="Times New Roman" w:cs="Times New Roman"/>
                <w:b/>
                <w:bCs/>
                <w:lang w:val="es-ES"/>
              </w:rPr>
              <w:t>COVID-19 (+)</w:t>
            </w:r>
          </w:p>
        </w:tc>
        <w:tc>
          <w:tcPr>
            <w:tcW w:w="1708" w:type="dxa"/>
            <w:tcBorders>
              <w:bottom w:val="single" w:sz="4" w:space="0" w:color="auto"/>
              <w:right w:val="single" w:sz="4" w:space="0" w:color="auto"/>
            </w:tcBorders>
            <w:vAlign w:val="center"/>
          </w:tcPr>
          <w:p w14:paraId="4C7E9598"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81 (78.6%)</w:t>
            </w:r>
          </w:p>
        </w:tc>
        <w:tc>
          <w:tcPr>
            <w:tcW w:w="1564" w:type="dxa"/>
            <w:tcBorders>
              <w:left w:val="single" w:sz="4" w:space="0" w:color="auto"/>
              <w:bottom w:val="single" w:sz="4" w:space="0" w:color="auto"/>
            </w:tcBorders>
            <w:noWrap/>
            <w:vAlign w:val="center"/>
            <w:hideMark/>
          </w:tcPr>
          <w:p w14:paraId="2F3DD6F7"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52 (83%)</w:t>
            </w:r>
          </w:p>
        </w:tc>
        <w:tc>
          <w:tcPr>
            <w:tcW w:w="1564" w:type="dxa"/>
            <w:tcBorders>
              <w:bottom w:val="single" w:sz="4" w:space="0" w:color="auto"/>
            </w:tcBorders>
            <w:noWrap/>
            <w:vAlign w:val="center"/>
            <w:hideMark/>
          </w:tcPr>
          <w:p w14:paraId="726C8709"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29 (72%)</w:t>
            </w:r>
          </w:p>
        </w:tc>
        <w:tc>
          <w:tcPr>
            <w:tcW w:w="977" w:type="dxa"/>
            <w:tcBorders>
              <w:left w:val="nil"/>
              <w:bottom w:val="single" w:sz="4" w:space="0" w:color="auto"/>
            </w:tcBorders>
            <w:noWrap/>
            <w:vAlign w:val="center"/>
            <w:hideMark/>
          </w:tcPr>
          <w:p w14:paraId="48856525" w14:textId="77777777" w:rsidR="002061B8" w:rsidRPr="00D62D5F" w:rsidRDefault="002061B8" w:rsidP="0067629C">
            <w:pPr>
              <w:spacing w:line="360" w:lineRule="auto"/>
              <w:jc w:val="right"/>
              <w:rPr>
                <w:rFonts w:ascii="Times New Roman" w:hAnsi="Times New Roman" w:cs="Times New Roman"/>
                <w:lang w:val="es-ES"/>
              </w:rPr>
            </w:pPr>
            <w:r w:rsidRPr="00D62D5F">
              <w:rPr>
                <w:rFonts w:ascii="Times New Roman" w:hAnsi="Times New Roman" w:cs="Times New Roman"/>
                <w:lang w:val="es-ES"/>
              </w:rPr>
              <w:t>0.23</w:t>
            </w:r>
          </w:p>
        </w:tc>
      </w:tr>
    </w:tbl>
    <w:bookmarkEnd w:id="1"/>
    <w:p w14:paraId="74FDE69A" w14:textId="77777777" w:rsidR="00D62D5F" w:rsidRPr="00D62D5F" w:rsidRDefault="00D62D5F" w:rsidP="0039189E">
      <w:pPr>
        <w:spacing w:line="360" w:lineRule="auto"/>
        <w:ind w:right="709"/>
        <w:jc w:val="both"/>
        <w:rPr>
          <w:rFonts w:ascii="Times New Roman" w:hAnsi="Times New Roman" w:cs="Times New Roman"/>
          <w:i/>
          <w:iCs/>
          <w:lang w:val="es-419"/>
        </w:rPr>
      </w:pPr>
      <w:r w:rsidRPr="00D62D5F">
        <w:rPr>
          <w:rFonts w:ascii="Times New Roman" w:hAnsi="Times New Roman" w:cs="Times New Roman"/>
          <w:i/>
          <w:iCs/>
          <w:lang w:val="es-419"/>
        </w:rPr>
        <w:t>Valores presentados en n (%) o P50 (P25, P75). IRA: Insuficiencia respiratoria aguda; SDRA: Síndrome de distrés respiratorio; NAC: Neumonía adquirida en la comunidad</w:t>
      </w:r>
    </w:p>
    <w:p w14:paraId="5279AD1F" w14:textId="5EFE9D9C" w:rsidR="00D95484" w:rsidRDefault="00D95484" w:rsidP="0039189E">
      <w:pPr>
        <w:ind w:right="709"/>
        <w:rPr>
          <w:rFonts w:ascii="Times New Roman" w:hAnsi="Times New Roman" w:cs="Times New Roman"/>
          <w:b/>
          <w:bCs/>
        </w:rPr>
      </w:pPr>
      <w:r>
        <w:rPr>
          <w:rFonts w:ascii="Times New Roman" w:hAnsi="Times New Roman" w:cs="Times New Roman"/>
          <w:b/>
          <w:bCs/>
        </w:rPr>
        <w:br w:type="page"/>
      </w:r>
    </w:p>
    <w:p w14:paraId="0AAC4AC8" w14:textId="77777777" w:rsidR="00D95484" w:rsidRPr="00557263" w:rsidRDefault="00D95484" w:rsidP="0039189E">
      <w:pPr>
        <w:spacing w:line="360" w:lineRule="auto"/>
        <w:ind w:right="709"/>
        <w:jc w:val="both"/>
        <w:rPr>
          <w:rFonts w:ascii="Times New Roman" w:hAnsi="Times New Roman" w:cs="Times New Roman"/>
          <w:sz w:val="24"/>
          <w:szCs w:val="24"/>
          <w:lang w:val="es-419"/>
        </w:rPr>
      </w:pPr>
      <w:r w:rsidRPr="00557263">
        <w:rPr>
          <w:rFonts w:ascii="Times New Roman" w:hAnsi="Times New Roman" w:cs="Times New Roman"/>
          <w:b/>
          <w:bCs/>
          <w:sz w:val="24"/>
          <w:szCs w:val="24"/>
          <w:lang w:val="es-419"/>
        </w:rPr>
        <w:lastRenderedPageBreak/>
        <w:t xml:space="preserve">Tabla 2. </w:t>
      </w:r>
      <w:r w:rsidRPr="00557263">
        <w:rPr>
          <w:rFonts w:ascii="Times New Roman" w:hAnsi="Times New Roman" w:cs="Times New Roman"/>
          <w:sz w:val="24"/>
          <w:szCs w:val="24"/>
          <w:lang w:val="es-419"/>
        </w:rPr>
        <w:t>Factores de riesgo para el deterioro cognitivo a los 3 meses</w:t>
      </w:r>
    </w:p>
    <w:p w14:paraId="68F14336" w14:textId="77777777" w:rsidR="00D95484" w:rsidRPr="00D95484" w:rsidRDefault="00D95484" w:rsidP="0039189E">
      <w:pPr>
        <w:ind w:right="709"/>
        <w:rPr>
          <w:rFonts w:ascii="Times New Roman" w:hAnsi="Times New Roman" w:cs="Times New Roman"/>
          <w:b/>
          <w:bCs/>
          <w:lang w:val="es-419"/>
        </w:rPr>
      </w:pPr>
    </w:p>
    <w:tbl>
      <w:tblPr>
        <w:tblStyle w:val="Tablaconcuadrcula"/>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28" w:type="dxa"/>
          <w:bottom w:w="28" w:type="dxa"/>
        </w:tblCellMar>
        <w:tblLook w:val="04A0" w:firstRow="1" w:lastRow="0" w:firstColumn="1" w:lastColumn="0" w:noHBand="0" w:noVBand="1"/>
      </w:tblPr>
      <w:tblGrid>
        <w:gridCol w:w="3544"/>
        <w:gridCol w:w="2126"/>
        <w:gridCol w:w="1134"/>
        <w:gridCol w:w="1985"/>
        <w:gridCol w:w="1134"/>
      </w:tblGrid>
      <w:tr w:rsidR="001765D4" w:rsidRPr="00D95484" w14:paraId="48DD30EA" w14:textId="77777777" w:rsidTr="0067629C">
        <w:trPr>
          <w:trHeight w:val="264"/>
        </w:trPr>
        <w:tc>
          <w:tcPr>
            <w:tcW w:w="3544" w:type="dxa"/>
          </w:tcPr>
          <w:p w14:paraId="5BB8AFA1" w14:textId="77777777" w:rsidR="001765D4" w:rsidRPr="00D95484" w:rsidRDefault="001765D4" w:rsidP="0067629C">
            <w:pPr>
              <w:spacing w:line="360" w:lineRule="auto"/>
              <w:jc w:val="both"/>
              <w:rPr>
                <w:rFonts w:ascii="Times New Roman" w:hAnsi="Times New Roman" w:cs="Times New Roman"/>
                <w:b/>
                <w:bCs/>
                <w:lang w:val="es-419"/>
              </w:rPr>
            </w:pPr>
          </w:p>
          <w:p w14:paraId="57369A24" w14:textId="77777777" w:rsidR="001765D4" w:rsidRPr="00D95484" w:rsidRDefault="001765D4" w:rsidP="0067629C">
            <w:pPr>
              <w:spacing w:line="360" w:lineRule="auto"/>
              <w:jc w:val="both"/>
              <w:rPr>
                <w:rFonts w:ascii="Times New Roman" w:hAnsi="Times New Roman" w:cs="Times New Roman"/>
                <w:b/>
                <w:bCs/>
                <w:lang w:val="es-ES"/>
              </w:rPr>
            </w:pPr>
          </w:p>
        </w:tc>
        <w:tc>
          <w:tcPr>
            <w:tcW w:w="3260" w:type="dxa"/>
            <w:gridSpan w:val="2"/>
            <w:tcBorders>
              <w:bottom w:val="single" w:sz="4" w:space="0" w:color="auto"/>
              <w:right w:val="single" w:sz="4" w:space="0" w:color="auto"/>
            </w:tcBorders>
            <w:vAlign w:val="center"/>
          </w:tcPr>
          <w:p w14:paraId="64C42B12" w14:textId="77777777" w:rsidR="001765D4" w:rsidRPr="00D95484" w:rsidRDefault="001765D4" w:rsidP="0067629C">
            <w:pPr>
              <w:spacing w:line="360" w:lineRule="auto"/>
              <w:ind w:left="-105"/>
              <w:jc w:val="center"/>
              <w:rPr>
                <w:rFonts w:ascii="Times New Roman" w:hAnsi="Times New Roman" w:cs="Times New Roman"/>
                <w:b/>
                <w:bCs/>
                <w:lang w:val="es-ES"/>
              </w:rPr>
            </w:pPr>
            <w:r w:rsidRPr="00D95484">
              <w:rPr>
                <w:rFonts w:ascii="Times New Roman" w:hAnsi="Times New Roman" w:cs="Times New Roman"/>
                <w:b/>
                <w:bCs/>
                <w:lang w:val="es-ES"/>
              </w:rPr>
              <w:t>Regresión logística múltiple</w:t>
            </w:r>
          </w:p>
        </w:tc>
        <w:tc>
          <w:tcPr>
            <w:tcW w:w="3119" w:type="dxa"/>
            <w:gridSpan w:val="2"/>
            <w:tcBorders>
              <w:left w:val="single" w:sz="4" w:space="0" w:color="auto"/>
            </w:tcBorders>
            <w:vAlign w:val="center"/>
          </w:tcPr>
          <w:p w14:paraId="54B54321" w14:textId="77777777" w:rsidR="001765D4" w:rsidRPr="00D95484" w:rsidRDefault="001765D4" w:rsidP="0067629C">
            <w:pPr>
              <w:spacing w:line="360" w:lineRule="auto"/>
              <w:jc w:val="center"/>
              <w:rPr>
                <w:rFonts w:ascii="Times New Roman" w:hAnsi="Times New Roman" w:cs="Times New Roman"/>
                <w:b/>
                <w:bCs/>
                <w:lang w:val="es-ES"/>
              </w:rPr>
            </w:pPr>
            <w:r w:rsidRPr="00D95484">
              <w:rPr>
                <w:rFonts w:ascii="Times New Roman" w:hAnsi="Times New Roman" w:cs="Times New Roman"/>
                <w:b/>
                <w:bCs/>
                <w:lang w:val="es-ES"/>
              </w:rPr>
              <w:t>Regresión logística simple</w:t>
            </w:r>
          </w:p>
        </w:tc>
      </w:tr>
      <w:tr w:rsidR="001765D4" w:rsidRPr="00D95484" w14:paraId="6118CBFC" w14:textId="77777777" w:rsidTr="0067629C">
        <w:trPr>
          <w:trHeight w:val="252"/>
        </w:trPr>
        <w:tc>
          <w:tcPr>
            <w:tcW w:w="3544" w:type="dxa"/>
          </w:tcPr>
          <w:p w14:paraId="68AA585F" w14:textId="77777777" w:rsidR="001765D4" w:rsidRPr="00D95484" w:rsidRDefault="001765D4" w:rsidP="0067629C">
            <w:pPr>
              <w:spacing w:line="360" w:lineRule="auto"/>
              <w:jc w:val="both"/>
              <w:rPr>
                <w:rFonts w:ascii="Times New Roman" w:hAnsi="Times New Roman" w:cs="Times New Roman"/>
                <w:b/>
                <w:bCs/>
                <w:lang w:val="es-ES"/>
              </w:rPr>
            </w:pPr>
          </w:p>
        </w:tc>
        <w:tc>
          <w:tcPr>
            <w:tcW w:w="2126" w:type="dxa"/>
            <w:tcBorders>
              <w:top w:val="single" w:sz="4" w:space="0" w:color="auto"/>
            </w:tcBorders>
            <w:vAlign w:val="center"/>
          </w:tcPr>
          <w:p w14:paraId="6A0D2CC5" w14:textId="77777777" w:rsidR="001765D4" w:rsidRPr="00D95484" w:rsidRDefault="001765D4" w:rsidP="0067629C">
            <w:pPr>
              <w:spacing w:line="360" w:lineRule="auto"/>
              <w:ind w:left="-105"/>
              <w:jc w:val="center"/>
              <w:rPr>
                <w:rFonts w:ascii="Times New Roman" w:hAnsi="Times New Roman" w:cs="Times New Roman"/>
                <w:b/>
                <w:bCs/>
                <w:lang w:val="es-ES"/>
              </w:rPr>
            </w:pPr>
            <w:r w:rsidRPr="00D95484">
              <w:rPr>
                <w:rFonts w:ascii="Times New Roman" w:hAnsi="Times New Roman" w:cs="Times New Roman"/>
                <w:b/>
                <w:bCs/>
                <w:lang w:val="es-ES"/>
              </w:rPr>
              <w:t>OR (IC 95%)</w:t>
            </w:r>
          </w:p>
        </w:tc>
        <w:tc>
          <w:tcPr>
            <w:tcW w:w="1134" w:type="dxa"/>
            <w:tcBorders>
              <w:top w:val="single" w:sz="4" w:space="0" w:color="auto"/>
              <w:right w:val="single" w:sz="4" w:space="0" w:color="auto"/>
            </w:tcBorders>
            <w:vAlign w:val="center"/>
          </w:tcPr>
          <w:p w14:paraId="167B6FDD" w14:textId="77777777" w:rsidR="001765D4" w:rsidRPr="00D95484" w:rsidRDefault="001765D4" w:rsidP="0067629C">
            <w:pPr>
              <w:spacing w:line="360" w:lineRule="auto"/>
              <w:ind w:left="-105"/>
              <w:jc w:val="center"/>
              <w:rPr>
                <w:rFonts w:ascii="Times New Roman" w:hAnsi="Times New Roman" w:cs="Times New Roman"/>
                <w:b/>
                <w:bCs/>
                <w:i/>
                <w:iCs/>
                <w:lang w:val="es-ES"/>
              </w:rPr>
            </w:pPr>
            <w:r w:rsidRPr="00D95484">
              <w:rPr>
                <w:rFonts w:ascii="Times New Roman" w:hAnsi="Times New Roman" w:cs="Times New Roman"/>
                <w:b/>
                <w:bCs/>
                <w:i/>
                <w:iCs/>
                <w:lang w:val="es-ES"/>
              </w:rPr>
              <w:t>p-value</w:t>
            </w:r>
          </w:p>
        </w:tc>
        <w:tc>
          <w:tcPr>
            <w:tcW w:w="1985" w:type="dxa"/>
            <w:tcBorders>
              <w:top w:val="single" w:sz="4" w:space="0" w:color="auto"/>
              <w:left w:val="single" w:sz="4" w:space="0" w:color="auto"/>
            </w:tcBorders>
            <w:vAlign w:val="center"/>
          </w:tcPr>
          <w:p w14:paraId="187F3326" w14:textId="77777777" w:rsidR="001765D4" w:rsidRPr="00D95484" w:rsidRDefault="001765D4" w:rsidP="0067629C">
            <w:pPr>
              <w:spacing w:line="360" w:lineRule="auto"/>
              <w:jc w:val="center"/>
              <w:rPr>
                <w:rFonts w:ascii="Times New Roman" w:hAnsi="Times New Roman" w:cs="Times New Roman"/>
                <w:b/>
                <w:bCs/>
                <w:lang w:val="es-ES"/>
              </w:rPr>
            </w:pPr>
            <w:r w:rsidRPr="00D95484">
              <w:rPr>
                <w:rFonts w:ascii="Times New Roman" w:hAnsi="Times New Roman" w:cs="Times New Roman"/>
                <w:b/>
                <w:bCs/>
                <w:lang w:val="es-ES"/>
              </w:rPr>
              <w:t>OR (IC95%)</w:t>
            </w:r>
          </w:p>
        </w:tc>
        <w:tc>
          <w:tcPr>
            <w:tcW w:w="1134" w:type="dxa"/>
            <w:tcBorders>
              <w:top w:val="single" w:sz="4" w:space="0" w:color="auto"/>
            </w:tcBorders>
            <w:vAlign w:val="center"/>
          </w:tcPr>
          <w:p w14:paraId="62DA05AE" w14:textId="77777777" w:rsidR="001765D4" w:rsidRPr="00D95484" w:rsidRDefault="001765D4" w:rsidP="0067629C">
            <w:pPr>
              <w:spacing w:line="360" w:lineRule="auto"/>
              <w:jc w:val="center"/>
              <w:rPr>
                <w:rFonts w:ascii="Times New Roman" w:hAnsi="Times New Roman" w:cs="Times New Roman"/>
                <w:b/>
                <w:bCs/>
                <w:i/>
                <w:iCs/>
                <w:lang w:val="es-ES"/>
              </w:rPr>
            </w:pPr>
            <w:r w:rsidRPr="00D95484">
              <w:rPr>
                <w:rFonts w:ascii="Times New Roman" w:hAnsi="Times New Roman" w:cs="Times New Roman"/>
                <w:b/>
                <w:bCs/>
                <w:i/>
                <w:iCs/>
                <w:lang w:val="es-ES"/>
              </w:rPr>
              <w:t>p-value</w:t>
            </w:r>
          </w:p>
        </w:tc>
      </w:tr>
      <w:tr w:rsidR="001765D4" w:rsidRPr="00D95484" w14:paraId="4AEF3C8A" w14:textId="77777777" w:rsidTr="0067629C">
        <w:trPr>
          <w:trHeight w:val="264"/>
        </w:trPr>
        <w:tc>
          <w:tcPr>
            <w:tcW w:w="3544" w:type="dxa"/>
            <w:vAlign w:val="center"/>
          </w:tcPr>
          <w:p w14:paraId="0F567258" w14:textId="77777777" w:rsidR="001765D4" w:rsidRPr="00D95484" w:rsidRDefault="001765D4" w:rsidP="0067629C">
            <w:pPr>
              <w:spacing w:line="360" w:lineRule="auto"/>
              <w:rPr>
                <w:rFonts w:ascii="Times New Roman" w:hAnsi="Times New Roman" w:cs="Times New Roman"/>
                <w:b/>
                <w:bCs/>
                <w:lang w:val="es-ES"/>
              </w:rPr>
            </w:pPr>
            <w:r w:rsidRPr="00D95484">
              <w:rPr>
                <w:rFonts w:ascii="Times New Roman" w:hAnsi="Times New Roman" w:cs="Times New Roman"/>
                <w:b/>
                <w:bCs/>
                <w:lang w:val="es-ES"/>
              </w:rPr>
              <w:t>Edad</w:t>
            </w:r>
          </w:p>
        </w:tc>
        <w:tc>
          <w:tcPr>
            <w:tcW w:w="2126" w:type="dxa"/>
            <w:vAlign w:val="center"/>
          </w:tcPr>
          <w:p w14:paraId="026D4DC0" w14:textId="77777777" w:rsidR="001765D4" w:rsidRPr="00D95484" w:rsidRDefault="001765D4" w:rsidP="0067629C">
            <w:pPr>
              <w:spacing w:line="360" w:lineRule="auto"/>
              <w:ind w:left="-105"/>
              <w:jc w:val="center"/>
              <w:rPr>
                <w:rFonts w:ascii="Times New Roman" w:hAnsi="Times New Roman" w:cs="Times New Roman"/>
                <w:lang w:val="es-ES"/>
              </w:rPr>
            </w:pPr>
            <w:r w:rsidRPr="00D95484">
              <w:rPr>
                <w:rFonts w:ascii="Times New Roman" w:hAnsi="Times New Roman" w:cs="Times New Roman"/>
                <w:lang w:val="es-ES"/>
              </w:rPr>
              <w:t>1.01 (0.97-1.05)</w:t>
            </w:r>
          </w:p>
        </w:tc>
        <w:tc>
          <w:tcPr>
            <w:tcW w:w="1134" w:type="dxa"/>
            <w:tcBorders>
              <w:right w:val="single" w:sz="4" w:space="0" w:color="auto"/>
            </w:tcBorders>
            <w:vAlign w:val="center"/>
          </w:tcPr>
          <w:p w14:paraId="364C5F92" w14:textId="77777777" w:rsidR="001765D4" w:rsidRPr="00D95484" w:rsidRDefault="001765D4" w:rsidP="0067629C">
            <w:pPr>
              <w:spacing w:line="360" w:lineRule="auto"/>
              <w:ind w:left="-105"/>
              <w:jc w:val="center"/>
              <w:rPr>
                <w:rFonts w:ascii="Times New Roman" w:hAnsi="Times New Roman" w:cs="Times New Roman"/>
                <w:i/>
                <w:iCs/>
                <w:lang w:val="es-ES"/>
              </w:rPr>
            </w:pPr>
            <w:r w:rsidRPr="00D95484">
              <w:rPr>
                <w:rFonts w:ascii="Times New Roman" w:hAnsi="Times New Roman" w:cs="Times New Roman"/>
                <w:i/>
                <w:iCs/>
                <w:lang w:val="es-ES"/>
              </w:rPr>
              <w:t>0.35</w:t>
            </w:r>
          </w:p>
        </w:tc>
        <w:tc>
          <w:tcPr>
            <w:tcW w:w="1985" w:type="dxa"/>
            <w:tcBorders>
              <w:left w:val="single" w:sz="4" w:space="0" w:color="auto"/>
            </w:tcBorders>
            <w:vAlign w:val="center"/>
          </w:tcPr>
          <w:p w14:paraId="2AFB2CF3" w14:textId="77777777" w:rsidR="001765D4" w:rsidRPr="00D95484" w:rsidRDefault="001765D4" w:rsidP="0067629C">
            <w:pPr>
              <w:spacing w:line="360" w:lineRule="auto"/>
              <w:jc w:val="center"/>
              <w:rPr>
                <w:rFonts w:ascii="Times New Roman" w:hAnsi="Times New Roman" w:cs="Times New Roman"/>
                <w:lang w:val="es-ES"/>
              </w:rPr>
            </w:pPr>
            <w:r w:rsidRPr="00D95484">
              <w:rPr>
                <w:rFonts w:ascii="Times New Roman" w:hAnsi="Times New Roman" w:cs="Times New Roman"/>
                <w:lang w:val="es-ES"/>
              </w:rPr>
              <w:t>1.03 (1.0- 1.07)</w:t>
            </w:r>
          </w:p>
        </w:tc>
        <w:tc>
          <w:tcPr>
            <w:tcW w:w="1134" w:type="dxa"/>
          </w:tcPr>
          <w:p w14:paraId="00F826A5" w14:textId="77777777" w:rsidR="001765D4" w:rsidRPr="00D95484" w:rsidRDefault="001765D4" w:rsidP="0067629C">
            <w:pPr>
              <w:spacing w:line="360" w:lineRule="auto"/>
              <w:jc w:val="center"/>
              <w:rPr>
                <w:rFonts w:ascii="Times New Roman" w:hAnsi="Times New Roman" w:cs="Times New Roman"/>
                <w:b/>
                <w:bCs/>
                <w:i/>
                <w:iCs/>
                <w:lang w:val="es-ES"/>
              </w:rPr>
            </w:pPr>
            <w:r w:rsidRPr="00D95484">
              <w:rPr>
                <w:rFonts w:ascii="Times New Roman" w:hAnsi="Times New Roman" w:cs="Times New Roman"/>
                <w:b/>
                <w:bCs/>
                <w:i/>
                <w:iCs/>
                <w:lang w:val="es-ES"/>
              </w:rPr>
              <w:t>0.040</w:t>
            </w:r>
          </w:p>
        </w:tc>
      </w:tr>
      <w:tr w:rsidR="001765D4" w:rsidRPr="00D95484" w14:paraId="04EDC5DD" w14:textId="77777777" w:rsidTr="0067629C">
        <w:trPr>
          <w:trHeight w:val="264"/>
        </w:trPr>
        <w:tc>
          <w:tcPr>
            <w:tcW w:w="3544" w:type="dxa"/>
            <w:vAlign w:val="center"/>
          </w:tcPr>
          <w:p w14:paraId="56F2679A" w14:textId="77777777" w:rsidR="001765D4" w:rsidRPr="00D95484" w:rsidRDefault="001765D4" w:rsidP="0067629C">
            <w:pPr>
              <w:spacing w:line="360" w:lineRule="auto"/>
              <w:rPr>
                <w:rFonts w:ascii="Times New Roman" w:hAnsi="Times New Roman" w:cs="Times New Roman"/>
                <w:lang w:val="es-ES"/>
              </w:rPr>
            </w:pPr>
            <w:r w:rsidRPr="00D95484">
              <w:rPr>
                <w:rFonts w:ascii="Times New Roman" w:hAnsi="Times New Roman" w:cs="Times New Roman"/>
                <w:b/>
                <w:bCs/>
                <w:lang w:val="es-ES"/>
              </w:rPr>
              <w:t>Años de educación</w:t>
            </w:r>
          </w:p>
        </w:tc>
        <w:tc>
          <w:tcPr>
            <w:tcW w:w="3260" w:type="dxa"/>
            <w:gridSpan w:val="2"/>
            <w:vAlign w:val="center"/>
          </w:tcPr>
          <w:p w14:paraId="2C7D72B6" w14:textId="77777777" w:rsidR="001765D4" w:rsidRPr="00D95484" w:rsidRDefault="001765D4" w:rsidP="0067629C">
            <w:pPr>
              <w:spacing w:line="360" w:lineRule="auto"/>
              <w:jc w:val="center"/>
              <w:rPr>
                <w:rFonts w:ascii="Times New Roman" w:hAnsi="Times New Roman" w:cs="Times New Roman"/>
                <w:i/>
                <w:iCs/>
                <w:lang w:val="es-ES"/>
              </w:rPr>
            </w:pPr>
          </w:p>
        </w:tc>
        <w:tc>
          <w:tcPr>
            <w:tcW w:w="3119" w:type="dxa"/>
            <w:gridSpan w:val="2"/>
            <w:tcBorders>
              <w:left w:val="single" w:sz="4" w:space="0" w:color="auto"/>
            </w:tcBorders>
            <w:vAlign w:val="center"/>
          </w:tcPr>
          <w:p w14:paraId="63A67BF1" w14:textId="77777777" w:rsidR="001765D4" w:rsidRPr="00D95484" w:rsidRDefault="001765D4" w:rsidP="0067629C">
            <w:pPr>
              <w:spacing w:line="360" w:lineRule="auto"/>
              <w:jc w:val="center"/>
              <w:rPr>
                <w:rFonts w:ascii="Times New Roman" w:hAnsi="Times New Roman" w:cs="Times New Roman"/>
                <w:i/>
                <w:iCs/>
                <w:lang w:val="es-ES"/>
              </w:rPr>
            </w:pPr>
          </w:p>
        </w:tc>
      </w:tr>
      <w:tr w:rsidR="001765D4" w:rsidRPr="00D95484" w14:paraId="4E38C8E3" w14:textId="77777777" w:rsidTr="0067629C">
        <w:trPr>
          <w:trHeight w:val="252"/>
        </w:trPr>
        <w:tc>
          <w:tcPr>
            <w:tcW w:w="3544" w:type="dxa"/>
            <w:vAlign w:val="center"/>
          </w:tcPr>
          <w:p w14:paraId="30CC65AF" w14:textId="77777777" w:rsidR="001765D4" w:rsidRPr="00D95484" w:rsidRDefault="001765D4" w:rsidP="0067629C">
            <w:pPr>
              <w:spacing w:line="360" w:lineRule="auto"/>
              <w:rPr>
                <w:rFonts w:ascii="Times New Roman" w:hAnsi="Times New Roman" w:cs="Times New Roman"/>
                <w:lang w:val="es-ES"/>
              </w:rPr>
            </w:pPr>
            <w:r w:rsidRPr="00D95484">
              <w:rPr>
                <w:rFonts w:ascii="Times New Roman" w:eastAsia="Times New Roman" w:hAnsi="Times New Roman" w:cs="Times New Roman"/>
                <w:lang w:val="es-ES"/>
              </w:rPr>
              <w:t>≤</w:t>
            </w:r>
            <w:r w:rsidRPr="00D95484">
              <w:rPr>
                <w:rFonts w:ascii="Times New Roman" w:hAnsi="Times New Roman" w:cs="Times New Roman"/>
                <w:lang w:val="es-ES"/>
              </w:rPr>
              <w:t>8 años</w:t>
            </w:r>
          </w:p>
        </w:tc>
        <w:tc>
          <w:tcPr>
            <w:tcW w:w="2126" w:type="dxa"/>
            <w:vAlign w:val="center"/>
          </w:tcPr>
          <w:p w14:paraId="2C65BF78" w14:textId="77777777" w:rsidR="001765D4" w:rsidRPr="00D95484" w:rsidRDefault="001765D4" w:rsidP="0067629C">
            <w:pPr>
              <w:spacing w:line="360" w:lineRule="auto"/>
              <w:ind w:left="-105"/>
              <w:jc w:val="center"/>
              <w:rPr>
                <w:rFonts w:ascii="Times New Roman" w:hAnsi="Times New Roman" w:cs="Times New Roman"/>
                <w:lang w:val="es-ES"/>
              </w:rPr>
            </w:pPr>
            <w:r w:rsidRPr="00D95484">
              <w:rPr>
                <w:rFonts w:ascii="Times New Roman" w:hAnsi="Times New Roman" w:cs="Times New Roman"/>
                <w:lang w:val="es-ES"/>
              </w:rPr>
              <w:t>1.00</w:t>
            </w:r>
          </w:p>
        </w:tc>
        <w:tc>
          <w:tcPr>
            <w:tcW w:w="1134" w:type="dxa"/>
            <w:tcBorders>
              <w:right w:val="single" w:sz="4" w:space="0" w:color="auto"/>
            </w:tcBorders>
            <w:vAlign w:val="center"/>
          </w:tcPr>
          <w:p w14:paraId="566F30B7" w14:textId="77777777" w:rsidR="001765D4" w:rsidRPr="00D95484" w:rsidRDefault="001765D4" w:rsidP="0067629C">
            <w:pPr>
              <w:spacing w:line="360" w:lineRule="auto"/>
              <w:ind w:left="-105"/>
              <w:jc w:val="center"/>
              <w:rPr>
                <w:rFonts w:ascii="Times New Roman" w:hAnsi="Times New Roman" w:cs="Times New Roman"/>
                <w:b/>
                <w:bCs/>
                <w:i/>
                <w:iCs/>
                <w:lang w:val="es-ES"/>
              </w:rPr>
            </w:pPr>
            <w:r w:rsidRPr="00D95484">
              <w:rPr>
                <w:rFonts w:ascii="Times New Roman" w:hAnsi="Times New Roman" w:cs="Times New Roman"/>
                <w:lang w:val="es-ES"/>
              </w:rPr>
              <w:t>referencia</w:t>
            </w:r>
          </w:p>
        </w:tc>
        <w:tc>
          <w:tcPr>
            <w:tcW w:w="1985" w:type="dxa"/>
            <w:tcBorders>
              <w:left w:val="single" w:sz="4" w:space="0" w:color="auto"/>
            </w:tcBorders>
            <w:vAlign w:val="center"/>
          </w:tcPr>
          <w:p w14:paraId="02ACB952" w14:textId="77777777" w:rsidR="001765D4" w:rsidRPr="00D95484" w:rsidRDefault="001765D4" w:rsidP="0067629C">
            <w:pPr>
              <w:spacing w:line="360" w:lineRule="auto"/>
              <w:jc w:val="center"/>
              <w:rPr>
                <w:rFonts w:ascii="Times New Roman" w:hAnsi="Times New Roman" w:cs="Times New Roman"/>
                <w:lang w:val="es-ES"/>
              </w:rPr>
            </w:pPr>
            <w:r w:rsidRPr="00D95484">
              <w:rPr>
                <w:rFonts w:ascii="Times New Roman" w:hAnsi="Times New Roman" w:cs="Times New Roman"/>
                <w:lang w:val="es-ES"/>
              </w:rPr>
              <w:t>1.00</w:t>
            </w:r>
          </w:p>
        </w:tc>
        <w:tc>
          <w:tcPr>
            <w:tcW w:w="1134" w:type="dxa"/>
            <w:vAlign w:val="center"/>
          </w:tcPr>
          <w:p w14:paraId="374E344A" w14:textId="77777777" w:rsidR="001765D4" w:rsidRPr="00D95484" w:rsidRDefault="001765D4" w:rsidP="0067629C">
            <w:pPr>
              <w:spacing w:line="360" w:lineRule="auto"/>
              <w:jc w:val="center"/>
              <w:rPr>
                <w:rFonts w:ascii="Times New Roman" w:hAnsi="Times New Roman" w:cs="Times New Roman"/>
                <w:b/>
                <w:bCs/>
                <w:i/>
                <w:iCs/>
                <w:lang w:val="es-ES"/>
              </w:rPr>
            </w:pPr>
            <w:r w:rsidRPr="00D95484">
              <w:rPr>
                <w:rFonts w:ascii="Times New Roman" w:hAnsi="Times New Roman" w:cs="Times New Roman"/>
                <w:lang w:val="es-ES"/>
              </w:rPr>
              <w:t>referencia</w:t>
            </w:r>
          </w:p>
        </w:tc>
      </w:tr>
      <w:tr w:rsidR="001765D4" w:rsidRPr="00D95484" w14:paraId="3D08AC5B" w14:textId="77777777" w:rsidTr="0067629C">
        <w:trPr>
          <w:trHeight w:val="264"/>
        </w:trPr>
        <w:tc>
          <w:tcPr>
            <w:tcW w:w="3544" w:type="dxa"/>
            <w:vAlign w:val="center"/>
          </w:tcPr>
          <w:p w14:paraId="737F7A50" w14:textId="77777777" w:rsidR="001765D4" w:rsidRPr="00D95484" w:rsidRDefault="001765D4" w:rsidP="0067629C">
            <w:pPr>
              <w:spacing w:line="360" w:lineRule="auto"/>
              <w:rPr>
                <w:rFonts w:ascii="Times New Roman" w:hAnsi="Times New Roman" w:cs="Times New Roman"/>
                <w:lang w:val="es-ES"/>
              </w:rPr>
            </w:pPr>
            <w:r w:rsidRPr="00D95484">
              <w:rPr>
                <w:rFonts w:ascii="Times New Roman" w:hAnsi="Times New Roman" w:cs="Times New Roman"/>
                <w:lang w:val="es-ES"/>
              </w:rPr>
              <w:t>9 a 12 años</w:t>
            </w:r>
          </w:p>
        </w:tc>
        <w:tc>
          <w:tcPr>
            <w:tcW w:w="2126" w:type="dxa"/>
            <w:vAlign w:val="center"/>
          </w:tcPr>
          <w:p w14:paraId="7C8444B2" w14:textId="77777777" w:rsidR="001765D4" w:rsidRPr="00D95484" w:rsidRDefault="001765D4" w:rsidP="0067629C">
            <w:pPr>
              <w:spacing w:line="360" w:lineRule="auto"/>
              <w:ind w:left="-105"/>
              <w:jc w:val="center"/>
              <w:rPr>
                <w:rFonts w:ascii="Times New Roman" w:hAnsi="Times New Roman" w:cs="Times New Roman"/>
                <w:b/>
                <w:bCs/>
                <w:lang w:val="es-ES"/>
              </w:rPr>
            </w:pPr>
            <w:r w:rsidRPr="00D95484">
              <w:rPr>
                <w:rFonts w:ascii="Times New Roman" w:hAnsi="Times New Roman" w:cs="Times New Roman"/>
                <w:b/>
                <w:bCs/>
                <w:lang w:val="es-ES"/>
              </w:rPr>
              <w:t>0.02 (0.023-0.3)</w:t>
            </w:r>
          </w:p>
        </w:tc>
        <w:tc>
          <w:tcPr>
            <w:tcW w:w="1134" w:type="dxa"/>
            <w:tcBorders>
              <w:right w:val="single" w:sz="4" w:space="0" w:color="auto"/>
            </w:tcBorders>
            <w:vAlign w:val="center"/>
          </w:tcPr>
          <w:p w14:paraId="794C67C2" w14:textId="77777777" w:rsidR="001765D4" w:rsidRPr="00D95484" w:rsidRDefault="001765D4" w:rsidP="0067629C">
            <w:pPr>
              <w:spacing w:line="360" w:lineRule="auto"/>
              <w:ind w:left="-105"/>
              <w:jc w:val="center"/>
              <w:rPr>
                <w:rFonts w:ascii="Times New Roman" w:hAnsi="Times New Roman" w:cs="Times New Roman"/>
                <w:b/>
                <w:bCs/>
                <w:i/>
                <w:iCs/>
                <w:lang w:val="es-ES"/>
              </w:rPr>
            </w:pPr>
            <w:r w:rsidRPr="00D95484">
              <w:rPr>
                <w:rFonts w:ascii="Times New Roman" w:hAnsi="Times New Roman" w:cs="Times New Roman"/>
                <w:b/>
                <w:bCs/>
                <w:i/>
                <w:iCs/>
                <w:lang w:val="es-ES"/>
              </w:rPr>
              <w:t>0.004</w:t>
            </w:r>
          </w:p>
        </w:tc>
        <w:tc>
          <w:tcPr>
            <w:tcW w:w="1985" w:type="dxa"/>
            <w:tcBorders>
              <w:left w:val="single" w:sz="4" w:space="0" w:color="auto"/>
            </w:tcBorders>
            <w:vAlign w:val="center"/>
          </w:tcPr>
          <w:p w14:paraId="03356A80" w14:textId="77777777" w:rsidR="001765D4" w:rsidRPr="00D95484" w:rsidRDefault="001765D4" w:rsidP="0067629C">
            <w:pPr>
              <w:spacing w:line="360" w:lineRule="auto"/>
              <w:jc w:val="center"/>
              <w:rPr>
                <w:rFonts w:ascii="Times New Roman" w:hAnsi="Times New Roman" w:cs="Times New Roman"/>
                <w:b/>
                <w:bCs/>
                <w:lang w:val="es-ES"/>
              </w:rPr>
            </w:pPr>
            <w:r w:rsidRPr="00D95484">
              <w:rPr>
                <w:rFonts w:ascii="Times New Roman" w:hAnsi="Times New Roman" w:cs="Times New Roman"/>
                <w:b/>
                <w:bCs/>
                <w:lang w:val="es-ES"/>
              </w:rPr>
              <w:t>0.03 (0.001-0.027)</w:t>
            </w:r>
          </w:p>
        </w:tc>
        <w:tc>
          <w:tcPr>
            <w:tcW w:w="1134" w:type="dxa"/>
            <w:vAlign w:val="center"/>
          </w:tcPr>
          <w:p w14:paraId="33436F11" w14:textId="77777777" w:rsidR="001765D4" w:rsidRPr="00D95484" w:rsidRDefault="001765D4" w:rsidP="0067629C">
            <w:pPr>
              <w:spacing w:line="360" w:lineRule="auto"/>
              <w:jc w:val="center"/>
              <w:rPr>
                <w:rFonts w:ascii="Times New Roman" w:hAnsi="Times New Roman" w:cs="Times New Roman"/>
                <w:b/>
                <w:bCs/>
                <w:i/>
                <w:iCs/>
                <w:lang w:val="es-ES"/>
              </w:rPr>
            </w:pPr>
            <w:r w:rsidRPr="00D95484">
              <w:rPr>
                <w:rFonts w:ascii="Times New Roman" w:hAnsi="Times New Roman" w:cs="Times New Roman"/>
                <w:b/>
                <w:bCs/>
                <w:i/>
                <w:iCs/>
                <w:lang w:val="es-ES"/>
              </w:rPr>
              <w:t>0.002</w:t>
            </w:r>
          </w:p>
        </w:tc>
      </w:tr>
      <w:tr w:rsidR="001765D4" w:rsidRPr="00D95484" w14:paraId="1903BBD0" w14:textId="77777777" w:rsidTr="0067629C">
        <w:trPr>
          <w:trHeight w:val="264"/>
        </w:trPr>
        <w:tc>
          <w:tcPr>
            <w:tcW w:w="3544" w:type="dxa"/>
            <w:vAlign w:val="center"/>
          </w:tcPr>
          <w:p w14:paraId="10C8ECFD" w14:textId="77777777" w:rsidR="001765D4" w:rsidRPr="00D95484" w:rsidRDefault="001765D4" w:rsidP="0067629C">
            <w:pPr>
              <w:spacing w:line="360" w:lineRule="auto"/>
              <w:rPr>
                <w:rFonts w:ascii="Times New Roman" w:hAnsi="Times New Roman" w:cs="Times New Roman"/>
                <w:lang w:val="es-ES"/>
              </w:rPr>
            </w:pPr>
            <w:r w:rsidRPr="00D95484">
              <w:rPr>
                <w:rFonts w:ascii="Times New Roman" w:hAnsi="Times New Roman" w:cs="Times New Roman"/>
                <w:lang w:val="es-ES"/>
              </w:rPr>
              <w:t>&gt;12 años</w:t>
            </w:r>
          </w:p>
        </w:tc>
        <w:tc>
          <w:tcPr>
            <w:tcW w:w="2126" w:type="dxa"/>
            <w:vAlign w:val="center"/>
          </w:tcPr>
          <w:p w14:paraId="073855CB" w14:textId="77777777" w:rsidR="001765D4" w:rsidRPr="00D95484" w:rsidRDefault="001765D4" w:rsidP="0067629C">
            <w:pPr>
              <w:spacing w:line="360" w:lineRule="auto"/>
              <w:ind w:left="-105"/>
              <w:jc w:val="center"/>
              <w:rPr>
                <w:rFonts w:ascii="Times New Roman" w:hAnsi="Times New Roman" w:cs="Times New Roman"/>
                <w:b/>
                <w:bCs/>
                <w:lang w:val="es-ES"/>
              </w:rPr>
            </w:pPr>
            <w:r w:rsidRPr="00D95484">
              <w:rPr>
                <w:rFonts w:ascii="Times New Roman" w:hAnsi="Times New Roman" w:cs="Times New Roman"/>
                <w:b/>
                <w:bCs/>
                <w:lang w:val="es-ES"/>
              </w:rPr>
              <w:t>0.01 (0-0.22)</w:t>
            </w:r>
          </w:p>
        </w:tc>
        <w:tc>
          <w:tcPr>
            <w:tcW w:w="1134" w:type="dxa"/>
            <w:tcBorders>
              <w:right w:val="single" w:sz="4" w:space="0" w:color="auto"/>
            </w:tcBorders>
            <w:vAlign w:val="center"/>
          </w:tcPr>
          <w:p w14:paraId="174002D9" w14:textId="77777777" w:rsidR="001765D4" w:rsidRPr="00D95484" w:rsidRDefault="001765D4" w:rsidP="0067629C">
            <w:pPr>
              <w:spacing w:line="360" w:lineRule="auto"/>
              <w:ind w:left="-105"/>
              <w:jc w:val="center"/>
              <w:rPr>
                <w:rFonts w:ascii="Times New Roman" w:hAnsi="Times New Roman" w:cs="Times New Roman"/>
                <w:b/>
                <w:bCs/>
                <w:i/>
                <w:iCs/>
                <w:lang w:val="es-ES"/>
              </w:rPr>
            </w:pPr>
            <w:r w:rsidRPr="00D95484">
              <w:rPr>
                <w:rFonts w:ascii="Times New Roman" w:hAnsi="Times New Roman" w:cs="Times New Roman"/>
                <w:b/>
                <w:bCs/>
                <w:i/>
                <w:iCs/>
                <w:lang w:val="es-ES"/>
              </w:rPr>
              <w:t>0.002</w:t>
            </w:r>
          </w:p>
        </w:tc>
        <w:tc>
          <w:tcPr>
            <w:tcW w:w="1985" w:type="dxa"/>
            <w:tcBorders>
              <w:left w:val="single" w:sz="4" w:space="0" w:color="auto"/>
            </w:tcBorders>
            <w:vAlign w:val="center"/>
          </w:tcPr>
          <w:p w14:paraId="0DB9F7DB" w14:textId="77777777" w:rsidR="001765D4" w:rsidRPr="00D95484" w:rsidRDefault="001765D4" w:rsidP="0067629C">
            <w:pPr>
              <w:spacing w:line="360" w:lineRule="auto"/>
              <w:jc w:val="center"/>
              <w:rPr>
                <w:rFonts w:ascii="Times New Roman" w:hAnsi="Times New Roman" w:cs="Times New Roman"/>
                <w:b/>
                <w:bCs/>
                <w:lang w:val="es-ES"/>
              </w:rPr>
            </w:pPr>
            <w:r w:rsidRPr="00D95484">
              <w:rPr>
                <w:rFonts w:ascii="Times New Roman" w:hAnsi="Times New Roman" w:cs="Times New Roman"/>
                <w:b/>
                <w:bCs/>
                <w:lang w:val="es-ES"/>
              </w:rPr>
              <w:t>0.02 (0.001-0.2)</w:t>
            </w:r>
          </w:p>
        </w:tc>
        <w:tc>
          <w:tcPr>
            <w:tcW w:w="1134" w:type="dxa"/>
            <w:vAlign w:val="center"/>
          </w:tcPr>
          <w:p w14:paraId="326648CD" w14:textId="77777777" w:rsidR="001765D4" w:rsidRPr="00D95484" w:rsidRDefault="001765D4" w:rsidP="0067629C">
            <w:pPr>
              <w:spacing w:line="360" w:lineRule="auto"/>
              <w:jc w:val="center"/>
              <w:rPr>
                <w:rFonts w:ascii="Times New Roman" w:hAnsi="Times New Roman" w:cs="Times New Roman"/>
                <w:b/>
                <w:bCs/>
                <w:i/>
                <w:iCs/>
                <w:lang w:val="es-ES"/>
              </w:rPr>
            </w:pPr>
            <w:r w:rsidRPr="00D95484">
              <w:rPr>
                <w:rFonts w:ascii="Times New Roman" w:hAnsi="Times New Roman" w:cs="Times New Roman"/>
                <w:b/>
                <w:bCs/>
                <w:i/>
                <w:iCs/>
                <w:lang w:val="es-ES"/>
              </w:rPr>
              <w:t>0.001</w:t>
            </w:r>
          </w:p>
        </w:tc>
      </w:tr>
      <w:tr w:rsidR="001765D4" w:rsidRPr="00D95484" w14:paraId="4DC03D26" w14:textId="77777777" w:rsidTr="0067629C">
        <w:trPr>
          <w:trHeight w:val="252"/>
        </w:trPr>
        <w:tc>
          <w:tcPr>
            <w:tcW w:w="3544" w:type="dxa"/>
            <w:vAlign w:val="center"/>
          </w:tcPr>
          <w:p w14:paraId="3F48DE26" w14:textId="77777777" w:rsidR="001765D4" w:rsidRPr="00D95484" w:rsidRDefault="001765D4" w:rsidP="0067629C">
            <w:pPr>
              <w:spacing w:line="360" w:lineRule="auto"/>
              <w:rPr>
                <w:rFonts w:ascii="Times New Roman" w:hAnsi="Times New Roman" w:cs="Times New Roman"/>
                <w:b/>
                <w:bCs/>
                <w:lang w:val="es-ES"/>
              </w:rPr>
            </w:pPr>
            <w:r w:rsidRPr="00D95484">
              <w:rPr>
                <w:rFonts w:ascii="Times New Roman" w:hAnsi="Times New Roman" w:cs="Times New Roman"/>
                <w:b/>
                <w:bCs/>
                <w:lang w:val="es-ES"/>
              </w:rPr>
              <w:t>Sexo (femenino)</w:t>
            </w:r>
          </w:p>
        </w:tc>
        <w:tc>
          <w:tcPr>
            <w:tcW w:w="2126" w:type="dxa"/>
            <w:vAlign w:val="center"/>
          </w:tcPr>
          <w:p w14:paraId="697F2B7F" w14:textId="77777777" w:rsidR="001765D4" w:rsidRPr="00D95484" w:rsidRDefault="001765D4" w:rsidP="0067629C">
            <w:pPr>
              <w:spacing w:line="360" w:lineRule="auto"/>
              <w:ind w:left="-105"/>
              <w:jc w:val="center"/>
              <w:rPr>
                <w:rFonts w:ascii="Times New Roman" w:hAnsi="Times New Roman" w:cs="Times New Roman"/>
                <w:lang w:val="es-ES"/>
              </w:rPr>
            </w:pPr>
            <w:r w:rsidRPr="00D95484">
              <w:rPr>
                <w:rFonts w:ascii="Times New Roman" w:hAnsi="Times New Roman" w:cs="Times New Roman"/>
                <w:lang w:val="es-ES"/>
              </w:rPr>
              <w:t>1.04 (0.3-3.26)</w:t>
            </w:r>
          </w:p>
        </w:tc>
        <w:tc>
          <w:tcPr>
            <w:tcW w:w="1134" w:type="dxa"/>
            <w:tcBorders>
              <w:right w:val="single" w:sz="4" w:space="0" w:color="auto"/>
            </w:tcBorders>
            <w:vAlign w:val="center"/>
          </w:tcPr>
          <w:p w14:paraId="4EB4A338" w14:textId="77777777" w:rsidR="001765D4" w:rsidRPr="00D95484" w:rsidRDefault="001765D4" w:rsidP="0067629C">
            <w:pPr>
              <w:spacing w:line="360" w:lineRule="auto"/>
              <w:ind w:left="-105"/>
              <w:jc w:val="center"/>
              <w:rPr>
                <w:rFonts w:ascii="Times New Roman" w:hAnsi="Times New Roman" w:cs="Times New Roman"/>
                <w:i/>
                <w:iCs/>
                <w:lang w:val="es-ES"/>
              </w:rPr>
            </w:pPr>
            <w:r w:rsidRPr="00D95484">
              <w:rPr>
                <w:rFonts w:ascii="Times New Roman" w:hAnsi="Times New Roman" w:cs="Times New Roman"/>
                <w:i/>
                <w:iCs/>
                <w:lang w:val="es-ES"/>
              </w:rPr>
              <w:t>0.944</w:t>
            </w:r>
          </w:p>
        </w:tc>
        <w:tc>
          <w:tcPr>
            <w:tcW w:w="1985" w:type="dxa"/>
            <w:tcBorders>
              <w:left w:val="single" w:sz="4" w:space="0" w:color="auto"/>
            </w:tcBorders>
            <w:vAlign w:val="center"/>
          </w:tcPr>
          <w:p w14:paraId="02E66D65" w14:textId="77777777" w:rsidR="001765D4" w:rsidRPr="00D95484" w:rsidRDefault="001765D4" w:rsidP="0067629C">
            <w:pPr>
              <w:spacing w:line="360" w:lineRule="auto"/>
              <w:jc w:val="center"/>
              <w:rPr>
                <w:rFonts w:ascii="Times New Roman" w:hAnsi="Times New Roman" w:cs="Times New Roman"/>
                <w:lang w:val="es-ES"/>
              </w:rPr>
            </w:pPr>
            <w:r w:rsidRPr="00D95484">
              <w:rPr>
                <w:rFonts w:ascii="Times New Roman" w:hAnsi="Times New Roman" w:cs="Times New Roman"/>
                <w:lang w:val="es-ES"/>
              </w:rPr>
              <w:t>0.9 (0.5- 1.7)</w:t>
            </w:r>
          </w:p>
        </w:tc>
        <w:tc>
          <w:tcPr>
            <w:tcW w:w="1134" w:type="dxa"/>
            <w:vAlign w:val="center"/>
          </w:tcPr>
          <w:p w14:paraId="5CFF6B32" w14:textId="77777777" w:rsidR="001765D4" w:rsidRPr="00D95484" w:rsidRDefault="001765D4" w:rsidP="0067629C">
            <w:pPr>
              <w:spacing w:line="360" w:lineRule="auto"/>
              <w:jc w:val="center"/>
              <w:rPr>
                <w:rFonts w:ascii="Times New Roman" w:hAnsi="Times New Roman" w:cs="Times New Roman"/>
                <w:i/>
                <w:iCs/>
                <w:lang w:val="es-ES"/>
              </w:rPr>
            </w:pPr>
            <w:r w:rsidRPr="00D95484">
              <w:rPr>
                <w:rFonts w:ascii="Times New Roman" w:hAnsi="Times New Roman" w:cs="Times New Roman"/>
                <w:i/>
                <w:iCs/>
                <w:lang w:val="es-ES"/>
              </w:rPr>
              <w:t>0.732</w:t>
            </w:r>
          </w:p>
        </w:tc>
      </w:tr>
      <w:tr w:rsidR="001765D4" w:rsidRPr="00D95484" w14:paraId="7D0BC805" w14:textId="77777777" w:rsidTr="0067629C">
        <w:trPr>
          <w:trHeight w:val="264"/>
        </w:trPr>
        <w:tc>
          <w:tcPr>
            <w:tcW w:w="3544" w:type="dxa"/>
            <w:vAlign w:val="center"/>
          </w:tcPr>
          <w:p w14:paraId="62F6BF6E" w14:textId="77777777" w:rsidR="001765D4" w:rsidRPr="00D95484" w:rsidRDefault="001765D4" w:rsidP="0067629C">
            <w:pPr>
              <w:spacing w:line="360" w:lineRule="auto"/>
              <w:rPr>
                <w:rFonts w:ascii="Times New Roman" w:hAnsi="Times New Roman" w:cs="Times New Roman"/>
                <w:lang w:val="es-ES"/>
              </w:rPr>
            </w:pPr>
            <w:r w:rsidRPr="00D95484">
              <w:rPr>
                <w:rFonts w:ascii="Times New Roman" w:hAnsi="Times New Roman" w:cs="Times New Roman"/>
                <w:b/>
                <w:bCs/>
                <w:lang w:val="es-ES"/>
              </w:rPr>
              <w:t>Diagnóstico de ingreso</w:t>
            </w:r>
          </w:p>
        </w:tc>
        <w:tc>
          <w:tcPr>
            <w:tcW w:w="3260" w:type="dxa"/>
            <w:gridSpan w:val="2"/>
            <w:vAlign w:val="center"/>
          </w:tcPr>
          <w:p w14:paraId="2F1ADCFE" w14:textId="77777777" w:rsidR="001765D4" w:rsidRPr="00D95484" w:rsidRDefault="001765D4" w:rsidP="0067629C">
            <w:pPr>
              <w:spacing w:line="360" w:lineRule="auto"/>
              <w:jc w:val="center"/>
              <w:rPr>
                <w:rFonts w:ascii="Times New Roman" w:hAnsi="Times New Roman" w:cs="Times New Roman"/>
                <w:i/>
                <w:iCs/>
                <w:lang w:val="es-ES"/>
              </w:rPr>
            </w:pPr>
          </w:p>
        </w:tc>
        <w:tc>
          <w:tcPr>
            <w:tcW w:w="3119" w:type="dxa"/>
            <w:gridSpan w:val="2"/>
            <w:tcBorders>
              <w:left w:val="single" w:sz="4" w:space="0" w:color="auto"/>
            </w:tcBorders>
            <w:vAlign w:val="center"/>
          </w:tcPr>
          <w:p w14:paraId="349CC3AE" w14:textId="77777777" w:rsidR="001765D4" w:rsidRPr="00D95484" w:rsidRDefault="001765D4" w:rsidP="0067629C">
            <w:pPr>
              <w:spacing w:line="360" w:lineRule="auto"/>
              <w:jc w:val="center"/>
              <w:rPr>
                <w:rFonts w:ascii="Times New Roman" w:hAnsi="Times New Roman" w:cs="Times New Roman"/>
                <w:i/>
                <w:iCs/>
                <w:lang w:val="es-ES"/>
              </w:rPr>
            </w:pPr>
          </w:p>
        </w:tc>
      </w:tr>
      <w:tr w:rsidR="001765D4" w:rsidRPr="00D95484" w14:paraId="29F15D13" w14:textId="77777777" w:rsidTr="0067629C">
        <w:trPr>
          <w:trHeight w:val="264"/>
        </w:trPr>
        <w:tc>
          <w:tcPr>
            <w:tcW w:w="3544" w:type="dxa"/>
            <w:vAlign w:val="center"/>
          </w:tcPr>
          <w:p w14:paraId="4805518A" w14:textId="77777777" w:rsidR="001765D4" w:rsidRPr="00D95484" w:rsidRDefault="001765D4" w:rsidP="0067629C">
            <w:pPr>
              <w:spacing w:line="360" w:lineRule="auto"/>
              <w:rPr>
                <w:rFonts w:ascii="Times New Roman" w:hAnsi="Times New Roman" w:cs="Times New Roman"/>
                <w:lang w:val="es-ES"/>
              </w:rPr>
            </w:pPr>
            <w:r w:rsidRPr="00D95484">
              <w:rPr>
                <w:rFonts w:ascii="Times New Roman" w:hAnsi="Times New Roman" w:cs="Times New Roman"/>
                <w:lang w:val="es-ES"/>
              </w:rPr>
              <w:t>Otros diagnósticos</w:t>
            </w:r>
          </w:p>
        </w:tc>
        <w:tc>
          <w:tcPr>
            <w:tcW w:w="2126" w:type="dxa"/>
            <w:vAlign w:val="center"/>
          </w:tcPr>
          <w:p w14:paraId="0F16005D" w14:textId="77777777" w:rsidR="001765D4" w:rsidRPr="00D95484" w:rsidRDefault="001765D4" w:rsidP="0067629C">
            <w:pPr>
              <w:spacing w:line="360" w:lineRule="auto"/>
              <w:ind w:left="-105"/>
              <w:jc w:val="center"/>
              <w:rPr>
                <w:rFonts w:ascii="Times New Roman" w:hAnsi="Times New Roman" w:cs="Times New Roman"/>
                <w:lang w:val="es-ES"/>
              </w:rPr>
            </w:pPr>
            <w:r w:rsidRPr="00D95484">
              <w:rPr>
                <w:rFonts w:ascii="Times New Roman" w:hAnsi="Times New Roman" w:cs="Times New Roman"/>
                <w:lang w:val="es-ES"/>
              </w:rPr>
              <w:t>1.00</w:t>
            </w:r>
          </w:p>
        </w:tc>
        <w:tc>
          <w:tcPr>
            <w:tcW w:w="1134" w:type="dxa"/>
            <w:tcBorders>
              <w:right w:val="single" w:sz="4" w:space="0" w:color="auto"/>
            </w:tcBorders>
            <w:vAlign w:val="center"/>
          </w:tcPr>
          <w:p w14:paraId="5A18B278" w14:textId="77777777" w:rsidR="001765D4" w:rsidRPr="00D95484" w:rsidRDefault="001765D4" w:rsidP="0067629C">
            <w:pPr>
              <w:spacing w:line="360" w:lineRule="auto"/>
              <w:ind w:left="-105"/>
              <w:jc w:val="center"/>
              <w:rPr>
                <w:rFonts w:ascii="Times New Roman" w:hAnsi="Times New Roman" w:cs="Times New Roman"/>
                <w:i/>
                <w:iCs/>
                <w:lang w:val="es-ES"/>
              </w:rPr>
            </w:pPr>
            <w:r w:rsidRPr="00D95484">
              <w:rPr>
                <w:rFonts w:ascii="Times New Roman" w:hAnsi="Times New Roman" w:cs="Times New Roman"/>
                <w:lang w:val="es-ES"/>
              </w:rPr>
              <w:t>referencia</w:t>
            </w:r>
          </w:p>
        </w:tc>
        <w:tc>
          <w:tcPr>
            <w:tcW w:w="1985" w:type="dxa"/>
            <w:tcBorders>
              <w:left w:val="single" w:sz="4" w:space="0" w:color="auto"/>
            </w:tcBorders>
            <w:vAlign w:val="center"/>
          </w:tcPr>
          <w:p w14:paraId="008398C3" w14:textId="77777777" w:rsidR="001765D4" w:rsidRPr="00D95484" w:rsidRDefault="001765D4" w:rsidP="0067629C">
            <w:pPr>
              <w:spacing w:line="360" w:lineRule="auto"/>
              <w:jc w:val="center"/>
              <w:rPr>
                <w:rFonts w:ascii="Times New Roman" w:hAnsi="Times New Roman" w:cs="Times New Roman"/>
                <w:lang w:val="es-ES"/>
              </w:rPr>
            </w:pPr>
            <w:r w:rsidRPr="00D95484">
              <w:rPr>
                <w:rFonts w:ascii="Times New Roman" w:hAnsi="Times New Roman" w:cs="Times New Roman"/>
                <w:lang w:val="es-ES"/>
              </w:rPr>
              <w:t>1.00</w:t>
            </w:r>
          </w:p>
        </w:tc>
        <w:tc>
          <w:tcPr>
            <w:tcW w:w="1134" w:type="dxa"/>
            <w:vAlign w:val="center"/>
          </w:tcPr>
          <w:p w14:paraId="53882B48" w14:textId="77777777" w:rsidR="001765D4" w:rsidRPr="00D95484" w:rsidRDefault="001765D4" w:rsidP="0067629C">
            <w:pPr>
              <w:spacing w:line="360" w:lineRule="auto"/>
              <w:jc w:val="center"/>
              <w:rPr>
                <w:rFonts w:ascii="Times New Roman" w:hAnsi="Times New Roman" w:cs="Times New Roman"/>
                <w:i/>
                <w:iCs/>
                <w:lang w:val="es-ES"/>
              </w:rPr>
            </w:pPr>
            <w:r w:rsidRPr="00D95484">
              <w:rPr>
                <w:rFonts w:ascii="Times New Roman" w:hAnsi="Times New Roman" w:cs="Times New Roman"/>
                <w:lang w:val="es-ES"/>
              </w:rPr>
              <w:t>referencia</w:t>
            </w:r>
          </w:p>
        </w:tc>
      </w:tr>
      <w:tr w:rsidR="001765D4" w:rsidRPr="00D95484" w14:paraId="629FF595" w14:textId="77777777" w:rsidTr="0067629C">
        <w:trPr>
          <w:trHeight w:val="252"/>
        </w:trPr>
        <w:tc>
          <w:tcPr>
            <w:tcW w:w="3544" w:type="dxa"/>
            <w:vAlign w:val="center"/>
          </w:tcPr>
          <w:p w14:paraId="2B8C60C5" w14:textId="77777777" w:rsidR="001765D4" w:rsidRPr="00D95484" w:rsidRDefault="001765D4" w:rsidP="0067629C">
            <w:pPr>
              <w:spacing w:line="360" w:lineRule="auto"/>
              <w:rPr>
                <w:rFonts w:ascii="Times New Roman" w:hAnsi="Times New Roman" w:cs="Times New Roman"/>
                <w:lang w:val="es-ES"/>
              </w:rPr>
            </w:pPr>
            <w:r w:rsidRPr="00D95484">
              <w:rPr>
                <w:rFonts w:ascii="Times New Roman" w:hAnsi="Times New Roman" w:cs="Times New Roman"/>
                <w:lang w:val="es-ES"/>
              </w:rPr>
              <w:t>IRA-NAC-SDRA no COVID-19</w:t>
            </w:r>
          </w:p>
        </w:tc>
        <w:tc>
          <w:tcPr>
            <w:tcW w:w="2126" w:type="dxa"/>
            <w:vAlign w:val="center"/>
          </w:tcPr>
          <w:p w14:paraId="43692841" w14:textId="77777777" w:rsidR="001765D4" w:rsidRPr="00D95484" w:rsidRDefault="001765D4" w:rsidP="0067629C">
            <w:pPr>
              <w:spacing w:line="360" w:lineRule="auto"/>
              <w:ind w:left="-105"/>
              <w:jc w:val="center"/>
              <w:rPr>
                <w:rFonts w:ascii="Times New Roman" w:hAnsi="Times New Roman" w:cs="Times New Roman"/>
                <w:lang w:val="es-ES"/>
              </w:rPr>
            </w:pPr>
            <w:r w:rsidRPr="00D95484">
              <w:rPr>
                <w:rFonts w:ascii="Times New Roman" w:hAnsi="Times New Roman" w:cs="Times New Roman"/>
                <w:lang w:val="es-ES"/>
              </w:rPr>
              <w:t>0.2 (0.01-3.75)</w:t>
            </w:r>
          </w:p>
        </w:tc>
        <w:tc>
          <w:tcPr>
            <w:tcW w:w="1134" w:type="dxa"/>
            <w:tcBorders>
              <w:right w:val="single" w:sz="4" w:space="0" w:color="auto"/>
            </w:tcBorders>
            <w:vAlign w:val="center"/>
          </w:tcPr>
          <w:p w14:paraId="343A126A" w14:textId="77777777" w:rsidR="001765D4" w:rsidRPr="00D95484" w:rsidRDefault="001765D4" w:rsidP="0067629C">
            <w:pPr>
              <w:spacing w:line="360" w:lineRule="auto"/>
              <w:ind w:left="-105"/>
              <w:jc w:val="center"/>
              <w:rPr>
                <w:rFonts w:ascii="Times New Roman" w:hAnsi="Times New Roman" w:cs="Times New Roman"/>
                <w:i/>
                <w:iCs/>
                <w:lang w:val="es-ES"/>
              </w:rPr>
            </w:pPr>
            <w:r w:rsidRPr="00D95484">
              <w:rPr>
                <w:rFonts w:ascii="Times New Roman" w:hAnsi="Times New Roman" w:cs="Times New Roman"/>
                <w:i/>
                <w:iCs/>
                <w:lang w:val="es-ES"/>
              </w:rPr>
              <w:t>0.28</w:t>
            </w:r>
          </w:p>
        </w:tc>
        <w:tc>
          <w:tcPr>
            <w:tcW w:w="1985" w:type="dxa"/>
            <w:tcBorders>
              <w:left w:val="single" w:sz="4" w:space="0" w:color="auto"/>
            </w:tcBorders>
            <w:vAlign w:val="center"/>
          </w:tcPr>
          <w:p w14:paraId="32E14D51" w14:textId="77777777" w:rsidR="001765D4" w:rsidRPr="00D95484" w:rsidRDefault="001765D4" w:rsidP="0067629C">
            <w:pPr>
              <w:spacing w:line="360" w:lineRule="auto"/>
              <w:jc w:val="center"/>
              <w:rPr>
                <w:rFonts w:ascii="Times New Roman" w:hAnsi="Times New Roman" w:cs="Times New Roman"/>
                <w:lang w:val="es-ES"/>
              </w:rPr>
            </w:pPr>
            <w:r w:rsidRPr="00D95484">
              <w:rPr>
                <w:rFonts w:ascii="Times New Roman" w:hAnsi="Times New Roman" w:cs="Times New Roman"/>
                <w:lang w:val="es-ES"/>
              </w:rPr>
              <w:t>0.65 (0.1- 4.0)</w:t>
            </w:r>
          </w:p>
        </w:tc>
        <w:tc>
          <w:tcPr>
            <w:tcW w:w="1134" w:type="dxa"/>
            <w:vAlign w:val="center"/>
          </w:tcPr>
          <w:p w14:paraId="085FE9FB" w14:textId="77777777" w:rsidR="001765D4" w:rsidRPr="00D95484" w:rsidRDefault="001765D4" w:rsidP="0067629C">
            <w:pPr>
              <w:spacing w:line="360" w:lineRule="auto"/>
              <w:jc w:val="center"/>
              <w:rPr>
                <w:rFonts w:ascii="Times New Roman" w:hAnsi="Times New Roman" w:cs="Times New Roman"/>
                <w:i/>
                <w:iCs/>
                <w:lang w:val="es-ES"/>
              </w:rPr>
            </w:pPr>
            <w:r w:rsidRPr="00D95484">
              <w:rPr>
                <w:rFonts w:ascii="Times New Roman" w:hAnsi="Times New Roman" w:cs="Times New Roman"/>
                <w:i/>
                <w:iCs/>
                <w:lang w:val="es-ES"/>
              </w:rPr>
              <w:t>0.65</w:t>
            </w:r>
          </w:p>
        </w:tc>
      </w:tr>
      <w:tr w:rsidR="001765D4" w:rsidRPr="00D95484" w14:paraId="16C39599" w14:textId="77777777" w:rsidTr="0067629C">
        <w:trPr>
          <w:trHeight w:val="264"/>
        </w:trPr>
        <w:tc>
          <w:tcPr>
            <w:tcW w:w="3544" w:type="dxa"/>
            <w:vAlign w:val="center"/>
          </w:tcPr>
          <w:p w14:paraId="2D9D4632" w14:textId="77777777" w:rsidR="001765D4" w:rsidRPr="00D95484" w:rsidRDefault="001765D4" w:rsidP="0067629C">
            <w:pPr>
              <w:spacing w:line="360" w:lineRule="auto"/>
              <w:rPr>
                <w:rFonts w:ascii="Times New Roman" w:hAnsi="Times New Roman" w:cs="Times New Roman"/>
                <w:lang w:val="es-ES"/>
              </w:rPr>
            </w:pPr>
            <w:r w:rsidRPr="00D95484">
              <w:rPr>
                <w:rFonts w:ascii="Times New Roman" w:hAnsi="Times New Roman" w:cs="Times New Roman"/>
                <w:lang w:val="es-ES"/>
              </w:rPr>
              <w:t>Neumonía por COVID19</w:t>
            </w:r>
          </w:p>
        </w:tc>
        <w:tc>
          <w:tcPr>
            <w:tcW w:w="2126" w:type="dxa"/>
            <w:vAlign w:val="center"/>
          </w:tcPr>
          <w:p w14:paraId="059AC9AE" w14:textId="77777777" w:rsidR="001765D4" w:rsidRPr="00D95484" w:rsidRDefault="001765D4" w:rsidP="0067629C">
            <w:pPr>
              <w:spacing w:line="360" w:lineRule="auto"/>
              <w:ind w:left="-105"/>
              <w:jc w:val="center"/>
              <w:rPr>
                <w:rFonts w:ascii="Times New Roman" w:hAnsi="Times New Roman" w:cs="Times New Roman"/>
                <w:lang w:val="es-ES"/>
              </w:rPr>
            </w:pPr>
            <w:r w:rsidRPr="00D95484">
              <w:rPr>
                <w:rFonts w:ascii="Times New Roman" w:hAnsi="Times New Roman" w:cs="Times New Roman"/>
                <w:lang w:val="es-ES"/>
              </w:rPr>
              <w:t>0.9 (0.21-3.7)</w:t>
            </w:r>
          </w:p>
        </w:tc>
        <w:tc>
          <w:tcPr>
            <w:tcW w:w="1134" w:type="dxa"/>
            <w:tcBorders>
              <w:right w:val="single" w:sz="4" w:space="0" w:color="auto"/>
            </w:tcBorders>
            <w:vAlign w:val="center"/>
          </w:tcPr>
          <w:p w14:paraId="1E37BFB3" w14:textId="77777777" w:rsidR="001765D4" w:rsidRPr="00D95484" w:rsidRDefault="001765D4" w:rsidP="0067629C">
            <w:pPr>
              <w:spacing w:line="360" w:lineRule="auto"/>
              <w:ind w:left="-105"/>
              <w:jc w:val="center"/>
              <w:rPr>
                <w:rFonts w:ascii="Times New Roman" w:hAnsi="Times New Roman" w:cs="Times New Roman"/>
                <w:i/>
                <w:iCs/>
                <w:lang w:val="es-ES"/>
              </w:rPr>
            </w:pPr>
            <w:r w:rsidRPr="00D95484">
              <w:rPr>
                <w:rFonts w:ascii="Times New Roman" w:hAnsi="Times New Roman" w:cs="Times New Roman"/>
                <w:i/>
                <w:iCs/>
                <w:lang w:val="es-ES"/>
              </w:rPr>
              <w:t>0.872</w:t>
            </w:r>
          </w:p>
        </w:tc>
        <w:tc>
          <w:tcPr>
            <w:tcW w:w="1985" w:type="dxa"/>
            <w:tcBorders>
              <w:left w:val="single" w:sz="4" w:space="0" w:color="auto"/>
            </w:tcBorders>
            <w:vAlign w:val="center"/>
          </w:tcPr>
          <w:p w14:paraId="5BC2054D" w14:textId="77777777" w:rsidR="001765D4" w:rsidRPr="00D95484" w:rsidRDefault="001765D4" w:rsidP="0067629C">
            <w:pPr>
              <w:spacing w:line="360" w:lineRule="auto"/>
              <w:jc w:val="center"/>
              <w:rPr>
                <w:rFonts w:ascii="Times New Roman" w:hAnsi="Times New Roman" w:cs="Times New Roman"/>
                <w:lang w:val="es-ES"/>
              </w:rPr>
            </w:pPr>
            <w:r w:rsidRPr="00D95484">
              <w:rPr>
                <w:rFonts w:ascii="Times New Roman" w:hAnsi="Times New Roman" w:cs="Times New Roman"/>
                <w:lang w:val="es-ES"/>
              </w:rPr>
              <w:t>0.49 (0.16-1.5)</w:t>
            </w:r>
          </w:p>
        </w:tc>
        <w:tc>
          <w:tcPr>
            <w:tcW w:w="1134" w:type="dxa"/>
            <w:vAlign w:val="center"/>
          </w:tcPr>
          <w:p w14:paraId="3D523B8E" w14:textId="77777777" w:rsidR="001765D4" w:rsidRPr="00D95484" w:rsidRDefault="001765D4" w:rsidP="0067629C">
            <w:pPr>
              <w:spacing w:line="360" w:lineRule="auto"/>
              <w:jc w:val="center"/>
              <w:rPr>
                <w:rFonts w:ascii="Times New Roman" w:hAnsi="Times New Roman" w:cs="Times New Roman"/>
                <w:i/>
                <w:iCs/>
                <w:lang w:val="es-ES"/>
              </w:rPr>
            </w:pPr>
            <w:r w:rsidRPr="00D95484">
              <w:rPr>
                <w:rFonts w:ascii="Times New Roman" w:hAnsi="Times New Roman" w:cs="Times New Roman"/>
                <w:i/>
                <w:iCs/>
                <w:lang w:val="es-ES"/>
              </w:rPr>
              <w:t>0.20</w:t>
            </w:r>
          </w:p>
        </w:tc>
      </w:tr>
      <w:tr w:rsidR="001765D4" w:rsidRPr="00D95484" w14:paraId="5B7D7D8C" w14:textId="77777777" w:rsidTr="0067629C">
        <w:trPr>
          <w:trHeight w:val="264"/>
        </w:trPr>
        <w:tc>
          <w:tcPr>
            <w:tcW w:w="3544" w:type="dxa"/>
            <w:vAlign w:val="center"/>
          </w:tcPr>
          <w:p w14:paraId="684ECE58" w14:textId="77777777" w:rsidR="001765D4" w:rsidRPr="00D95484" w:rsidRDefault="001765D4" w:rsidP="0067629C">
            <w:pPr>
              <w:spacing w:line="360" w:lineRule="auto"/>
              <w:rPr>
                <w:rFonts w:ascii="Times New Roman" w:hAnsi="Times New Roman" w:cs="Times New Roman"/>
                <w:b/>
                <w:bCs/>
                <w:lang w:val="es-ES"/>
              </w:rPr>
            </w:pPr>
            <w:r w:rsidRPr="00D95484">
              <w:rPr>
                <w:rFonts w:ascii="Times New Roman" w:hAnsi="Times New Roman" w:cs="Times New Roman"/>
                <w:b/>
                <w:bCs/>
                <w:lang w:val="es-ES"/>
              </w:rPr>
              <w:t>Fragilidad</w:t>
            </w:r>
          </w:p>
        </w:tc>
        <w:tc>
          <w:tcPr>
            <w:tcW w:w="2126" w:type="dxa"/>
            <w:vAlign w:val="center"/>
          </w:tcPr>
          <w:p w14:paraId="324EF5EA" w14:textId="77777777" w:rsidR="001765D4" w:rsidRPr="00D95484" w:rsidRDefault="001765D4" w:rsidP="0067629C">
            <w:pPr>
              <w:spacing w:line="360" w:lineRule="auto"/>
              <w:ind w:left="-105"/>
              <w:jc w:val="center"/>
              <w:rPr>
                <w:rFonts w:ascii="Times New Roman" w:hAnsi="Times New Roman" w:cs="Times New Roman"/>
                <w:lang w:val="es-ES"/>
              </w:rPr>
            </w:pPr>
            <w:r w:rsidRPr="00D95484">
              <w:rPr>
                <w:rFonts w:ascii="Times New Roman" w:hAnsi="Times New Roman" w:cs="Times New Roman"/>
                <w:lang w:val="es-ES"/>
              </w:rPr>
              <w:t>0.9 (0.04-22.3)</w:t>
            </w:r>
          </w:p>
        </w:tc>
        <w:tc>
          <w:tcPr>
            <w:tcW w:w="1134" w:type="dxa"/>
            <w:tcBorders>
              <w:right w:val="single" w:sz="4" w:space="0" w:color="auto"/>
            </w:tcBorders>
            <w:vAlign w:val="center"/>
          </w:tcPr>
          <w:p w14:paraId="1A3CD3B9" w14:textId="77777777" w:rsidR="001765D4" w:rsidRPr="00D95484" w:rsidRDefault="001765D4" w:rsidP="0067629C">
            <w:pPr>
              <w:spacing w:line="360" w:lineRule="auto"/>
              <w:ind w:left="-105"/>
              <w:jc w:val="center"/>
              <w:rPr>
                <w:rFonts w:ascii="Times New Roman" w:hAnsi="Times New Roman" w:cs="Times New Roman"/>
                <w:i/>
                <w:iCs/>
                <w:lang w:val="es-ES"/>
              </w:rPr>
            </w:pPr>
            <w:r w:rsidRPr="00D95484">
              <w:rPr>
                <w:rFonts w:ascii="Times New Roman" w:hAnsi="Times New Roman" w:cs="Times New Roman"/>
                <w:i/>
                <w:iCs/>
                <w:lang w:val="es-ES"/>
              </w:rPr>
              <w:t>0.96</w:t>
            </w:r>
          </w:p>
        </w:tc>
        <w:tc>
          <w:tcPr>
            <w:tcW w:w="1985" w:type="dxa"/>
            <w:tcBorders>
              <w:left w:val="single" w:sz="4" w:space="0" w:color="auto"/>
            </w:tcBorders>
            <w:vAlign w:val="center"/>
          </w:tcPr>
          <w:p w14:paraId="2A931F26" w14:textId="77777777" w:rsidR="001765D4" w:rsidRPr="00D95484" w:rsidRDefault="001765D4" w:rsidP="0067629C">
            <w:pPr>
              <w:spacing w:line="360" w:lineRule="auto"/>
              <w:jc w:val="center"/>
              <w:rPr>
                <w:rFonts w:ascii="Times New Roman" w:hAnsi="Times New Roman" w:cs="Times New Roman"/>
                <w:lang w:val="es-ES"/>
              </w:rPr>
            </w:pPr>
            <w:r w:rsidRPr="00D95484">
              <w:rPr>
                <w:rFonts w:ascii="Times New Roman" w:hAnsi="Times New Roman" w:cs="Times New Roman"/>
                <w:lang w:val="es-ES"/>
              </w:rPr>
              <w:t>6.8 (0.74 - 64)</w:t>
            </w:r>
          </w:p>
        </w:tc>
        <w:tc>
          <w:tcPr>
            <w:tcW w:w="1134" w:type="dxa"/>
            <w:vAlign w:val="center"/>
          </w:tcPr>
          <w:p w14:paraId="691EBE75" w14:textId="77777777" w:rsidR="001765D4" w:rsidRPr="00D95484" w:rsidRDefault="001765D4" w:rsidP="0067629C">
            <w:pPr>
              <w:spacing w:line="360" w:lineRule="auto"/>
              <w:jc w:val="center"/>
              <w:rPr>
                <w:rFonts w:ascii="Times New Roman" w:hAnsi="Times New Roman" w:cs="Times New Roman"/>
                <w:i/>
                <w:iCs/>
                <w:lang w:val="es-ES"/>
              </w:rPr>
            </w:pPr>
            <w:r w:rsidRPr="00D95484">
              <w:rPr>
                <w:rFonts w:ascii="Times New Roman" w:hAnsi="Times New Roman" w:cs="Times New Roman"/>
                <w:i/>
                <w:iCs/>
                <w:lang w:val="es-ES"/>
              </w:rPr>
              <w:t xml:space="preserve">0.090  </w:t>
            </w:r>
          </w:p>
        </w:tc>
      </w:tr>
      <w:tr w:rsidR="001765D4" w:rsidRPr="00D95484" w14:paraId="6582248C" w14:textId="77777777" w:rsidTr="0067629C">
        <w:trPr>
          <w:trHeight w:val="517"/>
        </w:trPr>
        <w:tc>
          <w:tcPr>
            <w:tcW w:w="3544" w:type="dxa"/>
            <w:vAlign w:val="center"/>
          </w:tcPr>
          <w:p w14:paraId="7846450A" w14:textId="77777777" w:rsidR="001765D4" w:rsidRPr="00D95484" w:rsidRDefault="001765D4" w:rsidP="0067629C">
            <w:pPr>
              <w:spacing w:line="360" w:lineRule="auto"/>
              <w:rPr>
                <w:rFonts w:ascii="Times New Roman" w:hAnsi="Times New Roman" w:cs="Times New Roman"/>
                <w:b/>
                <w:bCs/>
                <w:lang w:val="es-ES"/>
              </w:rPr>
            </w:pPr>
            <w:r w:rsidRPr="00D95484">
              <w:rPr>
                <w:rFonts w:ascii="Times New Roman" w:hAnsi="Times New Roman" w:cs="Times New Roman"/>
                <w:b/>
                <w:bCs/>
                <w:lang w:val="es-ES"/>
              </w:rPr>
              <w:t>Alta ocupación de camas durante la hospitalización</w:t>
            </w:r>
          </w:p>
        </w:tc>
        <w:tc>
          <w:tcPr>
            <w:tcW w:w="2126" w:type="dxa"/>
            <w:vAlign w:val="center"/>
          </w:tcPr>
          <w:p w14:paraId="3AD38107" w14:textId="77777777" w:rsidR="001765D4" w:rsidRPr="00D95484" w:rsidRDefault="001765D4" w:rsidP="0067629C">
            <w:pPr>
              <w:spacing w:line="360" w:lineRule="auto"/>
              <w:ind w:left="-105"/>
              <w:jc w:val="center"/>
              <w:rPr>
                <w:rFonts w:ascii="Times New Roman" w:hAnsi="Times New Roman" w:cs="Times New Roman"/>
                <w:lang w:val="es-ES"/>
              </w:rPr>
            </w:pPr>
            <w:r w:rsidRPr="00D95484">
              <w:rPr>
                <w:rFonts w:ascii="Times New Roman" w:hAnsi="Times New Roman" w:cs="Times New Roman"/>
                <w:lang w:val="es-ES"/>
              </w:rPr>
              <w:t>0.44(0.17-1.15)</w:t>
            </w:r>
          </w:p>
        </w:tc>
        <w:tc>
          <w:tcPr>
            <w:tcW w:w="1134" w:type="dxa"/>
            <w:tcBorders>
              <w:right w:val="single" w:sz="4" w:space="0" w:color="auto"/>
            </w:tcBorders>
            <w:vAlign w:val="center"/>
          </w:tcPr>
          <w:p w14:paraId="5F09AEB3" w14:textId="77777777" w:rsidR="001765D4" w:rsidRPr="00D95484" w:rsidRDefault="001765D4" w:rsidP="0067629C">
            <w:pPr>
              <w:spacing w:line="360" w:lineRule="auto"/>
              <w:ind w:left="-105"/>
              <w:jc w:val="center"/>
              <w:rPr>
                <w:rFonts w:ascii="Times New Roman" w:hAnsi="Times New Roman" w:cs="Times New Roman"/>
                <w:i/>
                <w:iCs/>
                <w:lang w:val="es-ES"/>
              </w:rPr>
            </w:pPr>
            <w:r w:rsidRPr="00D95484">
              <w:rPr>
                <w:rFonts w:ascii="Times New Roman" w:hAnsi="Times New Roman" w:cs="Times New Roman"/>
                <w:i/>
                <w:iCs/>
                <w:lang w:val="es-ES"/>
              </w:rPr>
              <w:t>0.093</w:t>
            </w:r>
          </w:p>
        </w:tc>
        <w:tc>
          <w:tcPr>
            <w:tcW w:w="1985" w:type="dxa"/>
            <w:tcBorders>
              <w:left w:val="single" w:sz="4" w:space="0" w:color="auto"/>
            </w:tcBorders>
            <w:vAlign w:val="center"/>
          </w:tcPr>
          <w:p w14:paraId="117FFBF8" w14:textId="77777777" w:rsidR="001765D4" w:rsidRPr="00D95484" w:rsidRDefault="001765D4" w:rsidP="0067629C">
            <w:pPr>
              <w:spacing w:line="360" w:lineRule="auto"/>
              <w:jc w:val="center"/>
              <w:rPr>
                <w:rFonts w:ascii="Times New Roman" w:hAnsi="Times New Roman" w:cs="Times New Roman"/>
                <w:lang w:val="es-ES"/>
              </w:rPr>
            </w:pPr>
            <w:r w:rsidRPr="00D95484">
              <w:rPr>
                <w:rFonts w:ascii="Times New Roman" w:hAnsi="Times New Roman" w:cs="Times New Roman"/>
                <w:lang w:val="es-ES"/>
              </w:rPr>
              <w:t>0.5 (0.2 -1.16)</w:t>
            </w:r>
          </w:p>
        </w:tc>
        <w:tc>
          <w:tcPr>
            <w:tcW w:w="1134" w:type="dxa"/>
            <w:vAlign w:val="center"/>
          </w:tcPr>
          <w:p w14:paraId="75F224FE" w14:textId="77777777" w:rsidR="001765D4" w:rsidRPr="00D95484" w:rsidRDefault="001765D4" w:rsidP="0067629C">
            <w:pPr>
              <w:spacing w:line="360" w:lineRule="auto"/>
              <w:jc w:val="center"/>
              <w:rPr>
                <w:rFonts w:ascii="Times New Roman" w:hAnsi="Times New Roman" w:cs="Times New Roman"/>
                <w:i/>
                <w:iCs/>
                <w:lang w:val="es-ES"/>
              </w:rPr>
            </w:pPr>
            <w:r w:rsidRPr="00D95484">
              <w:rPr>
                <w:rFonts w:ascii="Times New Roman" w:hAnsi="Times New Roman" w:cs="Times New Roman"/>
                <w:i/>
                <w:iCs/>
                <w:lang w:val="es-ES"/>
              </w:rPr>
              <w:t>0.110</w:t>
            </w:r>
          </w:p>
        </w:tc>
      </w:tr>
      <w:tr w:rsidR="001765D4" w:rsidRPr="00D95484" w14:paraId="79A27850" w14:textId="77777777" w:rsidTr="0067629C">
        <w:trPr>
          <w:trHeight w:val="361"/>
        </w:trPr>
        <w:tc>
          <w:tcPr>
            <w:tcW w:w="3544" w:type="dxa"/>
            <w:vAlign w:val="center"/>
          </w:tcPr>
          <w:p w14:paraId="4CC10DDD" w14:textId="77777777" w:rsidR="001765D4" w:rsidRPr="00D95484" w:rsidRDefault="001765D4" w:rsidP="0067629C">
            <w:pPr>
              <w:spacing w:line="360" w:lineRule="auto"/>
              <w:rPr>
                <w:rFonts w:ascii="Times New Roman" w:hAnsi="Times New Roman" w:cs="Times New Roman"/>
                <w:lang w:val="es-ES"/>
              </w:rPr>
            </w:pPr>
            <w:r w:rsidRPr="00D95484">
              <w:rPr>
                <w:rFonts w:ascii="Times New Roman" w:hAnsi="Times New Roman" w:cs="Times New Roman"/>
                <w:b/>
                <w:bCs/>
                <w:lang w:val="es-ES"/>
              </w:rPr>
              <w:t>Comorbilidades*</w:t>
            </w:r>
          </w:p>
        </w:tc>
        <w:tc>
          <w:tcPr>
            <w:tcW w:w="2126" w:type="dxa"/>
            <w:vAlign w:val="center"/>
          </w:tcPr>
          <w:p w14:paraId="253DAC8E" w14:textId="77777777" w:rsidR="001765D4" w:rsidRPr="00D95484" w:rsidRDefault="001765D4" w:rsidP="0067629C">
            <w:pPr>
              <w:spacing w:line="360" w:lineRule="auto"/>
              <w:ind w:left="-105"/>
              <w:jc w:val="center"/>
              <w:rPr>
                <w:rFonts w:ascii="Times New Roman" w:hAnsi="Times New Roman" w:cs="Times New Roman"/>
                <w:lang w:val="es-ES"/>
              </w:rPr>
            </w:pPr>
          </w:p>
        </w:tc>
        <w:tc>
          <w:tcPr>
            <w:tcW w:w="1134" w:type="dxa"/>
            <w:tcBorders>
              <w:right w:val="single" w:sz="4" w:space="0" w:color="auto"/>
            </w:tcBorders>
            <w:vAlign w:val="center"/>
          </w:tcPr>
          <w:p w14:paraId="4A11922F" w14:textId="77777777" w:rsidR="001765D4" w:rsidRPr="00D95484" w:rsidRDefault="001765D4" w:rsidP="0067629C">
            <w:pPr>
              <w:spacing w:line="360" w:lineRule="auto"/>
              <w:ind w:left="-105"/>
              <w:jc w:val="center"/>
              <w:rPr>
                <w:rFonts w:ascii="Times New Roman" w:hAnsi="Times New Roman" w:cs="Times New Roman"/>
                <w:i/>
                <w:iCs/>
                <w:lang w:val="es-ES"/>
              </w:rPr>
            </w:pPr>
          </w:p>
        </w:tc>
        <w:tc>
          <w:tcPr>
            <w:tcW w:w="1985" w:type="dxa"/>
            <w:tcBorders>
              <w:left w:val="single" w:sz="4" w:space="0" w:color="auto"/>
            </w:tcBorders>
            <w:vAlign w:val="center"/>
          </w:tcPr>
          <w:p w14:paraId="1F2203AC" w14:textId="77777777" w:rsidR="001765D4" w:rsidRPr="00D95484" w:rsidRDefault="001765D4" w:rsidP="0067629C">
            <w:pPr>
              <w:spacing w:line="360" w:lineRule="auto"/>
              <w:jc w:val="center"/>
              <w:rPr>
                <w:rFonts w:ascii="Times New Roman" w:hAnsi="Times New Roman" w:cs="Times New Roman"/>
                <w:lang w:val="es-ES"/>
              </w:rPr>
            </w:pPr>
          </w:p>
        </w:tc>
        <w:tc>
          <w:tcPr>
            <w:tcW w:w="1134" w:type="dxa"/>
            <w:vAlign w:val="center"/>
          </w:tcPr>
          <w:p w14:paraId="76F394DA" w14:textId="77777777" w:rsidR="001765D4" w:rsidRPr="00D95484" w:rsidRDefault="001765D4" w:rsidP="0067629C">
            <w:pPr>
              <w:spacing w:line="360" w:lineRule="auto"/>
              <w:jc w:val="center"/>
              <w:rPr>
                <w:rFonts w:ascii="Times New Roman" w:hAnsi="Times New Roman" w:cs="Times New Roman"/>
                <w:i/>
                <w:iCs/>
                <w:lang w:val="es-ES"/>
              </w:rPr>
            </w:pPr>
          </w:p>
        </w:tc>
      </w:tr>
      <w:tr w:rsidR="001765D4" w:rsidRPr="00D95484" w14:paraId="7D4378C5" w14:textId="77777777" w:rsidTr="0067629C">
        <w:trPr>
          <w:trHeight w:val="36"/>
        </w:trPr>
        <w:tc>
          <w:tcPr>
            <w:tcW w:w="3544" w:type="dxa"/>
            <w:vAlign w:val="center"/>
          </w:tcPr>
          <w:p w14:paraId="68EE7E7C" w14:textId="77777777" w:rsidR="001765D4" w:rsidRPr="00D95484" w:rsidRDefault="001765D4" w:rsidP="0067629C">
            <w:pPr>
              <w:spacing w:line="360" w:lineRule="auto"/>
              <w:rPr>
                <w:rFonts w:ascii="Times New Roman" w:hAnsi="Times New Roman" w:cs="Times New Roman"/>
                <w:lang w:val="es-ES"/>
              </w:rPr>
            </w:pPr>
            <w:r w:rsidRPr="00D95484">
              <w:rPr>
                <w:rFonts w:ascii="Times New Roman" w:hAnsi="Times New Roman" w:cs="Times New Roman"/>
                <w:lang w:val="es-ES"/>
              </w:rPr>
              <w:t>0 comorbilidades</w:t>
            </w:r>
          </w:p>
        </w:tc>
        <w:tc>
          <w:tcPr>
            <w:tcW w:w="2126" w:type="dxa"/>
            <w:vAlign w:val="center"/>
          </w:tcPr>
          <w:p w14:paraId="20774AC4" w14:textId="77777777" w:rsidR="001765D4" w:rsidRPr="00D95484" w:rsidRDefault="001765D4" w:rsidP="0067629C">
            <w:pPr>
              <w:spacing w:line="360" w:lineRule="auto"/>
              <w:ind w:left="-105"/>
              <w:jc w:val="center"/>
              <w:rPr>
                <w:rFonts w:ascii="Times New Roman" w:hAnsi="Times New Roman" w:cs="Times New Roman"/>
                <w:i/>
                <w:iCs/>
                <w:lang w:val="es-ES"/>
              </w:rPr>
            </w:pPr>
            <w:r w:rsidRPr="00D95484">
              <w:rPr>
                <w:rFonts w:ascii="Times New Roman" w:hAnsi="Times New Roman" w:cs="Times New Roman"/>
                <w:lang w:val="es-ES"/>
              </w:rPr>
              <w:t>1.00</w:t>
            </w:r>
          </w:p>
        </w:tc>
        <w:tc>
          <w:tcPr>
            <w:tcW w:w="1134" w:type="dxa"/>
            <w:vAlign w:val="center"/>
          </w:tcPr>
          <w:p w14:paraId="1B7C1460" w14:textId="77777777" w:rsidR="001765D4" w:rsidRPr="00D95484" w:rsidRDefault="001765D4" w:rsidP="0067629C">
            <w:pPr>
              <w:spacing w:line="360" w:lineRule="auto"/>
              <w:ind w:left="-105"/>
              <w:jc w:val="center"/>
              <w:rPr>
                <w:rFonts w:ascii="Times New Roman" w:hAnsi="Times New Roman" w:cs="Times New Roman"/>
                <w:i/>
                <w:iCs/>
                <w:lang w:val="es-ES"/>
              </w:rPr>
            </w:pPr>
            <w:r w:rsidRPr="00D95484">
              <w:rPr>
                <w:rFonts w:ascii="Times New Roman" w:hAnsi="Times New Roman" w:cs="Times New Roman"/>
                <w:i/>
                <w:iCs/>
                <w:lang w:val="es-ES"/>
              </w:rPr>
              <w:t>referencia</w:t>
            </w:r>
          </w:p>
        </w:tc>
        <w:tc>
          <w:tcPr>
            <w:tcW w:w="1985" w:type="dxa"/>
            <w:vAlign w:val="center"/>
          </w:tcPr>
          <w:p w14:paraId="0226722F" w14:textId="77777777" w:rsidR="001765D4" w:rsidRPr="00D95484" w:rsidRDefault="001765D4" w:rsidP="0067629C">
            <w:pPr>
              <w:spacing w:line="360" w:lineRule="auto"/>
              <w:jc w:val="center"/>
              <w:rPr>
                <w:rFonts w:ascii="Times New Roman" w:hAnsi="Times New Roman" w:cs="Times New Roman"/>
                <w:lang w:val="es-ES"/>
              </w:rPr>
            </w:pPr>
            <w:r w:rsidRPr="00D95484">
              <w:rPr>
                <w:rFonts w:ascii="Times New Roman" w:hAnsi="Times New Roman" w:cs="Times New Roman"/>
                <w:lang w:val="es-ES"/>
              </w:rPr>
              <w:t>1.00</w:t>
            </w:r>
          </w:p>
        </w:tc>
        <w:tc>
          <w:tcPr>
            <w:tcW w:w="1134" w:type="dxa"/>
            <w:vAlign w:val="center"/>
          </w:tcPr>
          <w:p w14:paraId="17F7173F" w14:textId="77777777" w:rsidR="001765D4" w:rsidRPr="00D95484" w:rsidRDefault="001765D4" w:rsidP="0067629C">
            <w:pPr>
              <w:spacing w:line="360" w:lineRule="auto"/>
              <w:jc w:val="center"/>
              <w:rPr>
                <w:rFonts w:ascii="Times New Roman" w:hAnsi="Times New Roman" w:cs="Times New Roman"/>
                <w:b/>
                <w:bCs/>
                <w:i/>
                <w:iCs/>
                <w:lang w:val="es-ES"/>
              </w:rPr>
            </w:pPr>
            <w:r w:rsidRPr="00D95484">
              <w:rPr>
                <w:rFonts w:ascii="Times New Roman" w:hAnsi="Times New Roman" w:cs="Times New Roman"/>
                <w:i/>
                <w:iCs/>
                <w:lang w:val="es-ES"/>
              </w:rPr>
              <w:t>referencia</w:t>
            </w:r>
          </w:p>
        </w:tc>
      </w:tr>
      <w:tr w:rsidR="001765D4" w:rsidRPr="00D95484" w14:paraId="105AEE55" w14:textId="77777777" w:rsidTr="0067629C">
        <w:trPr>
          <w:trHeight w:val="237"/>
        </w:trPr>
        <w:tc>
          <w:tcPr>
            <w:tcW w:w="3544" w:type="dxa"/>
            <w:vAlign w:val="center"/>
          </w:tcPr>
          <w:p w14:paraId="207D06D8" w14:textId="77777777" w:rsidR="001765D4" w:rsidRPr="00D95484" w:rsidRDefault="001765D4" w:rsidP="0067629C">
            <w:pPr>
              <w:spacing w:line="360" w:lineRule="auto"/>
              <w:rPr>
                <w:rFonts w:ascii="Times New Roman" w:hAnsi="Times New Roman" w:cs="Times New Roman"/>
                <w:b/>
                <w:bCs/>
                <w:lang w:val="es-ES"/>
              </w:rPr>
            </w:pPr>
            <w:r w:rsidRPr="00D95484">
              <w:rPr>
                <w:rFonts w:ascii="Times New Roman" w:hAnsi="Times New Roman" w:cs="Times New Roman"/>
                <w:lang w:val="es-ES"/>
              </w:rPr>
              <w:t>1 comorbilidad</w:t>
            </w:r>
          </w:p>
        </w:tc>
        <w:tc>
          <w:tcPr>
            <w:tcW w:w="2126" w:type="dxa"/>
            <w:vAlign w:val="center"/>
          </w:tcPr>
          <w:p w14:paraId="777C47E2" w14:textId="77777777" w:rsidR="001765D4" w:rsidRPr="00D95484" w:rsidRDefault="001765D4" w:rsidP="0067629C">
            <w:pPr>
              <w:spacing w:line="360" w:lineRule="auto"/>
              <w:jc w:val="center"/>
              <w:rPr>
                <w:rFonts w:ascii="Times New Roman" w:hAnsi="Times New Roman" w:cs="Times New Roman"/>
                <w:b/>
                <w:bCs/>
                <w:lang w:val="es-ES"/>
              </w:rPr>
            </w:pPr>
            <w:r w:rsidRPr="00D95484">
              <w:rPr>
                <w:rFonts w:ascii="Times New Roman" w:hAnsi="Times New Roman" w:cs="Times New Roman"/>
                <w:lang w:val="es-ES"/>
              </w:rPr>
              <w:t>2.4(0.8-7.2)</w:t>
            </w:r>
          </w:p>
        </w:tc>
        <w:tc>
          <w:tcPr>
            <w:tcW w:w="1134" w:type="dxa"/>
            <w:vAlign w:val="center"/>
          </w:tcPr>
          <w:p w14:paraId="75DEAAE0" w14:textId="77777777" w:rsidR="001765D4" w:rsidRPr="00D95484" w:rsidRDefault="001765D4" w:rsidP="0067629C">
            <w:pPr>
              <w:spacing w:line="360" w:lineRule="auto"/>
              <w:jc w:val="center"/>
              <w:rPr>
                <w:rFonts w:ascii="Times New Roman" w:hAnsi="Times New Roman" w:cs="Times New Roman"/>
                <w:b/>
                <w:bCs/>
                <w:lang w:val="es-ES"/>
              </w:rPr>
            </w:pPr>
            <w:r w:rsidRPr="00D95484">
              <w:rPr>
                <w:rFonts w:ascii="Times New Roman" w:hAnsi="Times New Roman" w:cs="Times New Roman"/>
                <w:i/>
                <w:iCs/>
                <w:lang w:val="es-ES"/>
              </w:rPr>
              <w:t>0.10</w:t>
            </w:r>
          </w:p>
        </w:tc>
        <w:tc>
          <w:tcPr>
            <w:tcW w:w="1985" w:type="dxa"/>
            <w:vAlign w:val="center"/>
          </w:tcPr>
          <w:p w14:paraId="7A4E444A" w14:textId="77777777" w:rsidR="001765D4" w:rsidRPr="00D95484" w:rsidRDefault="001765D4" w:rsidP="0067629C">
            <w:pPr>
              <w:spacing w:line="360" w:lineRule="auto"/>
              <w:jc w:val="center"/>
              <w:rPr>
                <w:rFonts w:ascii="Times New Roman" w:hAnsi="Times New Roman" w:cs="Times New Roman"/>
                <w:b/>
                <w:bCs/>
                <w:lang w:val="es-ES"/>
              </w:rPr>
            </w:pPr>
            <w:r w:rsidRPr="00D95484">
              <w:rPr>
                <w:rFonts w:ascii="Times New Roman" w:hAnsi="Times New Roman" w:cs="Times New Roman"/>
                <w:b/>
                <w:bCs/>
                <w:lang w:val="es-ES"/>
              </w:rPr>
              <w:t>2.7 (1.1-6.8)</w:t>
            </w:r>
          </w:p>
        </w:tc>
        <w:tc>
          <w:tcPr>
            <w:tcW w:w="1134" w:type="dxa"/>
            <w:vAlign w:val="center"/>
          </w:tcPr>
          <w:p w14:paraId="279EC0E6" w14:textId="77777777" w:rsidR="001765D4" w:rsidRPr="00D95484" w:rsidRDefault="001765D4" w:rsidP="0067629C">
            <w:pPr>
              <w:spacing w:line="360" w:lineRule="auto"/>
              <w:jc w:val="center"/>
              <w:rPr>
                <w:rFonts w:ascii="Times New Roman" w:hAnsi="Times New Roman" w:cs="Times New Roman"/>
                <w:b/>
                <w:bCs/>
                <w:lang w:val="es-ES"/>
              </w:rPr>
            </w:pPr>
            <w:r w:rsidRPr="00D95484">
              <w:rPr>
                <w:rFonts w:ascii="Times New Roman" w:hAnsi="Times New Roman" w:cs="Times New Roman"/>
                <w:b/>
                <w:bCs/>
                <w:lang w:val="es-ES"/>
              </w:rPr>
              <w:t>0.031</w:t>
            </w:r>
          </w:p>
        </w:tc>
      </w:tr>
      <w:tr w:rsidR="001765D4" w:rsidRPr="00D95484" w14:paraId="466382D3" w14:textId="77777777" w:rsidTr="0067629C">
        <w:trPr>
          <w:trHeight w:val="360"/>
        </w:trPr>
        <w:tc>
          <w:tcPr>
            <w:tcW w:w="3544" w:type="dxa"/>
            <w:vAlign w:val="center"/>
          </w:tcPr>
          <w:p w14:paraId="0B75DDE4" w14:textId="77777777" w:rsidR="001765D4" w:rsidRPr="00D95484" w:rsidRDefault="001765D4" w:rsidP="0067629C">
            <w:pPr>
              <w:spacing w:line="360" w:lineRule="auto"/>
              <w:rPr>
                <w:rFonts w:ascii="Times New Roman" w:hAnsi="Times New Roman" w:cs="Times New Roman"/>
                <w:lang w:val="es-ES"/>
              </w:rPr>
            </w:pPr>
            <w:r w:rsidRPr="00D95484">
              <w:rPr>
                <w:rFonts w:ascii="Times New Roman" w:hAnsi="Times New Roman" w:cs="Times New Roman"/>
                <w:lang w:val="es-ES"/>
              </w:rPr>
              <w:t xml:space="preserve"> ≥2 comorbilidades </w:t>
            </w:r>
          </w:p>
        </w:tc>
        <w:tc>
          <w:tcPr>
            <w:tcW w:w="2126" w:type="dxa"/>
            <w:vAlign w:val="center"/>
          </w:tcPr>
          <w:p w14:paraId="43CE3158" w14:textId="77777777" w:rsidR="001765D4" w:rsidRPr="00D95484" w:rsidRDefault="001765D4" w:rsidP="0067629C">
            <w:pPr>
              <w:spacing w:line="360" w:lineRule="auto"/>
              <w:jc w:val="center"/>
              <w:rPr>
                <w:rFonts w:ascii="Times New Roman" w:hAnsi="Times New Roman" w:cs="Times New Roman"/>
                <w:b/>
                <w:bCs/>
                <w:lang w:val="es-ES"/>
              </w:rPr>
            </w:pPr>
            <w:r w:rsidRPr="00D95484">
              <w:rPr>
                <w:rFonts w:ascii="Times New Roman" w:hAnsi="Times New Roman" w:cs="Times New Roman"/>
                <w:lang w:val="es-ES"/>
              </w:rPr>
              <w:t>1.6(0.35-7.3)</w:t>
            </w:r>
          </w:p>
        </w:tc>
        <w:tc>
          <w:tcPr>
            <w:tcW w:w="1134" w:type="dxa"/>
            <w:tcBorders>
              <w:right w:val="single" w:sz="4" w:space="0" w:color="auto"/>
            </w:tcBorders>
            <w:vAlign w:val="center"/>
          </w:tcPr>
          <w:p w14:paraId="5847DBAD" w14:textId="77777777" w:rsidR="001765D4" w:rsidRPr="00D95484" w:rsidRDefault="001765D4" w:rsidP="0067629C">
            <w:pPr>
              <w:spacing w:line="360" w:lineRule="auto"/>
              <w:jc w:val="center"/>
              <w:rPr>
                <w:rFonts w:ascii="Times New Roman" w:hAnsi="Times New Roman" w:cs="Times New Roman"/>
                <w:b/>
                <w:bCs/>
                <w:lang w:val="es-ES"/>
              </w:rPr>
            </w:pPr>
            <w:r w:rsidRPr="00D95484">
              <w:rPr>
                <w:rFonts w:ascii="Times New Roman" w:hAnsi="Times New Roman" w:cs="Times New Roman"/>
                <w:i/>
                <w:iCs/>
                <w:lang w:val="es-ES"/>
              </w:rPr>
              <w:t>0.53</w:t>
            </w:r>
          </w:p>
        </w:tc>
        <w:tc>
          <w:tcPr>
            <w:tcW w:w="1985" w:type="dxa"/>
            <w:tcBorders>
              <w:left w:val="single" w:sz="4" w:space="0" w:color="auto"/>
            </w:tcBorders>
            <w:vAlign w:val="center"/>
          </w:tcPr>
          <w:p w14:paraId="57C36C77" w14:textId="77777777" w:rsidR="001765D4" w:rsidRPr="00D95484" w:rsidRDefault="001765D4" w:rsidP="0067629C">
            <w:pPr>
              <w:spacing w:line="360" w:lineRule="auto"/>
              <w:jc w:val="center"/>
              <w:rPr>
                <w:rFonts w:ascii="Times New Roman" w:hAnsi="Times New Roman" w:cs="Times New Roman"/>
                <w:i/>
                <w:iCs/>
                <w:lang w:val="es-ES"/>
              </w:rPr>
            </w:pPr>
            <w:r w:rsidRPr="00D95484">
              <w:rPr>
                <w:rFonts w:ascii="Times New Roman" w:hAnsi="Times New Roman" w:cs="Times New Roman"/>
                <w:lang w:val="es-ES"/>
              </w:rPr>
              <w:t>2.9 (0.9-9.4)</w:t>
            </w:r>
          </w:p>
        </w:tc>
        <w:tc>
          <w:tcPr>
            <w:tcW w:w="1134" w:type="dxa"/>
            <w:tcBorders>
              <w:left w:val="single" w:sz="4" w:space="0" w:color="auto"/>
            </w:tcBorders>
            <w:vAlign w:val="center"/>
          </w:tcPr>
          <w:p w14:paraId="7F24EB4A" w14:textId="77777777" w:rsidR="001765D4" w:rsidRPr="00D95484" w:rsidRDefault="001765D4" w:rsidP="0067629C">
            <w:pPr>
              <w:spacing w:line="360" w:lineRule="auto"/>
              <w:jc w:val="center"/>
              <w:rPr>
                <w:rFonts w:ascii="Times New Roman" w:hAnsi="Times New Roman" w:cs="Times New Roman"/>
                <w:i/>
                <w:iCs/>
                <w:lang w:val="es-ES"/>
              </w:rPr>
            </w:pPr>
            <w:r w:rsidRPr="00D95484">
              <w:rPr>
                <w:rFonts w:ascii="Times New Roman" w:hAnsi="Times New Roman" w:cs="Times New Roman"/>
                <w:i/>
                <w:iCs/>
                <w:lang w:val="es-ES"/>
              </w:rPr>
              <w:t>0.071</w:t>
            </w:r>
          </w:p>
        </w:tc>
      </w:tr>
    </w:tbl>
    <w:p w14:paraId="36BC9DA8" w14:textId="77777777" w:rsidR="00D95484" w:rsidRDefault="00D95484" w:rsidP="0039189E">
      <w:pPr>
        <w:spacing w:line="360" w:lineRule="auto"/>
        <w:ind w:right="709"/>
        <w:jc w:val="both"/>
        <w:rPr>
          <w:rFonts w:ascii="Times New Roman" w:hAnsi="Times New Roman" w:cs="Times New Roman"/>
          <w:b/>
          <w:bCs/>
        </w:rPr>
      </w:pPr>
    </w:p>
    <w:p w14:paraId="5073E1D0" w14:textId="77777777" w:rsidR="00D95484" w:rsidRPr="00D95484" w:rsidRDefault="00D95484" w:rsidP="0039189E">
      <w:pPr>
        <w:spacing w:line="360" w:lineRule="auto"/>
        <w:ind w:right="709"/>
        <w:jc w:val="both"/>
        <w:rPr>
          <w:rFonts w:ascii="Times New Roman" w:hAnsi="Times New Roman" w:cs="Times New Roman"/>
          <w:i/>
          <w:iCs/>
          <w:lang w:val="es-419"/>
        </w:rPr>
      </w:pPr>
      <w:r w:rsidRPr="00D95484">
        <w:rPr>
          <w:rFonts w:ascii="Times New Roman" w:hAnsi="Times New Roman" w:cs="Times New Roman"/>
          <w:i/>
          <w:iCs/>
          <w:lang w:val="es-419"/>
        </w:rPr>
        <w:t>Se reporta OR de modelos de regresión logística ajustados por las variables edad, años de educación, sexo, diagnóstico de ingreso, fragilidad, ocupación alta de camas y comorbilidades, en dónde se dividió a la muestra en 2 grupos según el número de comorbilidades.</w:t>
      </w:r>
    </w:p>
    <w:p w14:paraId="3EFBFE31" w14:textId="77777777" w:rsidR="00D95484" w:rsidRDefault="00D95484" w:rsidP="0039189E">
      <w:pPr>
        <w:ind w:right="709"/>
        <w:rPr>
          <w:rFonts w:ascii="Times New Roman" w:hAnsi="Times New Roman" w:cs="Times New Roman"/>
          <w:b/>
          <w:bCs/>
        </w:rPr>
      </w:pPr>
      <w:r>
        <w:rPr>
          <w:rFonts w:ascii="Times New Roman" w:hAnsi="Times New Roman" w:cs="Times New Roman"/>
          <w:b/>
          <w:bCs/>
        </w:rPr>
        <w:br w:type="page"/>
      </w:r>
    </w:p>
    <w:p w14:paraId="115DF886" w14:textId="77777777" w:rsidR="00A8390E" w:rsidRDefault="00A8390E" w:rsidP="0039189E">
      <w:pPr>
        <w:spacing w:line="360" w:lineRule="auto"/>
        <w:ind w:right="709"/>
        <w:jc w:val="both"/>
        <w:rPr>
          <w:rFonts w:ascii="Times New Roman" w:hAnsi="Times New Roman" w:cs="Times New Roman"/>
          <w:b/>
          <w:bCs/>
        </w:rPr>
      </w:pPr>
      <w:r w:rsidRPr="00557263">
        <w:rPr>
          <w:rFonts w:ascii="Times New Roman" w:hAnsi="Times New Roman" w:cs="Times New Roman"/>
          <w:noProof/>
          <w:sz w:val="24"/>
          <w:szCs w:val="24"/>
        </w:rPr>
        <w:lastRenderedPageBreak/>
        <w:drawing>
          <wp:inline distT="0" distB="0" distL="0" distR="0" wp14:anchorId="6D286DC5" wp14:editId="370C7825">
            <wp:extent cx="5536276" cy="4025334"/>
            <wp:effectExtent l="0" t="0" r="127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761543"/>
                    <pic:cNvPicPr/>
                  </pic:nvPicPr>
                  <pic:blipFill>
                    <a:blip r:embed="rId17">
                      <a:extLst>
                        <a:ext uri="{28A0092B-C50C-407E-A947-70E740481C1C}">
                          <a14:useLocalDpi xmlns:a14="http://schemas.microsoft.com/office/drawing/2010/main" val="0"/>
                        </a:ext>
                      </a:extLst>
                    </a:blip>
                    <a:stretch>
                      <a:fillRect/>
                    </a:stretch>
                  </pic:blipFill>
                  <pic:spPr>
                    <a:xfrm>
                      <a:off x="0" y="0"/>
                      <a:ext cx="5551322" cy="4036274"/>
                    </a:xfrm>
                    <a:prstGeom prst="rect">
                      <a:avLst/>
                    </a:prstGeom>
                  </pic:spPr>
                </pic:pic>
              </a:graphicData>
            </a:graphic>
          </wp:inline>
        </w:drawing>
      </w:r>
    </w:p>
    <w:p w14:paraId="5D13E6D3" w14:textId="77777777" w:rsidR="00A8390E" w:rsidRPr="00557263" w:rsidRDefault="00A8390E" w:rsidP="0039189E">
      <w:pPr>
        <w:spacing w:line="360" w:lineRule="auto"/>
        <w:ind w:right="709"/>
        <w:rPr>
          <w:rFonts w:ascii="Times New Roman" w:hAnsi="Times New Roman" w:cs="Times New Roman"/>
          <w:sz w:val="24"/>
          <w:szCs w:val="24"/>
        </w:rPr>
      </w:pPr>
    </w:p>
    <w:p w14:paraId="5F8B04B1" w14:textId="77777777" w:rsidR="00A8390E" w:rsidRPr="00557263" w:rsidRDefault="00A8390E" w:rsidP="0039189E">
      <w:pPr>
        <w:spacing w:line="360" w:lineRule="auto"/>
        <w:ind w:right="709"/>
        <w:rPr>
          <w:rFonts w:ascii="Times New Roman" w:hAnsi="Times New Roman" w:cs="Times New Roman"/>
          <w:sz w:val="24"/>
          <w:szCs w:val="24"/>
          <w:lang w:val="es-419"/>
        </w:rPr>
      </w:pPr>
      <w:r w:rsidRPr="00557263">
        <w:rPr>
          <w:rFonts w:ascii="Times New Roman" w:hAnsi="Times New Roman" w:cs="Times New Roman"/>
          <w:b/>
          <w:bCs/>
          <w:sz w:val="24"/>
          <w:szCs w:val="24"/>
          <w:lang w:val="es-419"/>
        </w:rPr>
        <w:t xml:space="preserve">Figura 1. </w:t>
      </w:r>
      <w:r w:rsidRPr="00557263">
        <w:rPr>
          <w:rFonts w:ascii="Times New Roman" w:hAnsi="Times New Roman" w:cs="Times New Roman"/>
          <w:sz w:val="24"/>
          <w:szCs w:val="24"/>
          <w:lang w:val="es-419"/>
        </w:rPr>
        <w:t xml:space="preserve"> Alteración por dominios en test MoCA-Blind</w:t>
      </w:r>
    </w:p>
    <w:p w14:paraId="27987128" w14:textId="567CEB5B" w:rsidR="00ED7800" w:rsidRPr="00D62D5F" w:rsidRDefault="00364983" w:rsidP="0039189E">
      <w:pPr>
        <w:spacing w:line="360" w:lineRule="auto"/>
        <w:ind w:right="709"/>
        <w:jc w:val="both"/>
        <w:rPr>
          <w:rFonts w:ascii="Times New Roman" w:hAnsi="Times New Roman" w:cs="Times New Roman"/>
          <w:b/>
          <w:bCs/>
        </w:rPr>
      </w:pPr>
      <w:r w:rsidRPr="00D62D5F">
        <w:rPr>
          <w:rFonts w:ascii="Times New Roman" w:hAnsi="Times New Roman" w:cs="Times New Roman"/>
          <w:b/>
          <w:bCs/>
        </w:rPr>
        <w:br w:type="page"/>
      </w:r>
    </w:p>
    <w:p w14:paraId="381B2536" w14:textId="0CB235AF" w:rsidR="00492482" w:rsidRPr="00557263" w:rsidRDefault="001B15E2" w:rsidP="0039189E">
      <w:pPr>
        <w:spacing w:line="360" w:lineRule="auto"/>
        <w:ind w:right="709"/>
        <w:jc w:val="both"/>
        <w:rPr>
          <w:rFonts w:ascii="Times New Roman" w:hAnsi="Times New Roman" w:cs="Times New Roman"/>
          <w:b/>
          <w:bCs/>
          <w:sz w:val="24"/>
          <w:szCs w:val="24"/>
        </w:rPr>
      </w:pPr>
      <w:r w:rsidRPr="00557263">
        <w:rPr>
          <w:rFonts w:ascii="Times New Roman" w:hAnsi="Times New Roman" w:cs="Times New Roman"/>
          <w:sz w:val="24"/>
          <w:szCs w:val="24"/>
        </w:rPr>
        <w:lastRenderedPageBreak/>
        <w:t xml:space="preserve"> </w:t>
      </w:r>
      <w:r w:rsidR="00492482" w:rsidRPr="00557263">
        <w:rPr>
          <w:rFonts w:ascii="Times New Roman" w:hAnsi="Times New Roman" w:cs="Times New Roman"/>
          <w:b/>
          <w:bCs/>
          <w:sz w:val="24"/>
          <w:szCs w:val="24"/>
        </w:rPr>
        <w:t>REFERENCIAS</w:t>
      </w:r>
    </w:p>
    <w:p w14:paraId="1AB0C689" w14:textId="77777777" w:rsidR="002E5705" w:rsidRPr="00557263" w:rsidRDefault="002E5705" w:rsidP="0039189E">
      <w:pPr>
        <w:spacing w:line="360" w:lineRule="auto"/>
        <w:ind w:right="709"/>
        <w:jc w:val="both"/>
        <w:rPr>
          <w:rFonts w:ascii="Times New Roman" w:hAnsi="Times New Roman" w:cs="Times New Roman"/>
          <w:sz w:val="24"/>
          <w:szCs w:val="24"/>
        </w:rPr>
      </w:pPr>
    </w:p>
    <w:p w14:paraId="012EA6C2" w14:textId="0F06F90E" w:rsidR="009D5291" w:rsidRPr="00DA7DAC" w:rsidRDefault="00492482"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557263">
        <w:rPr>
          <w:rFonts w:ascii="Times New Roman" w:hAnsi="Times New Roman" w:cs="Times New Roman"/>
          <w:sz w:val="24"/>
          <w:szCs w:val="24"/>
        </w:rPr>
        <w:fldChar w:fldCharType="begin" w:fldLock="1"/>
      </w:r>
      <w:r w:rsidRPr="00557263">
        <w:rPr>
          <w:rFonts w:ascii="Times New Roman" w:hAnsi="Times New Roman" w:cs="Times New Roman"/>
          <w:sz w:val="24"/>
          <w:szCs w:val="24"/>
        </w:rPr>
        <w:instrText xml:space="preserve">ADDIN Mendeley Bibliography CSL_BIBLIOGRAPHY </w:instrText>
      </w:r>
      <w:r w:rsidRPr="00557263">
        <w:rPr>
          <w:rFonts w:ascii="Times New Roman" w:hAnsi="Times New Roman" w:cs="Times New Roman"/>
          <w:sz w:val="24"/>
          <w:szCs w:val="24"/>
        </w:rPr>
        <w:fldChar w:fldCharType="separate"/>
      </w:r>
      <w:r w:rsidR="009D5291" w:rsidRPr="009D5291">
        <w:rPr>
          <w:rFonts w:ascii="Times New Roman" w:hAnsi="Times New Roman" w:cs="Times New Roman"/>
          <w:noProof/>
          <w:sz w:val="24"/>
          <w:lang w:val="es-MX"/>
        </w:rPr>
        <w:t xml:space="preserve">1. </w:t>
      </w:r>
      <w:r w:rsidR="009D5291" w:rsidRPr="009D5291">
        <w:rPr>
          <w:rFonts w:ascii="Times New Roman" w:hAnsi="Times New Roman" w:cs="Times New Roman"/>
          <w:noProof/>
          <w:sz w:val="24"/>
          <w:lang w:val="es-MX"/>
        </w:rPr>
        <w:tab/>
        <w:t xml:space="preserve">Yanagi N, Kamiya K, Hamazaki N, Matsuzawa R, Nozaki K, Ichikawa T, et al. </w:t>
      </w:r>
      <w:r w:rsidR="009D5291" w:rsidRPr="00DA7DAC">
        <w:rPr>
          <w:rFonts w:ascii="Times New Roman" w:hAnsi="Times New Roman" w:cs="Times New Roman"/>
          <w:noProof/>
          <w:sz w:val="24"/>
          <w:lang w:val="en-US"/>
        </w:rPr>
        <w:t xml:space="preserve">Post-intensive care syndrome as a predictor of mortality in patients with critical illness: A cohort study. PLoS One. 2021;16(3 March):1–12. </w:t>
      </w:r>
    </w:p>
    <w:p w14:paraId="75C01D17"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2. </w:t>
      </w:r>
      <w:r w:rsidRPr="00DA7DAC">
        <w:rPr>
          <w:rFonts w:ascii="Times New Roman" w:hAnsi="Times New Roman" w:cs="Times New Roman"/>
          <w:noProof/>
          <w:sz w:val="24"/>
          <w:lang w:val="en-US"/>
        </w:rPr>
        <w:tab/>
        <w:t xml:space="preserve">Inoue S, Hatakeyama J, Kondo Y, Hifumi T, Sakuramoto H, Kawasaki T, et al. Post‐intensive care syndrome: its pathophysiology, prevention, and future directions. Acute Med Surg. 2019;6(3):233–46. </w:t>
      </w:r>
    </w:p>
    <w:p w14:paraId="6628F989"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3. </w:t>
      </w:r>
      <w:r w:rsidRPr="00DA7DAC">
        <w:rPr>
          <w:rFonts w:ascii="Times New Roman" w:hAnsi="Times New Roman" w:cs="Times New Roman"/>
          <w:noProof/>
          <w:sz w:val="24"/>
          <w:lang w:val="en-US"/>
        </w:rPr>
        <w:tab/>
        <w:t xml:space="preserve">Rawal G, Yadav S, Kumar R. Post-intensive care syndrome: An overview. J Transl Intern Med. 2017;5(2):90–2. </w:t>
      </w:r>
    </w:p>
    <w:p w14:paraId="4CF9DDA7"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4. </w:t>
      </w:r>
      <w:r w:rsidRPr="00DA7DAC">
        <w:rPr>
          <w:rFonts w:ascii="Times New Roman" w:hAnsi="Times New Roman" w:cs="Times New Roman"/>
          <w:noProof/>
          <w:sz w:val="24"/>
          <w:lang w:val="en-US"/>
        </w:rPr>
        <w:tab/>
        <w:t xml:space="preserve">Yuan C, Timmins F, Thompson DR. Post-intensive care syndrome: A concept analysis. Int J Nurs Stud. 2021;114:103814. </w:t>
      </w:r>
    </w:p>
    <w:p w14:paraId="28B92430"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5. </w:t>
      </w:r>
      <w:r w:rsidRPr="00DA7DAC">
        <w:rPr>
          <w:rFonts w:ascii="Times New Roman" w:hAnsi="Times New Roman" w:cs="Times New Roman"/>
          <w:noProof/>
          <w:sz w:val="24"/>
          <w:lang w:val="en-US"/>
        </w:rPr>
        <w:tab/>
        <w:t xml:space="preserve">Pandharipande PP, Girard TD, Jackson JC, Morandi A, Thompson JL, Pun BT, et al. Long-Term Cognitive Impairment after Critical Illness. N Engl J Med. 2013;369(14):1306–16. </w:t>
      </w:r>
    </w:p>
    <w:p w14:paraId="61AE1B14"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6. </w:t>
      </w:r>
      <w:r w:rsidRPr="00DA7DAC">
        <w:rPr>
          <w:rFonts w:ascii="Times New Roman" w:hAnsi="Times New Roman" w:cs="Times New Roman"/>
          <w:noProof/>
          <w:sz w:val="24"/>
          <w:lang w:val="en-US"/>
        </w:rPr>
        <w:tab/>
        <w:t xml:space="preserve">Rengel KF, Hayhurst CJ, Pandharipande PP, Hughes CG. Long-term Cognitive and Functional Impairments After Critical Illness. Anesth Analg. 2019;128(4):772–80. </w:t>
      </w:r>
    </w:p>
    <w:p w14:paraId="6F51BFB4" w14:textId="78DF7A8E"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7. </w:t>
      </w:r>
      <w:r w:rsidRPr="00DA7DAC">
        <w:rPr>
          <w:rFonts w:ascii="Times New Roman" w:hAnsi="Times New Roman" w:cs="Times New Roman"/>
          <w:noProof/>
          <w:sz w:val="24"/>
          <w:lang w:val="en-US"/>
        </w:rPr>
        <w:tab/>
        <w:t xml:space="preserve">Hoda Badr, Cindy L. Carmack, Deborah A. Kashy, Massimo Cristofanilli  and TAR, Bull M, Lostutter T.W., Lewis M.A.,Concronce JM., Neighbors C. LM. Bone. 2008;23(1):1–7. </w:t>
      </w:r>
    </w:p>
    <w:p w14:paraId="2E345CBF"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8. </w:t>
      </w:r>
      <w:r w:rsidRPr="00DA7DAC">
        <w:rPr>
          <w:rFonts w:ascii="Times New Roman" w:hAnsi="Times New Roman" w:cs="Times New Roman"/>
          <w:noProof/>
          <w:sz w:val="24"/>
          <w:lang w:val="en-US"/>
        </w:rPr>
        <w:tab/>
        <w:t xml:space="preserve">Ehlenbach WJ, Gilmore-Bykovskyi A, Repplinger MD, Westergaard RP, Jacobs EA, Kind AJH, et al. Sepsis Survivors Admitted to Skilled Nursing Facilities: Cognitive Impairment, Activities of Daily Living Dependence, and Survival. Crit Care Med. 2018;46(1):37–44. </w:t>
      </w:r>
    </w:p>
    <w:p w14:paraId="29D6C4B5"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9. </w:t>
      </w:r>
      <w:r w:rsidRPr="00DA7DAC">
        <w:rPr>
          <w:rFonts w:ascii="Times New Roman" w:hAnsi="Times New Roman" w:cs="Times New Roman"/>
          <w:noProof/>
          <w:sz w:val="24"/>
          <w:lang w:val="en-US"/>
        </w:rPr>
        <w:tab/>
        <w:t xml:space="preserve">Girard TD, Jackson JC, Pandharipande PP, Pun BT, Thompson JL, Shintani AK, et al. Survivors of Critical Illness. Crit Care Med. 2010;38(7):1–8. </w:t>
      </w:r>
    </w:p>
    <w:p w14:paraId="2F452BDF"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10. </w:t>
      </w:r>
      <w:r w:rsidRPr="00DA7DAC">
        <w:rPr>
          <w:rFonts w:ascii="Times New Roman" w:hAnsi="Times New Roman" w:cs="Times New Roman"/>
          <w:noProof/>
          <w:sz w:val="24"/>
          <w:lang w:val="en-US"/>
        </w:rPr>
        <w:tab/>
        <w:t xml:space="preserve">Hopkins RO, Jackson JC. Long-term neurocognitive function after critical illness. Chest. 2006;130(3):869–78. </w:t>
      </w:r>
    </w:p>
    <w:p w14:paraId="0BB0D4DE"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11. </w:t>
      </w:r>
      <w:r w:rsidRPr="00DA7DAC">
        <w:rPr>
          <w:rFonts w:ascii="Times New Roman" w:hAnsi="Times New Roman" w:cs="Times New Roman"/>
          <w:noProof/>
          <w:sz w:val="24"/>
          <w:lang w:val="en-US"/>
        </w:rPr>
        <w:tab/>
        <w:t xml:space="preserve">Ehlenbach WJ, Hough CL, Crane PK, Haneuse SJPA, Carson SS, Curtis JR, et al. Association between acute care and critical illness hospitalization and cognitive function in older adults. Jama. 2010;303(8):763–70. </w:t>
      </w:r>
    </w:p>
    <w:p w14:paraId="19E30DBC"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12. </w:t>
      </w:r>
      <w:r w:rsidRPr="00DA7DAC">
        <w:rPr>
          <w:rFonts w:ascii="Times New Roman" w:hAnsi="Times New Roman" w:cs="Times New Roman"/>
          <w:noProof/>
          <w:sz w:val="24"/>
          <w:lang w:val="en-US"/>
        </w:rPr>
        <w:tab/>
        <w:t>Goldberg TE, Chen C, Wang Y, Jung E, Swanson A, Ing C, et al. Association of delirium with long-</w:t>
      </w:r>
      <w:r w:rsidRPr="00DA7DAC">
        <w:rPr>
          <w:rFonts w:ascii="Times New Roman" w:hAnsi="Times New Roman" w:cs="Times New Roman"/>
          <w:noProof/>
          <w:sz w:val="24"/>
          <w:lang w:val="en-US"/>
        </w:rPr>
        <w:lastRenderedPageBreak/>
        <w:t xml:space="preserve">term cognitive decline: A meta-analysis. JAMA Neurol. 2020;77(11):1373–81. </w:t>
      </w:r>
    </w:p>
    <w:p w14:paraId="3692AAE8" w14:textId="77777777" w:rsidR="009D5291" w:rsidRPr="009D5291"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s-MX"/>
        </w:rPr>
      </w:pPr>
      <w:r w:rsidRPr="00DA7DAC">
        <w:rPr>
          <w:rFonts w:ascii="Times New Roman" w:hAnsi="Times New Roman" w:cs="Times New Roman"/>
          <w:noProof/>
          <w:sz w:val="24"/>
          <w:lang w:val="en-US"/>
        </w:rPr>
        <w:t xml:space="preserve">13. </w:t>
      </w:r>
      <w:r w:rsidRPr="00DA7DAC">
        <w:rPr>
          <w:rFonts w:ascii="Times New Roman" w:hAnsi="Times New Roman" w:cs="Times New Roman"/>
          <w:noProof/>
          <w:sz w:val="24"/>
          <w:lang w:val="en-US"/>
        </w:rPr>
        <w:tab/>
        <w:t xml:space="preserve">Sakusic A, Rabinstein AA. Cognitive outcomes after critical illness. </w:t>
      </w:r>
      <w:r w:rsidRPr="009D5291">
        <w:rPr>
          <w:rFonts w:ascii="Times New Roman" w:hAnsi="Times New Roman" w:cs="Times New Roman"/>
          <w:noProof/>
          <w:sz w:val="24"/>
          <w:lang w:val="es-MX"/>
        </w:rPr>
        <w:t xml:space="preserve">Curr Opin Crit Care. 2018;24(5):410–4. </w:t>
      </w:r>
    </w:p>
    <w:p w14:paraId="33B3564E"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9D5291">
        <w:rPr>
          <w:rFonts w:ascii="Times New Roman" w:hAnsi="Times New Roman" w:cs="Times New Roman"/>
          <w:noProof/>
          <w:sz w:val="24"/>
          <w:lang w:val="es-MX"/>
        </w:rPr>
        <w:t xml:space="preserve">14. </w:t>
      </w:r>
      <w:r w:rsidRPr="009D5291">
        <w:rPr>
          <w:rFonts w:ascii="Times New Roman" w:hAnsi="Times New Roman" w:cs="Times New Roman"/>
          <w:noProof/>
          <w:sz w:val="24"/>
          <w:lang w:val="es-MX"/>
        </w:rPr>
        <w:tab/>
        <w:t xml:space="preserve">Aparicio Betancourt M, Duarte-Díaz A, Vall-Roqué H, Seils L, Orrego C, Perestelo-Pérez L, et al. </w:t>
      </w:r>
      <w:r w:rsidRPr="00DA7DAC">
        <w:rPr>
          <w:rFonts w:ascii="Times New Roman" w:hAnsi="Times New Roman" w:cs="Times New Roman"/>
          <w:noProof/>
          <w:sz w:val="24"/>
          <w:lang w:val="en-US"/>
        </w:rPr>
        <w:t xml:space="preserve">Global Healthcare Needs Related to COVID-19: An Evidence Map of the First Year of the Pandemic. Int J Environ Res Public Health. 2022;19(16):1–23. </w:t>
      </w:r>
    </w:p>
    <w:p w14:paraId="0202C7E1"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15. </w:t>
      </w:r>
      <w:r w:rsidRPr="00DA7DAC">
        <w:rPr>
          <w:rFonts w:ascii="Times New Roman" w:hAnsi="Times New Roman" w:cs="Times New Roman"/>
          <w:noProof/>
          <w:sz w:val="24"/>
          <w:lang w:val="en-US"/>
        </w:rPr>
        <w:tab/>
        <w:t xml:space="preserve">Kotfis K, Williams Roberson S, Wilson JE, Dabrowski W, Pun BT, Ely EW. COVID-19: ICU delirium management during SARS-CoV-2 pandemic. Crit Care. 2020;24(1):1–9. </w:t>
      </w:r>
    </w:p>
    <w:p w14:paraId="3FBAB88A"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9D5291">
        <w:rPr>
          <w:rFonts w:ascii="Times New Roman" w:hAnsi="Times New Roman" w:cs="Times New Roman"/>
          <w:noProof/>
          <w:sz w:val="24"/>
          <w:lang w:val="es-MX"/>
        </w:rPr>
        <w:t xml:space="preserve">16. </w:t>
      </w:r>
      <w:r w:rsidRPr="009D5291">
        <w:rPr>
          <w:rFonts w:ascii="Times New Roman" w:hAnsi="Times New Roman" w:cs="Times New Roman"/>
          <w:noProof/>
          <w:sz w:val="24"/>
          <w:lang w:val="es-MX"/>
        </w:rPr>
        <w:tab/>
        <w:t xml:space="preserve">Dhont S, Derom E, Van Braeckel E, Depuydt P, Lambrecht BN. </w:t>
      </w:r>
      <w:r w:rsidRPr="00DA7DAC">
        <w:rPr>
          <w:rFonts w:ascii="Times New Roman" w:hAnsi="Times New Roman" w:cs="Times New Roman"/>
          <w:noProof/>
          <w:sz w:val="24"/>
          <w:lang w:val="en-US"/>
        </w:rPr>
        <w:t xml:space="preserve">The pathophysiology of “happy” hypoxemia in COVID-19. Respir Res. 2020;21(1):1–9. </w:t>
      </w:r>
    </w:p>
    <w:p w14:paraId="794649A4"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17. </w:t>
      </w:r>
      <w:r w:rsidRPr="00DA7DAC">
        <w:rPr>
          <w:rFonts w:ascii="Times New Roman" w:hAnsi="Times New Roman" w:cs="Times New Roman"/>
          <w:noProof/>
          <w:sz w:val="24"/>
          <w:lang w:val="en-US"/>
        </w:rPr>
        <w:tab/>
        <w:t xml:space="preserve">Sasannejad C, Ely EW, Lahiri S. Long-term cognitive impairment after acute respiratory distress syndrome: A review of clinical impact and pathophysiological mechanisms. Crit Care. 2019;23(1):1–12. </w:t>
      </w:r>
    </w:p>
    <w:p w14:paraId="188422AC"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18. </w:t>
      </w:r>
      <w:r w:rsidRPr="00DA7DAC">
        <w:rPr>
          <w:rFonts w:ascii="Times New Roman" w:hAnsi="Times New Roman" w:cs="Times New Roman"/>
          <w:noProof/>
          <w:sz w:val="24"/>
          <w:lang w:val="en-US"/>
        </w:rPr>
        <w:tab/>
        <w:t xml:space="preserve">Anesi GL. COVID-19: Epidemiology, clinical features, and prognosis of the critically ill adult. Up. 2021;8–17. </w:t>
      </w:r>
    </w:p>
    <w:p w14:paraId="2032F156"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19. </w:t>
      </w:r>
      <w:r w:rsidRPr="00DA7DAC">
        <w:rPr>
          <w:rFonts w:ascii="Times New Roman" w:hAnsi="Times New Roman" w:cs="Times New Roman"/>
          <w:noProof/>
          <w:sz w:val="24"/>
          <w:lang w:val="en-US"/>
        </w:rPr>
        <w:tab/>
        <w:t xml:space="preserve">Hodgson CL, Higgins AM, Bailey MJ, Mather AM, Beach L, Bellomo R, et al. The impact of COVID-19 critical illness on new disability, functional outcomes and return to work at 6 months: a prospective cohort study. Crit Care. 2021;25(1):382. </w:t>
      </w:r>
    </w:p>
    <w:p w14:paraId="5D612358"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20. </w:t>
      </w:r>
      <w:r w:rsidRPr="00DA7DAC">
        <w:rPr>
          <w:rFonts w:ascii="Times New Roman" w:hAnsi="Times New Roman" w:cs="Times New Roman"/>
          <w:noProof/>
          <w:sz w:val="24"/>
          <w:lang w:val="en-US"/>
        </w:rPr>
        <w:tab/>
        <w:t xml:space="preserve">Halpin SJ, McIvor C, Whyatt G, Adams A, Harvey O, McLean L, et al. Postdischarge symptoms and rehabilitation needs in survivors of COVID-19 infection: A cross-sectional evaluation. J Med Virol. 2021;93(2):1013–22. </w:t>
      </w:r>
    </w:p>
    <w:p w14:paraId="7295BC29"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21. </w:t>
      </w:r>
      <w:r w:rsidRPr="00DA7DAC">
        <w:rPr>
          <w:rFonts w:ascii="Times New Roman" w:hAnsi="Times New Roman" w:cs="Times New Roman"/>
          <w:noProof/>
          <w:sz w:val="24"/>
          <w:lang w:val="en-US"/>
        </w:rPr>
        <w:tab/>
        <w:t xml:space="preserve">Rousseau AF, Minguet P, Colson C, Kellens I, Chaabane S, Delanaye P, et al. Post-intensive care syndrome after a critical COVID-19: cohort study from a Belgian follow-up clinic. Ann Intensive Care. 2021;11(1). </w:t>
      </w:r>
    </w:p>
    <w:p w14:paraId="75605EE3"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22. </w:t>
      </w:r>
      <w:r w:rsidRPr="00DA7DAC">
        <w:rPr>
          <w:rFonts w:ascii="Times New Roman" w:hAnsi="Times New Roman" w:cs="Times New Roman"/>
          <w:noProof/>
          <w:sz w:val="24"/>
          <w:lang w:val="en-US"/>
        </w:rPr>
        <w:tab/>
        <w:t xml:space="preserve">Hodgson CL, Higgins AM, Bailey MJ, Mather AM, Beach L, Bellomo R, et al. Comparison of 6-Month Outcomes of COVID-19 vs Non-COVID-19 Survivors of Critical Illness. American Journal of Respiratory and Critical Care Medicine. 2022. 1–41 p. </w:t>
      </w:r>
    </w:p>
    <w:p w14:paraId="0D251D2F"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23. </w:t>
      </w:r>
      <w:r w:rsidRPr="00DA7DAC">
        <w:rPr>
          <w:rFonts w:ascii="Times New Roman" w:hAnsi="Times New Roman" w:cs="Times New Roman"/>
          <w:noProof/>
          <w:sz w:val="24"/>
          <w:lang w:val="en-US"/>
        </w:rPr>
        <w:tab/>
        <w:t xml:space="preserve">Elmajjaoui S, Ismaili N, El Kacemi H, Kebdani T, Sifat H, Benjaafar N. Epidemiology and outcome of cervical cancer in national institute of Morocco. BMC Womens Health. 2016;16(1):1–2. </w:t>
      </w:r>
    </w:p>
    <w:p w14:paraId="63DD4B25"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lastRenderedPageBreak/>
        <w:t xml:space="preserve">24. </w:t>
      </w:r>
      <w:r w:rsidRPr="00DA7DAC">
        <w:rPr>
          <w:rFonts w:ascii="Times New Roman" w:hAnsi="Times New Roman" w:cs="Times New Roman"/>
          <w:noProof/>
          <w:sz w:val="24"/>
          <w:lang w:val="en-US"/>
        </w:rPr>
        <w:tab/>
        <w:t xml:space="preserve">Castro-Ávila AC, Merino-Osorio C, González-Seguel F, Camus-Molina A, Leppe J. Impact on Mental, Physical and Cognitive functioning of a Critical care sTay during the COVID-19 pandemic (IMPACCT COVID-19): Protocol for a prospective, multicentre, mixed-methods cohort study. BMJ Open. 2021;11(9):1–10. </w:t>
      </w:r>
    </w:p>
    <w:p w14:paraId="3B98B7B0" w14:textId="77777777" w:rsidR="009D5291" w:rsidRPr="009D5291"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s-MX"/>
        </w:rPr>
      </w:pPr>
      <w:r w:rsidRPr="00DA7DAC">
        <w:rPr>
          <w:rFonts w:ascii="Times New Roman" w:hAnsi="Times New Roman" w:cs="Times New Roman"/>
          <w:noProof/>
          <w:sz w:val="24"/>
          <w:lang w:val="en-US"/>
        </w:rPr>
        <w:t xml:space="preserve">25. </w:t>
      </w:r>
      <w:r w:rsidRPr="00DA7DAC">
        <w:rPr>
          <w:rFonts w:ascii="Times New Roman" w:hAnsi="Times New Roman" w:cs="Times New Roman"/>
          <w:noProof/>
          <w:sz w:val="24"/>
          <w:lang w:val="en-US"/>
        </w:rPr>
        <w:tab/>
        <w:t xml:space="preserve">Rivers EP, Katranji M, Jaehne KA, Brown S, Abou Dagher G, Cannon C, et al. Early interventions in severe sepsis and septic shock: A review of the evidence one decade later. </w:t>
      </w:r>
      <w:r w:rsidRPr="009D5291">
        <w:rPr>
          <w:rFonts w:ascii="Times New Roman" w:hAnsi="Times New Roman" w:cs="Times New Roman"/>
          <w:noProof/>
          <w:sz w:val="24"/>
          <w:lang w:val="es-MX"/>
        </w:rPr>
        <w:t xml:space="preserve">Minerva Anestesiol. 2012;78(6):712–24. </w:t>
      </w:r>
    </w:p>
    <w:p w14:paraId="6CCBAE55"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9D5291">
        <w:rPr>
          <w:rFonts w:ascii="Times New Roman" w:hAnsi="Times New Roman" w:cs="Times New Roman"/>
          <w:noProof/>
          <w:sz w:val="24"/>
          <w:lang w:val="es-MX"/>
        </w:rPr>
        <w:t xml:space="preserve">26. </w:t>
      </w:r>
      <w:r w:rsidRPr="009D5291">
        <w:rPr>
          <w:rFonts w:ascii="Times New Roman" w:hAnsi="Times New Roman" w:cs="Times New Roman"/>
          <w:noProof/>
          <w:sz w:val="24"/>
          <w:lang w:val="es-MX"/>
        </w:rPr>
        <w:tab/>
        <w:t xml:space="preserve">Sakusic A, O’Horo JC, Dziadzko M, Volha D, Ali R, Singh TD, et al. </w:t>
      </w:r>
      <w:r w:rsidRPr="00DA7DAC">
        <w:rPr>
          <w:rFonts w:ascii="Times New Roman" w:hAnsi="Times New Roman" w:cs="Times New Roman"/>
          <w:noProof/>
          <w:sz w:val="24"/>
          <w:lang w:val="en-US"/>
        </w:rPr>
        <w:t xml:space="preserve">Potentially Modifiable Risk Factors for Long-Term Cognitive Impairment After Critical Illness: A Systematic Review. Mayo Clin Proc. 2018;93(1):68–82. </w:t>
      </w:r>
    </w:p>
    <w:p w14:paraId="5CEBD316" w14:textId="77777777" w:rsidR="009D5291" w:rsidRPr="009D5291"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s-MX"/>
        </w:rPr>
      </w:pPr>
      <w:r w:rsidRPr="00DA7DAC">
        <w:rPr>
          <w:rFonts w:ascii="Times New Roman" w:hAnsi="Times New Roman" w:cs="Times New Roman"/>
          <w:noProof/>
          <w:sz w:val="24"/>
          <w:lang w:val="en-US"/>
        </w:rPr>
        <w:t xml:space="preserve">27. </w:t>
      </w:r>
      <w:r w:rsidRPr="00DA7DAC">
        <w:rPr>
          <w:rFonts w:ascii="Times New Roman" w:hAnsi="Times New Roman" w:cs="Times New Roman"/>
          <w:noProof/>
          <w:sz w:val="24"/>
          <w:lang w:val="en-US"/>
        </w:rPr>
        <w:tab/>
        <w:t xml:space="preserve">Weihe S, Mortensen CB, Haase N, Andersen LPK, Mohr T, Siegel H, et al. Long-term cognitive and functional status in Danish ICU patients with COVID-19. </w:t>
      </w:r>
      <w:r w:rsidRPr="009D5291">
        <w:rPr>
          <w:rFonts w:ascii="Times New Roman" w:hAnsi="Times New Roman" w:cs="Times New Roman"/>
          <w:noProof/>
          <w:sz w:val="24"/>
          <w:lang w:val="es-MX"/>
        </w:rPr>
        <w:t xml:space="preserve">Acta Anaesthesiol Scand. 2022;66(8):978–86. </w:t>
      </w:r>
    </w:p>
    <w:p w14:paraId="5E0DD585"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9D5291">
        <w:rPr>
          <w:rFonts w:ascii="Times New Roman" w:hAnsi="Times New Roman" w:cs="Times New Roman"/>
          <w:noProof/>
          <w:sz w:val="24"/>
          <w:lang w:val="es-MX"/>
        </w:rPr>
        <w:t xml:space="preserve">28. </w:t>
      </w:r>
      <w:r w:rsidRPr="009D5291">
        <w:rPr>
          <w:rFonts w:ascii="Times New Roman" w:hAnsi="Times New Roman" w:cs="Times New Roman"/>
          <w:noProof/>
          <w:sz w:val="24"/>
          <w:lang w:val="es-MX"/>
        </w:rPr>
        <w:tab/>
        <w:t xml:space="preserve">Lorent N, Weygaerde Y Vande, Claeys E, Fajardo IGC, De Vos N, De Wever W, et al. </w:t>
      </w:r>
      <w:r w:rsidRPr="00DA7DAC">
        <w:rPr>
          <w:rFonts w:ascii="Times New Roman" w:hAnsi="Times New Roman" w:cs="Times New Roman"/>
          <w:noProof/>
          <w:sz w:val="24"/>
          <w:lang w:val="en-US"/>
        </w:rPr>
        <w:t xml:space="preserve">Prospective longitudinal evaluation of hospitalised COVID-19 survivors 3 and 12 months after discharge. ERJ Open Res. 2022;8(2). </w:t>
      </w:r>
    </w:p>
    <w:p w14:paraId="53C54A0C"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29. </w:t>
      </w:r>
      <w:r w:rsidRPr="00DA7DAC">
        <w:rPr>
          <w:rFonts w:ascii="Times New Roman" w:hAnsi="Times New Roman" w:cs="Times New Roman"/>
          <w:noProof/>
          <w:sz w:val="24"/>
          <w:lang w:val="en-US"/>
        </w:rPr>
        <w:tab/>
        <w:t xml:space="preserve">NICE. Chapter 39 Bed occupancy. Emergency and Acute Medical Care . 2018. 16–21 p. </w:t>
      </w:r>
    </w:p>
    <w:p w14:paraId="52B69C6E"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30. </w:t>
      </w:r>
      <w:r w:rsidRPr="00DA7DAC">
        <w:rPr>
          <w:rFonts w:ascii="Times New Roman" w:hAnsi="Times New Roman" w:cs="Times New Roman"/>
          <w:noProof/>
          <w:sz w:val="24"/>
          <w:lang w:val="en-US"/>
        </w:rPr>
        <w:tab/>
        <w:t xml:space="preserve">Feng Y, Zhang J, Zhou Y, Chen B, Yin Y. Concurrent validity of the short version of Montreal Cognitive Assessment (MoCA) for patients with stroke. Sci Rep. 2021;11(1):1–7. </w:t>
      </w:r>
    </w:p>
    <w:p w14:paraId="429BFB48" w14:textId="77777777" w:rsidR="009D5291" w:rsidRPr="009D5291"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s-MX"/>
        </w:rPr>
      </w:pPr>
      <w:r w:rsidRPr="00DA7DAC">
        <w:rPr>
          <w:rFonts w:ascii="Times New Roman" w:hAnsi="Times New Roman" w:cs="Times New Roman"/>
          <w:noProof/>
          <w:sz w:val="24"/>
          <w:lang w:val="en-US"/>
        </w:rPr>
        <w:t xml:space="preserve">31. </w:t>
      </w:r>
      <w:r w:rsidRPr="00DA7DAC">
        <w:rPr>
          <w:rFonts w:ascii="Times New Roman" w:hAnsi="Times New Roman" w:cs="Times New Roman"/>
          <w:noProof/>
          <w:sz w:val="24"/>
          <w:lang w:val="en-US"/>
        </w:rPr>
        <w:tab/>
        <w:t xml:space="preserve">Klil-Drori S, Phillips N, Fernandez A, Solomon S, Klil-Drori AJ, Chertkow H. Evaluation of a Telephone Version for the Montreal Cognitive Assessment: Establishing a Cutoff for Normative Data From a Cross-Sectional Study. </w:t>
      </w:r>
      <w:r w:rsidRPr="009D5291">
        <w:rPr>
          <w:rFonts w:ascii="Times New Roman" w:hAnsi="Times New Roman" w:cs="Times New Roman"/>
          <w:noProof/>
          <w:sz w:val="24"/>
          <w:lang w:val="es-MX"/>
        </w:rPr>
        <w:t xml:space="preserve">J Geriatr Psychiatry Neurol. 2022;35(3):374–81. </w:t>
      </w:r>
    </w:p>
    <w:p w14:paraId="7503D265"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9D5291">
        <w:rPr>
          <w:rFonts w:ascii="Times New Roman" w:hAnsi="Times New Roman" w:cs="Times New Roman"/>
          <w:noProof/>
          <w:sz w:val="24"/>
          <w:lang w:val="es-MX"/>
        </w:rPr>
        <w:t xml:space="preserve">32. </w:t>
      </w:r>
      <w:r w:rsidRPr="009D5291">
        <w:rPr>
          <w:rFonts w:ascii="Times New Roman" w:hAnsi="Times New Roman" w:cs="Times New Roman"/>
          <w:noProof/>
          <w:sz w:val="24"/>
          <w:lang w:val="es-MX"/>
        </w:rPr>
        <w:tab/>
        <w:t xml:space="preserve">Gómez-Moreno SM, Cuadrado ML, Cruz-Orduña I, Martínez-Acebes EM, Gordo-Mañas R, Fernández-Pérez C, et al. </w:t>
      </w:r>
      <w:r w:rsidRPr="00DA7DAC">
        <w:rPr>
          <w:rFonts w:ascii="Times New Roman" w:hAnsi="Times New Roman" w:cs="Times New Roman"/>
          <w:noProof/>
          <w:sz w:val="24"/>
          <w:lang w:val="en-US"/>
        </w:rPr>
        <w:t xml:space="preserve">Validation of the Spanish-language version of the Montreal Cognitive Assessment as a screening test for cognitive impairment in multiple sclerosis. Neurologia. 2022;37(9):726–34. </w:t>
      </w:r>
    </w:p>
    <w:p w14:paraId="2EAB5358"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33. </w:t>
      </w:r>
      <w:r w:rsidRPr="00DA7DAC">
        <w:rPr>
          <w:rFonts w:ascii="Times New Roman" w:hAnsi="Times New Roman" w:cs="Times New Roman"/>
          <w:noProof/>
          <w:sz w:val="24"/>
          <w:lang w:val="en-US"/>
        </w:rPr>
        <w:tab/>
        <w:t xml:space="preserve">Elizabeth Wilcox M, Brummel NE, Archer K, Wesley Ely E, Jackson JC, Hopkins RO. Cognitive dysfunction in ICU patients: Risk factors, predictors, and rehabilitation interventions. Crit Care Med. 2013;41(9 SUPPL.1). </w:t>
      </w:r>
    </w:p>
    <w:p w14:paraId="7DA92B1C"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lastRenderedPageBreak/>
        <w:t xml:space="preserve">34. </w:t>
      </w:r>
      <w:r w:rsidRPr="00DA7DAC">
        <w:rPr>
          <w:rFonts w:ascii="Times New Roman" w:hAnsi="Times New Roman" w:cs="Times New Roman"/>
          <w:noProof/>
          <w:sz w:val="24"/>
          <w:lang w:val="en-US"/>
        </w:rPr>
        <w:tab/>
        <w:t xml:space="preserve">Lee M, Kang J, Jeong YJ. Risk factors for post–intensive care syndrome: A systematic review and meta-analysis. Aust Crit Care. 2020;33(3):287–94. </w:t>
      </w:r>
    </w:p>
    <w:p w14:paraId="5DE7D0B3"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35. </w:t>
      </w:r>
      <w:r w:rsidRPr="00DA7DAC">
        <w:rPr>
          <w:rFonts w:ascii="Times New Roman" w:hAnsi="Times New Roman" w:cs="Times New Roman"/>
          <w:noProof/>
          <w:sz w:val="24"/>
          <w:lang w:val="en-US"/>
        </w:rPr>
        <w:tab/>
        <w:t xml:space="preserve">Collet MO, Egerod I, Thomsen T, Wetterslev J, Lange T, Ebdrup BH, et al. Risk factors for long-term cognitive impairment in ICU survivors: A multicenter, prospective cohort study. Acta Anaesthesiol Scand. 2021;65(1):92–9. </w:t>
      </w:r>
    </w:p>
    <w:p w14:paraId="213E42DD"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36. </w:t>
      </w:r>
      <w:r w:rsidRPr="00DA7DAC">
        <w:rPr>
          <w:rFonts w:ascii="Times New Roman" w:hAnsi="Times New Roman" w:cs="Times New Roman"/>
          <w:noProof/>
          <w:sz w:val="24"/>
          <w:lang w:val="en-US"/>
        </w:rPr>
        <w:tab/>
        <w:t xml:space="preserve">Yao L, Li Y, Yin R, Yang L, Ding N, Li B, et al. Incidence and influencing factors of post-intensive care cognitive impairment. Intensive Crit Care Nurs. 2021;67(1):103106. </w:t>
      </w:r>
    </w:p>
    <w:p w14:paraId="6C97D7F9" w14:textId="77777777" w:rsidR="009D5291" w:rsidRPr="009D5291"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s-MX"/>
        </w:rPr>
      </w:pPr>
      <w:r w:rsidRPr="00DA7DAC">
        <w:rPr>
          <w:rFonts w:ascii="Times New Roman" w:hAnsi="Times New Roman" w:cs="Times New Roman"/>
          <w:noProof/>
          <w:sz w:val="24"/>
          <w:lang w:val="en-US"/>
        </w:rPr>
        <w:t xml:space="preserve">37. </w:t>
      </w:r>
      <w:r w:rsidRPr="00DA7DAC">
        <w:rPr>
          <w:rFonts w:ascii="Times New Roman" w:hAnsi="Times New Roman" w:cs="Times New Roman"/>
          <w:noProof/>
          <w:sz w:val="24"/>
          <w:lang w:val="en-US"/>
        </w:rPr>
        <w:tab/>
        <w:t xml:space="preserve">Marra A, Pandharipande PP, Girard TD, Patel MB, Hughes CG, Jackson JC, et al. Co-Occurrence of Post-Intensive Care Syndrome Problems among 406 Survivors of Critical Illness. </w:t>
      </w:r>
      <w:r w:rsidRPr="009D5291">
        <w:rPr>
          <w:rFonts w:ascii="Times New Roman" w:hAnsi="Times New Roman" w:cs="Times New Roman"/>
          <w:noProof/>
          <w:sz w:val="24"/>
          <w:lang w:val="es-MX"/>
        </w:rPr>
        <w:t xml:space="preserve">Crit Care Med. 2018;46(9):1393–401. </w:t>
      </w:r>
    </w:p>
    <w:p w14:paraId="1845546F"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9D5291">
        <w:rPr>
          <w:rFonts w:ascii="Times New Roman" w:hAnsi="Times New Roman" w:cs="Times New Roman"/>
          <w:noProof/>
          <w:sz w:val="24"/>
          <w:lang w:val="es-MX"/>
        </w:rPr>
        <w:t xml:space="preserve">38. </w:t>
      </w:r>
      <w:r w:rsidRPr="009D5291">
        <w:rPr>
          <w:rFonts w:ascii="Times New Roman" w:hAnsi="Times New Roman" w:cs="Times New Roman"/>
          <w:noProof/>
          <w:sz w:val="24"/>
          <w:lang w:val="es-MX"/>
        </w:rPr>
        <w:tab/>
        <w:t xml:space="preserve">Nanwani-Nanwani K, López-Pérez L, Giménez-Esparza C, Ruiz-Barranco I, Carrillo E, Arellano MS, et al. </w:t>
      </w:r>
      <w:r w:rsidRPr="00DA7DAC">
        <w:rPr>
          <w:rFonts w:ascii="Times New Roman" w:hAnsi="Times New Roman" w:cs="Times New Roman"/>
          <w:noProof/>
          <w:sz w:val="24"/>
          <w:lang w:val="en-US"/>
        </w:rPr>
        <w:t xml:space="preserve">Prevalence of post-intensive care syndrome in mechanically ventilated patients with COVID-19. Sci Rep. 2022;12(1):1–11. </w:t>
      </w:r>
    </w:p>
    <w:p w14:paraId="36C4EC3C"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39. </w:t>
      </w:r>
      <w:r w:rsidRPr="00DA7DAC">
        <w:rPr>
          <w:rFonts w:ascii="Times New Roman" w:hAnsi="Times New Roman" w:cs="Times New Roman"/>
          <w:noProof/>
          <w:sz w:val="24"/>
          <w:lang w:val="en-US"/>
        </w:rPr>
        <w:tab/>
        <w:t xml:space="preserve">Weidman K, LaFond E, Hoffman KL, Goyal P, Parkhurst CN, Derry-Vick H, et al. Post–Intensive Care Unit Syndrome in a Cohort of COVID-19 Survivors in New York City. Ann Am Thorac Soc. 2022;19(7):1158–68. </w:t>
      </w:r>
    </w:p>
    <w:p w14:paraId="3BA77F55"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40. </w:t>
      </w:r>
      <w:r w:rsidRPr="00DA7DAC">
        <w:rPr>
          <w:rFonts w:ascii="Times New Roman" w:hAnsi="Times New Roman" w:cs="Times New Roman"/>
          <w:noProof/>
          <w:sz w:val="24"/>
          <w:lang w:val="en-US"/>
        </w:rPr>
        <w:tab/>
        <w:t xml:space="preserve">Evans RA, McAuley H, Harrison EM, Shikotra A, Singapuri A, Sereno M, et al. Physical, cognitive, and mental health impacts of COVID-19 after hospitalisation (PHOSP-COVID): a UK multicentre, prospective cohort study. Lancet Respir Med. 2021;9(11):1275–87. </w:t>
      </w:r>
    </w:p>
    <w:p w14:paraId="23CCA8F0"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41. </w:t>
      </w:r>
      <w:r w:rsidRPr="00DA7DAC">
        <w:rPr>
          <w:rFonts w:ascii="Times New Roman" w:hAnsi="Times New Roman" w:cs="Times New Roman"/>
          <w:noProof/>
          <w:sz w:val="24"/>
          <w:lang w:val="en-US"/>
        </w:rPr>
        <w:tab/>
        <w:t xml:space="preserve">Banno A, Hifumi T, Takahashi Y, Soh M, Sakaguchi A, Shimano S, et al. One-Year Outcomes of Postintensive Care Syndrome in Critically Ill Coronavirus Disease 2019 Patients: A Single Institutional Study. Crit Care Explor. 2021;3(12):e0595. </w:t>
      </w:r>
    </w:p>
    <w:p w14:paraId="7D79B67B"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42. </w:t>
      </w:r>
      <w:r w:rsidRPr="00DA7DAC">
        <w:rPr>
          <w:rFonts w:ascii="Times New Roman" w:hAnsi="Times New Roman" w:cs="Times New Roman"/>
          <w:noProof/>
          <w:sz w:val="24"/>
          <w:lang w:val="en-US"/>
        </w:rPr>
        <w:tab/>
        <w:t xml:space="preserve">Maley JH, Sandsmark DK, Trainor A, Bass GD, Dabrowski CL, Magdamo BA, et al. Six-Month Impairment in Cognition, Mental Health, and Physical Function Following COVID-19–Associated Respiratory Failure. Crit Care Explor. 2022;4(4):e0673. </w:t>
      </w:r>
    </w:p>
    <w:p w14:paraId="415A8ED6"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43. </w:t>
      </w:r>
      <w:r w:rsidRPr="00DA7DAC">
        <w:rPr>
          <w:rFonts w:ascii="Times New Roman" w:hAnsi="Times New Roman" w:cs="Times New Roman"/>
          <w:noProof/>
          <w:sz w:val="24"/>
          <w:lang w:val="en-US"/>
        </w:rPr>
        <w:tab/>
        <w:t xml:space="preserve">Bosque-Mercader L, Siciliani L. The association between bed occupancy rates and hospital quality in the English National Health Service. Eur J Heal Econ. 2023;24(2):209–36. </w:t>
      </w:r>
    </w:p>
    <w:p w14:paraId="4A266ED9"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44. </w:t>
      </w:r>
      <w:r w:rsidRPr="00DA7DAC">
        <w:rPr>
          <w:rFonts w:ascii="Times New Roman" w:hAnsi="Times New Roman" w:cs="Times New Roman"/>
          <w:noProof/>
          <w:sz w:val="24"/>
          <w:lang w:val="en-US"/>
        </w:rPr>
        <w:tab/>
        <w:t xml:space="preserve">Friebel R, Fisher R, Deeny SR, Gardner T, Molloy A, Steventon A. The implications of high bed occupancy rates on readmission rates in England: A longitudinal study. Health Policy (New York). </w:t>
      </w:r>
      <w:r w:rsidRPr="00DA7DAC">
        <w:rPr>
          <w:rFonts w:ascii="Times New Roman" w:hAnsi="Times New Roman" w:cs="Times New Roman"/>
          <w:noProof/>
          <w:sz w:val="24"/>
          <w:lang w:val="en-US"/>
        </w:rPr>
        <w:lastRenderedPageBreak/>
        <w:t xml:space="preserve">2019;123(8):765–72. </w:t>
      </w:r>
    </w:p>
    <w:p w14:paraId="3F776322"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45. </w:t>
      </w:r>
      <w:r w:rsidRPr="00DA7DAC">
        <w:rPr>
          <w:rFonts w:ascii="Times New Roman" w:hAnsi="Times New Roman" w:cs="Times New Roman"/>
          <w:noProof/>
          <w:sz w:val="24"/>
          <w:lang w:val="en-US"/>
        </w:rPr>
        <w:tab/>
        <w:t xml:space="preserve">Friebel R, Juarez RM. Spill Over Effects of Inpatient Bed Capacity on Accident and Emergency Performance in England. Health Policy (New York). 2020;124(11):1182–91. </w:t>
      </w:r>
    </w:p>
    <w:p w14:paraId="6222E332" w14:textId="77777777" w:rsidR="009D5291" w:rsidRPr="00DA7DAC" w:rsidRDefault="009D5291" w:rsidP="009D5291">
      <w:pPr>
        <w:widowControl w:val="0"/>
        <w:autoSpaceDE w:val="0"/>
        <w:autoSpaceDN w:val="0"/>
        <w:adjustRightInd w:val="0"/>
        <w:spacing w:line="360" w:lineRule="auto"/>
        <w:ind w:left="640" w:hanging="640"/>
        <w:rPr>
          <w:rFonts w:ascii="Times New Roman" w:hAnsi="Times New Roman" w:cs="Times New Roman"/>
          <w:noProof/>
          <w:sz w:val="24"/>
          <w:lang w:val="en-US"/>
        </w:rPr>
      </w:pPr>
      <w:r w:rsidRPr="00DA7DAC">
        <w:rPr>
          <w:rFonts w:ascii="Times New Roman" w:hAnsi="Times New Roman" w:cs="Times New Roman"/>
          <w:noProof/>
          <w:sz w:val="24"/>
          <w:lang w:val="en-US"/>
        </w:rPr>
        <w:t xml:space="preserve">46. </w:t>
      </w:r>
      <w:r w:rsidRPr="00DA7DAC">
        <w:rPr>
          <w:rFonts w:ascii="Times New Roman" w:hAnsi="Times New Roman" w:cs="Times New Roman"/>
          <w:noProof/>
          <w:sz w:val="24"/>
          <w:lang w:val="en-US"/>
        </w:rPr>
        <w:tab/>
        <w:t xml:space="preserve">Eriksson CO, Stoner RC, Eden KB, Newgard CD, Guise JM. The Association Between Hospital Capacity Strain and Inpatient Outcomes in Highly Developed Countries: A Systematic Review. J Gen Intern Med. 2017;32(6):686–96. </w:t>
      </w:r>
    </w:p>
    <w:p w14:paraId="6F72D8D1" w14:textId="77777777" w:rsidR="009D5291" w:rsidRPr="009D5291" w:rsidRDefault="009D5291" w:rsidP="009D5291">
      <w:pPr>
        <w:widowControl w:val="0"/>
        <w:autoSpaceDE w:val="0"/>
        <w:autoSpaceDN w:val="0"/>
        <w:adjustRightInd w:val="0"/>
        <w:spacing w:line="360" w:lineRule="auto"/>
        <w:ind w:left="640" w:hanging="640"/>
        <w:rPr>
          <w:rFonts w:ascii="Times New Roman" w:hAnsi="Times New Roman" w:cs="Times New Roman"/>
          <w:noProof/>
          <w:sz w:val="24"/>
        </w:rPr>
      </w:pPr>
      <w:r w:rsidRPr="00DA7DAC">
        <w:rPr>
          <w:rFonts w:ascii="Times New Roman" w:hAnsi="Times New Roman" w:cs="Times New Roman"/>
          <w:noProof/>
          <w:sz w:val="24"/>
          <w:lang w:val="en-US"/>
        </w:rPr>
        <w:t xml:space="preserve">47. </w:t>
      </w:r>
      <w:r w:rsidRPr="00DA7DAC">
        <w:rPr>
          <w:rFonts w:ascii="Times New Roman" w:hAnsi="Times New Roman" w:cs="Times New Roman"/>
          <w:noProof/>
          <w:sz w:val="24"/>
          <w:lang w:val="en-US"/>
        </w:rPr>
        <w:tab/>
        <w:t xml:space="preserve">Mitchell ML, Shum DHK, Mihala G, Murfield JE, Aitken LM. Long-term cognitive impairment and delirium in intensive care: A prospective cohort study. </w:t>
      </w:r>
      <w:r w:rsidRPr="009D5291">
        <w:rPr>
          <w:rFonts w:ascii="Times New Roman" w:hAnsi="Times New Roman" w:cs="Times New Roman"/>
          <w:noProof/>
          <w:sz w:val="24"/>
          <w:lang w:val="es-MX"/>
        </w:rPr>
        <w:t xml:space="preserve">Aust Crit Care. 2018;31(4):204–11. </w:t>
      </w:r>
    </w:p>
    <w:p w14:paraId="3E068E9E" w14:textId="23F4BA18" w:rsidR="004E580B" w:rsidRPr="00557263" w:rsidRDefault="00492482" w:rsidP="009D5291">
      <w:pPr>
        <w:widowControl w:val="0"/>
        <w:autoSpaceDE w:val="0"/>
        <w:autoSpaceDN w:val="0"/>
        <w:adjustRightInd w:val="0"/>
        <w:spacing w:line="360" w:lineRule="auto"/>
        <w:ind w:left="640" w:hanging="640"/>
        <w:rPr>
          <w:rFonts w:ascii="Times New Roman" w:hAnsi="Times New Roman" w:cs="Times New Roman"/>
          <w:sz w:val="24"/>
          <w:szCs w:val="24"/>
        </w:rPr>
      </w:pPr>
      <w:r w:rsidRPr="00557263">
        <w:rPr>
          <w:rFonts w:ascii="Times New Roman" w:hAnsi="Times New Roman" w:cs="Times New Roman"/>
          <w:sz w:val="24"/>
          <w:szCs w:val="24"/>
        </w:rPr>
        <w:fldChar w:fldCharType="end"/>
      </w:r>
    </w:p>
    <w:sectPr w:rsidR="004E580B" w:rsidRPr="00557263" w:rsidSect="00064EA0">
      <w:pgSz w:w="12240" w:h="15840"/>
      <w:pgMar w:top="1440" w:right="1080" w:bottom="1440" w:left="108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illaray Cantillano Matus" w:date="2023-07-09T04:59:00Z" w:initials="">
    <w:p w14:paraId="4DCE4B9A" w14:textId="77777777" w:rsidR="00440489" w:rsidRDefault="00440489" w:rsidP="000A1AC8">
      <w:r>
        <w:rPr>
          <w:rStyle w:val="Refdecomentario"/>
        </w:rPr>
        <w:annotationRef/>
      </w:r>
      <w:r>
        <w:t>Referenciaaaaa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DCE4B9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54BD14" w16cex:dateUtc="2023-07-09T08: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DCE4B9A" w16cid:durableId="2854BD1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52BB08" w14:textId="77777777" w:rsidR="00CA56B9" w:rsidRDefault="00CA56B9" w:rsidP="00647ECC">
      <w:r>
        <w:separator/>
      </w:r>
    </w:p>
  </w:endnote>
  <w:endnote w:type="continuationSeparator" w:id="0">
    <w:p w14:paraId="64917CC4" w14:textId="77777777" w:rsidR="00CA56B9" w:rsidRDefault="00CA56B9" w:rsidP="00647ECC">
      <w:r>
        <w:continuationSeparator/>
      </w:r>
    </w:p>
  </w:endnote>
  <w:endnote w:type="continuationNotice" w:id="1">
    <w:p w14:paraId="256FD152" w14:textId="77777777" w:rsidR="00CA56B9" w:rsidRDefault="00CA56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Cuerpo en alfa">
    <w:altName w:val="Times New Roman"/>
    <w:panose1 w:val="020B0604020202020204"/>
    <w:charset w:val="00"/>
    <w:family w:val="roman"/>
    <w:pitch w:val="default"/>
  </w:font>
  <w:font w:name="Yu Mincho">
    <w:panose1 w:val="02020400000000000000"/>
    <w:charset w:val="80"/>
    <w:family w:val="roman"/>
    <w:notTrueType/>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087" w:usb1="288F4000" w:usb2="00000016" w:usb3="00000000" w:csb0="00100009" w:csb1="00000000"/>
  </w:font>
  <w:font w:name="Symbol">
    <w:panose1 w:val="05050102010706020507"/>
    <w:charset w:val="02"/>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1759412"/>
      <w:docPartObj>
        <w:docPartGallery w:val="Page Numbers (Bottom of Page)"/>
        <w:docPartUnique/>
      </w:docPartObj>
    </w:sdtPr>
    <w:sdtEndPr>
      <w:rPr>
        <w:noProof/>
      </w:rPr>
    </w:sdtEndPr>
    <w:sdtContent>
      <w:p w14:paraId="00ED0306" w14:textId="4C356DAA" w:rsidR="00591B1C" w:rsidRDefault="00591B1C" w:rsidP="0039189E">
        <w:pPr>
          <w:pStyle w:val="Piedepgina"/>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5B66DB" w14:textId="77777777" w:rsidR="00CA56B9" w:rsidRDefault="00CA56B9" w:rsidP="00647ECC">
      <w:r>
        <w:separator/>
      </w:r>
    </w:p>
  </w:footnote>
  <w:footnote w:type="continuationSeparator" w:id="0">
    <w:p w14:paraId="1365E3E8" w14:textId="77777777" w:rsidR="00CA56B9" w:rsidRDefault="00CA56B9" w:rsidP="00647ECC">
      <w:r>
        <w:continuationSeparator/>
      </w:r>
    </w:p>
  </w:footnote>
  <w:footnote w:type="continuationNotice" w:id="1">
    <w:p w14:paraId="5632AAF6" w14:textId="77777777" w:rsidR="00CA56B9" w:rsidRDefault="00CA56B9"/>
  </w:footnote>
</w:footnotes>
</file>

<file path=word/intelligence2.xml><?xml version="1.0" encoding="utf-8"?>
<int2:intelligence xmlns:int2="http://schemas.microsoft.com/office/intelligence/2020/intelligence" xmlns:oel="http://schemas.microsoft.com/office/2019/extlst">
  <int2:observations>
    <int2:textHash int2:hashCode="QjSfr8uPdk28A0" int2:id="2rNevwli">
      <int2:state int2:value="Rejected" int2:type="AugLoop_Text_Critique"/>
    </int2:textHash>
    <int2:textHash int2:hashCode="4u5QgkEGQzQuc5" int2:id="4fAilcT1">
      <int2:state int2:value="Rejected" int2:type="AugLoop_Text_Critique"/>
    </int2:textHash>
    <int2:textHash int2:hashCode="3Qe91byEiiVD3p" int2:id="5Phmybue">
      <int2:state int2:value="Rejected" int2:type="AugLoop_Text_Critique"/>
    </int2:textHash>
    <int2:textHash int2:hashCode="73ChcEjyg4sQHM" int2:id="6RjtRqFE">
      <int2:state int2:value="Rejected" int2:type="AugLoop_Text_Critique"/>
    </int2:textHash>
    <int2:textHash int2:hashCode="gOAH0oFktuVAIL" int2:id="7ye97XGH">
      <int2:state int2:value="Rejected" int2:type="AugLoop_Text_Critique"/>
    </int2:textHash>
    <int2:textHash int2:hashCode="70nLRnEA7uGYGe" int2:id="9BrpalM7">
      <int2:state int2:value="Rejected" int2:type="AugLoop_Text_Critique"/>
    </int2:textHash>
    <int2:textHash int2:hashCode="vvwj0HUBYcyRm+" int2:id="AArfI9He">
      <int2:state int2:value="Rejected" int2:type="AugLoop_Text_Critique"/>
    </int2:textHash>
    <int2:textHash int2:hashCode="TpB26zfjt3R1VM" int2:id="G7lwqSXh">
      <int2:state int2:value="Rejected" int2:type="AugLoop_Text_Critique"/>
    </int2:textHash>
    <int2:textHash int2:hashCode="ycXcFH7RHxidXV" int2:id="IeWfNRao">
      <int2:state int2:value="Rejected" int2:type="AugLoop_Text_Critique"/>
    </int2:textHash>
    <int2:textHash int2:hashCode="evtilcd80Yhg+7" int2:id="LyotkDNV">
      <int2:state int2:value="Rejected" int2:type="AugLoop_Text_Critique"/>
    </int2:textHash>
    <int2:textHash int2:hashCode="8ytnx+JjQq9C76" int2:id="ORdGSsPT">
      <int2:state int2:value="Rejected" int2:type="AugLoop_Text_Critique"/>
    </int2:textHash>
    <int2:textHash int2:hashCode="u2FXlc/yCjT9Ez" int2:id="Rf1HYVgH">
      <int2:state int2:value="Rejected" int2:type="AugLoop_Text_Critique"/>
    </int2:textHash>
    <int2:textHash int2:hashCode="8q6yMbN0j/M3Hr" int2:id="RvxPvN59">
      <int2:state int2:value="Rejected" int2:type="AugLoop_Text_Critique"/>
    </int2:textHash>
    <int2:textHash int2:hashCode="fdmzOIEiXHrEHc" int2:id="Xt6DSxWu">
      <int2:state int2:value="Rejected" int2:type="AugLoop_Text_Critique"/>
    </int2:textHash>
    <int2:textHash int2:hashCode="FL+JkxwHaVjrGf" int2:id="Xwql7SPw">
      <int2:state int2:value="Rejected" int2:type="AugLoop_Text_Critique"/>
    </int2:textHash>
    <int2:textHash int2:hashCode="fdvjUmn50+iFKS" int2:id="cUjrsuM8">
      <int2:state int2:value="Rejected" int2:type="AugLoop_Text_Critique"/>
    </int2:textHash>
    <int2:textHash int2:hashCode="9zNz7RompQq4RQ" int2:id="jCNWS9e4">
      <int2:state int2:value="Rejected" int2:type="AugLoop_Text_Critique"/>
    </int2:textHash>
    <int2:textHash int2:hashCode="eG0QKxLmrjLBHc" int2:id="jYLtxfLd">
      <int2:state int2:value="Rejected" int2:type="AugLoop_Text_Critique"/>
    </int2:textHash>
    <int2:textHash int2:hashCode="ft0PRTKKQBEcJw" int2:id="lEyyvIEK">
      <int2:state int2:value="Rejected" int2:type="AugLoop_Text_Critique"/>
    </int2:textHash>
    <int2:textHash int2:hashCode="38tD/072Y3plBD" int2:id="oM7JO0aH">
      <int2:state int2:value="Rejected" int2:type="AugLoop_Text_Critique"/>
    </int2:textHash>
    <int2:textHash int2:hashCode="EK1PQt2sygyAfS" int2:id="r6WkmgGe">
      <int2:state int2:value="Rejected" int2:type="AugLoop_Text_Critique"/>
    </int2:textHash>
    <int2:textHash int2:hashCode="ydkw2ldloVs8xR" int2:id="ynj5Q3zg">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0EC584"/>
    <w:multiLevelType w:val="hybridMultilevel"/>
    <w:tmpl w:val="692085DE"/>
    <w:lvl w:ilvl="0" w:tplc="0A9EADFA">
      <w:start w:val="1"/>
      <w:numFmt w:val="decimal"/>
      <w:lvlText w:val="%1."/>
      <w:lvlJc w:val="left"/>
      <w:pPr>
        <w:ind w:left="720" w:hanging="360"/>
      </w:pPr>
    </w:lvl>
    <w:lvl w:ilvl="1" w:tplc="BEEAA916">
      <w:start w:val="1"/>
      <w:numFmt w:val="lowerLetter"/>
      <w:lvlText w:val="%2."/>
      <w:lvlJc w:val="left"/>
      <w:pPr>
        <w:ind w:left="1440" w:hanging="360"/>
      </w:pPr>
    </w:lvl>
    <w:lvl w:ilvl="2" w:tplc="498296B0">
      <w:start w:val="1"/>
      <w:numFmt w:val="lowerRoman"/>
      <w:lvlText w:val="%3."/>
      <w:lvlJc w:val="right"/>
      <w:pPr>
        <w:ind w:left="2160" w:hanging="180"/>
      </w:pPr>
    </w:lvl>
    <w:lvl w:ilvl="3" w:tplc="4A4A65EE">
      <w:start w:val="1"/>
      <w:numFmt w:val="decimal"/>
      <w:lvlText w:val="%4."/>
      <w:lvlJc w:val="left"/>
      <w:pPr>
        <w:ind w:left="2880" w:hanging="360"/>
      </w:pPr>
    </w:lvl>
    <w:lvl w:ilvl="4" w:tplc="B3568DE4">
      <w:start w:val="1"/>
      <w:numFmt w:val="lowerLetter"/>
      <w:lvlText w:val="%5."/>
      <w:lvlJc w:val="left"/>
      <w:pPr>
        <w:ind w:left="3600" w:hanging="360"/>
      </w:pPr>
    </w:lvl>
    <w:lvl w:ilvl="5" w:tplc="D6F897A8">
      <w:start w:val="1"/>
      <w:numFmt w:val="lowerRoman"/>
      <w:lvlText w:val="%6."/>
      <w:lvlJc w:val="right"/>
      <w:pPr>
        <w:ind w:left="4320" w:hanging="180"/>
      </w:pPr>
    </w:lvl>
    <w:lvl w:ilvl="6" w:tplc="B55AB776">
      <w:start w:val="1"/>
      <w:numFmt w:val="decimal"/>
      <w:lvlText w:val="%7."/>
      <w:lvlJc w:val="left"/>
      <w:pPr>
        <w:ind w:left="5040" w:hanging="360"/>
      </w:pPr>
    </w:lvl>
    <w:lvl w:ilvl="7" w:tplc="A52C258C">
      <w:start w:val="1"/>
      <w:numFmt w:val="lowerLetter"/>
      <w:lvlText w:val="%8."/>
      <w:lvlJc w:val="left"/>
      <w:pPr>
        <w:ind w:left="5760" w:hanging="360"/>
      </w:pPr>
    </w:lvl>
    <w:lvl w:ilvl="8" w:tplc="D700938A">
      <w:start w:val="1"/>
      <w:numFmt w:val="lowerRoman"/>
      <w:lvlText w:val="%9."/>
      <w:lvlJc w:val="right"/>
      <w:pPr>
        <w:ind w:left="6480" w:hanging="180"/>
      </w:pPr>
    </w:lvl>
  </w:abstractNum>
  <w:num w:numId="1" w16cid:durableId="63028595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illaray Cantillano Matus">
    <w15:presenceInfo w15:providerId="AD" w15:userId="S::mcantillanom@udd.cl::c002bc97-8fa6-421b-bc8a-86cc396d861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hideSpellingErrors/>
  <w:hideGrammaticalErrors/>
  <w:proofState w:spelling="clean"/>
  <w:linkStyles/>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7ECC"/>
    <w:rsid w:val="000001A3"/>
    <w:rsid w:val="0000110B"/>
    <w:rsid w:val="0000137B"/>
    <w:rsid w:val="00001EE9"/>
    <w:rsid w:val="000039E4"/>
    <w:rsid w:val="00005509"/>
    <w:rsid w:val="0001095E"/>
    <w:rsid w:val="000138B9"/>
    <w:rsid w:val="00022C06"/>
    <w:rsid w:val="00025B68"/>
    <w:rsid w:val="00026E90"/>
    <w:rsid w:val="00030C6D"/>
    <w:rsid w:val="000319EC"/>
    <w:rsid w:val="00033EA2"/>
    <w:rsid w:val="000377DE"/>
    <w:rsid w:val="000402C8"/>
    <w:rsid w:val="00040A2D"/>
    <w:rsid w:val="00043036"/>
    <w:rsid w:val="00043822"/>
    <w:rsid w:val="00044ED5"/>
    <w:rsid w:val="00046433"/>
    <w:rsid w:val="00047808"/>
    <w:rsid w:val="00050DEE"/>
    <w:rsid w:val="00055BDB"/>
    <w:rsid w:val="00056316"/>
    <w:rsid w:val="00056512"/>
    <w:rsid w:val="000568A9"/>
    <w:rsid w:val="00063B3A"/>
    <w:rsid w:val="00063C80"/>
    <w:rsid w:val="00064E96"/>
    <w:rsid w:val="00064EA0"/>
    <w:rsid w:val="0006638A"/>
    <w:rsid w:val="00066B43"/>
    <w:rsid w:val="0006774A"/>
    <w:rsid w:val="00070D29"/>
    <w:rsid w:val="00072CDB"/>
    <w:rsid w:val="000732E2"/>
    <w:rsid w:val="00077A83"/>
    <w:rsid w:val="000829CD"/>
    <w:rsid w:val="0008333E"/>
    <w:rsid w:val="00086B65"/>
    <w:rsid w:val="000874DD"/>
    <w:rsid w:val="00092E9F"/>
    <w:rsid w:val="00094F05"/>
    <w:rsid w:val="00097E02"/>
    <w:rsid w:val="000A13B9"/>
    <w:rsid w:val="000A3241"/>
    <w:rsid w:val="000A40AA"/>
    <w:rsid w:val="000A5060"/>
    <w:rsid w:val="000B0B01"/>
    <w:rsid w:val="000B19EE"/>
    <w:rsid w:val="000C160E"/>
    <w:rsid w:val="000C2BD4"/>
    <w:rsid w:val="000D01EE"/>
    <w:rsid w:val="000D18F9"/>
    <w:rsid w:val="000D1B03"/>
    <w:rsid w:val="000D40D9"/>
    <w:rsid w:val="000E0AB6"/>
    <w:rsid w:val="000E0F65"/>
    <w:rsid w:val="000E2BEC"/>
    <w:rsid w:val="000E2D28"/>
    <w:rsid w:val="000E3A7B"/>
    <w:rsid w:val="000E4816"/>
    <w:rsid w:val="000E4FBB"/>
    <w:rsid w:val="000E51F8"/>
    <w:rsid w:val="000E5388"/>
    <w:rsid w:val="000E6763"/>
    <w:rsid w:val="000F1F7C"/>
    <w:rsid w:val="000F3FEF"/>
    <w:rsid w:val="000F40BD"/>
    <w:rsid w:val="00101AC1"/>
    <w:rsid w:val="0010211A"/>
    <w:rsid w:val="001021E1"/>
    <w:rsid w:val="00105048"/>
    <w:rsid w:val="0010588E"/>
    <w:rsid w:val="00107E01"/>
    <w:rsid w:val="0011164E"/>
    <w:rsid w:val="00112083"/>
    <w:rsid w:val="00115461"/>
    <w:rsid w:val="00115ECF"/>
    <w:rsid w:val="001227E0"/>
    <w:rsid w:val="00123AF9"/>
    <w:rsid w:val="00124449"/>
    <w:rsid w:val="00126091"/>
    <w:rsid w:val="00126F1D"/>
    <w:rsid w:val="0013061E"/>
    <w:rsid w:val="00130654"/>
    <w:rsid w:val="001306DD"/>
    <w:rsid w:val="00132B2D"/>
    <w:rsid w:val="00136BEF"/>
    <w:rsid w:val="00141CA9"/>
    <w:rsid w:val="001452F2"/>
    <w:rsid w:val="00146F13"/>
    <w:rsid w:val="00154686"/>
    <w:rsid w:val="00154A37"/>
    <w:rsid w:val="00154B75"/>
    <w:rsid w:val="00156C88"/>
    <w:rsid w:val="001625D2"/>
    <w:rsid w:val="00162681"/>
    <w:rsid w:val="00164461"/>
    <w:rsid w:val="00164E09"/>
    <w:rsid w:val="00166F5F"/>
    <w:rsid w:val="0017603F"/>
    <w:rsid w:val="00176569"/>
    <w:rsid w:val="001765D4"/>
    <w:rsid w:val="00176E63"/>
    <w:rsid w:val="00185B44"/>
    <w:rsid w:val="001873DD"/>
    <w:rsid w:val="00187AB9"/>
    <w:rsid w:val="0019075C"/>
    <w:rsid w:val="001923DC"/>
    <w:rsid w:val="0019512C"/>
    <w:rsid w:val="001A52E9"/>
    <w:rsid w:val="001A62B3"/>
    <w:rsid w:val="001A6A17"/>
    <w:rsid w:val="001A7CCE"/>
    <w:rsid w:val="001B0548"/>
    <w:rsid w:val="001B15E2"/>
    <w:rsid w:val="001B165B"/>
    <w:rsid w:val="001B1A66"/>
    <w:rsid w:val="001C119D"/>
    <w:rsid w:val="001C1242"/>
    <w:rsid w:val="001C45B4"/>
    <w:rsid w:val="001C6C79"/>
    <w:rsid w:val="001D286B"/>
    <w:rsid w:val="001D4734"/>
    <w:rsid w:val="001D5296"/>
    <w:rsid w:val="001D5504"/>
    <w:rsid w:val="001D5B18"/>
    <w:rsid w:val="001D619C"/>
    <w:rsid w:val="001E34CA"/>
    <w:rsid w:val="001E5E25"/>
    <w:rsid w:val="001E5EDA"/>
    <w:rsid w:val="001F068C"/>
    <w:rsid w:val="001F2A17"/>
    <w:rsid w:val="001F2AF8"/>
    <w:rsid w:val="001F6F7C"/>
    <w:rsid w:val="00200162"/>
    <w:rsid w:val="00200880"/>
    <w:rsid w:val="002036EE"/>
    <w:rsid w:val="00204A75"/>
    <w:rsid w:val="00205255"/>
    <w:rsid w:val="002061B8"/>
    <w:rsid w:val="00206339"/>
    <w:rsid w:val="002066DB"/>
    <w:rsid w:val="002145FB"/>
    <w:rsid w:val="00214D0A"/>
    <w:rsid w:val="00217EAB"/>
    <w:rsid w:val="00225279"/>
    <w:rsid w:val="00226954"/>
    <w:rsid w:val="00227058"/>
    <w:rsid w:val="0023052A"/>
    <w:rsid w:val="002327D2"/>
    <w:rsid w:val="00233B8A"/>
    <w:rsid w:val="0023561C"/>
    <w:rsid w:val="002356F7"/>
    <w:rsid w:val="00235E60"/>
    <w:rsid w:val="00236159"/>
    <w:rsid w:val="00236D26"/>
    <w:rsid w:val="002419D9"/>
    <w:rsid w:val="00241E8B"/>
    <w:rsid w:val="002436E6"/>
    <w:rsid w:val="0024478C"/>
    <w:rsid w:val="00244809"/>
    <w:rsid w:val="00245FBD"/>
    <w:rsid w:val="00250975"/>
    <w:rsid w:val="00250A4E"/>
    <w:rsid w:val="00251003"/>
    <w:rsid w:val="0025137E"/>
    <w:rsid w:val="00251B9A"/>
    <w:rsid w:val="00255E10"/>
    <w:rsid w:val="00256433"/>
    <w:rsid w:val="00257B3D"/>
    <w:rsid w:val="002626EE"/>
    <w:rsid w:val="00262EE0"/>
    <w:rsid w:val="00263EF4"/>
    <w:rsid w:val="00265234"/>
    <w:rsid w:val="00267B35"/>
    <w:rsid w:val="00272AAF"/>
    <w:rsid w:val="002731C4"/>
    <w:rsid w:val="0027337F"/>
    <w:rsid w:val="00275E20"/>
    <w:rsid w:val="002778EE"/>
    <w:rsid w:val="002808E5"/>
    <w:rsid w:val="00291011"/>
    <w:rsid w:val="0029161E"/>
    <w:rsid w:val="00291D62"/>
    <w:rsid w:val="00294348"/>
    <w:rsid w:val="002947AD"/>
    <w:rsid w:val="002958EE"/>
    <w:rsid w:val="00296DF0"/>
    <w:rsid w:val="00296EC2"/>
    <w:rsid w:val="002A05AD"/>
    <w:rsid w:val="002A1209"/>
    <w:rsid w:val="002A1B11"/>
    <w:rsid w:val="002A5002"/>
    <w:rsid w:val="002A6DE5"/>
    <w:rsid w:val="002B2DF1"/>
    <w:rsid w:val="002B4221"/>
    <w:rsid w:val="002B4AC3"/>
    <w:rsid w:val="002B4CA3"/>
    <w:rsid w:val="002C147E"/>
    <w:rsid w:val="002C3697"/>
    <w:rsid w:val="002C3AA8"/>
    <w:rsid w:val="002C44FE"/>
    <w:rsid w:val="002C5324"/>
    <w:rsid w:val="002C67CE"/>
    <w:rsid w:val="002D1B7E"/>
    <w:rsid w:val="002D2B8F"/>
    <w:rsid w:val="002D2F9E"/>
    <w:rsid w:val="002D446E"/>
    <w:rsid w:val="002D68CB"/>
    <w:rsid w:val="002D68FF"/>
    <w:rsid w:val="002E015E"/>
    <w:rsid w:val="002E26EA"/>
    <w:rsid w:val="002E5705"/>
    <w:rsid w:val="002F0BAB"/>
    <w:rsid w:val="002F4765"/>
    <w:rsid w:val="002F5A48"/>
    <w:rsid w:val="002F7383"/>
    <w:rsid w:val="002F7844"/>
    <w:rsid w:val="002F7B1C"/>
    <w:rsid w:val="0030360F"/>
    <w:rsid w:val="00304AE6"/>
    <w:rsid w:val="00304B91"/>
    <w:rsid w:val="00304D35"/>
    <w:rsid w:val="00305A97"/>
    <w:rsid w:val="00311A85"/>
    <w:rsid w:val="00313BDC"/>
    <w:rsid w:val="003179FA"/>
    <w:rsid w:val="00320A82"/>
    <w:rsid w:val="00321F0B"/>
    <w:rsid w:val="00322C50"/>
    <w:rsid w:val="0032453D"/>
    <w:rsid w:val="00324BD7"/>
    <w:rsid w:val="003270CF"/>
    <w:rsid w:val="00331583"/>
    <w:rsid w:val="00335F1F"/>
    <w:rsid w:val="00337B6A"/>
    <w:rsid w:val="003432FE"/>
    <w:rsid w:val="00343CFF"/>
    <w:rsid w:val="00345ED5"/>
    <w:rsid w:val="00346632"/>
    <w:rsid w:val="0034710A"/>
    <w:rsid w:val="0035460C"/>
    <w:rsid w:val="00355B7B"/>
    <w:rsid w:val="00362760"/>
    <w:rsid w:val="00362ACE"/>
    <w:rsid w:val="00364983"/>
    <w:rsid w:val="00365D9E"/>
    <w:rsid w:val="00367A1D"/>
    <w:rsid w:val="00371E95"/>
    <w:rsid w:val="00374B92"/>
    <w:rsid w:val="0037743C"/>
    <w:rsid w:val="003802AF"/>
    <w:rsid w:val="00380A8B"/>
    <w:rsid w:val="00384710"/>
    <w:rsid w:val="003913A3"/>
    <w:rsid w:val="0039189E"/>
    <w:rsid w:val="00391B41"/>
    <w:rsid w:val="00391B9E"/>
    <w:rsid w:val="00393A50"/>
    <w:rsid w:val="00393BDC"/>
    <w:rsid w:val="00396130"/>
    <w:rsid w:val="003A0D09"/>
    <w:rsid w:val="003A214B"/>
    <w:rsid w:val="003A283E"/>
    <w:rsid w:val="003A293E"/>
    <w:rsid w:val="003A4EE2"/>
    <w:rsid w:val="003A608C"/>
    <w:rsid w:val="003A65F2"/>
    <w:rsid w:val="003B129A"/>
    <w:rsid w:val="003B1706"/>
    <w:rsid w:val="003B1815"/>
    <w:rsid w:val="003B674E"/>
    <w:rsid w:val="003B7EE2"/>
    <w:rsid w:val="003C0205"/>
    <w:rsid w:val="003C31AD"/>
    <w:rsid w:val="003C6671"/>
    <w:rsid w:val="003C74D8"/>
    <w:rsid w:val="003C785A"/>
    <w:rsid w:val="003C7EC4"/>
    <w:rsid w:val="003D0D70"/>
    <w:rsid w:val="003D1A3E"/>
    <w:rsid w:val="003D59B7"/>
    <w:rsid w:val="003E0249"/>
    <w:rsid w:val="003E04C3"/>
    <w:rsid w:val="003E17C3"/>
    <w:rsid w:val="003E5668"/>
    <w:rsid w:val="003E5A6E"/>
    <w:rsid w:val="003E6994"/>
    <w:rsid w:val="003E7AA0"/>
    <w:rsid w:val="003F0869"/>
    <w:rsid w:val="003F1E0D"/>
    <w:rsid w:val="003F36A2"/>
    <w:rsid w:val="003F446A"/>
    <w:rsid w:val="003F5102"/>
    <w:rsid w:val="003F781B"/>
    <w:rsid w:val="0040160F"/>
    <w:rsid w:val="00401C76"/>
    <w:rsid w:val="0040238A"/>
    <w:rsid w:val="004027FF"/>
    <w:rsid w:val="00402ECC"/>
    <w:rsid w:val="00405DF6"/>
    <w:rsid w:val="00406802"/>
    <w:rsid w:val="00407F45"/>
    <w:rsid w:val="004103D0"/>
    <w:rsid w:val="00412B0D"/>
    <w:rsid w:val="00413F39"/>
    <w:rsid w:val="004150F9"/>
    <w:rsid w:val="0042009C"/>
    <w:rsid w:val="0042048D"/>
    <w:rsid w:val="0042122E"/>
    <w:rsid w:val="004222CE"/>
    <w:rsid w:val="004222E4"/>
    <w:rsid w:val="00422FF0"/>
    <w:rsid w:val="004247C9"/>
    <w:rsid w:val="004262CC"/>
    <w:rsid w:val="00427B8D"/>
    <w:rsid w:val="00430889"/>
    <w:rsid w:val="00431932"/>
    <w:rsid w:val="00433BFC"/>
    <w:rsid w:val="00440489"/>
    <w:rsid w:val="004425B9"/>
    <w:rsid w:val="004438B5"/>
    <w:rsid w:val="00444DCB"/>
    <w:rsid w:val="0044565A"/>
    <w:rsid w:val="00445DEF"/>
    <w:rsid w:val="004503E9"/>
    <w:rsid w:val="00453A89"/>
    <w:rsid w:val="00453F4F"/>
    <w:rsid w:val="004556A6"/>
    <w:rsid w:val="00455961"/>
    <w:rsid w:val="004565EC"/>
    <w:rsid w:val="00457D1F"/>
    <w:rsid w:val="00457DA9"/>
    <w:rsid w:val="00461D39"/>
    <w:rsid w:val="004630AC"/>
    <w:rsid w:val="00465A93"/>
    <w:rsid w:val="0046624E"/>
    <w:rsid w:val="004678F4"/>
    <w:rsid w:val="0047092C"/>
    <w:rsid w:val="004766C8"/>
    <w:rsid w:val="0048161B"/>
    <w:rsid w:val="004834FB"/>
    <w:rsid w:val="00484398"/>
    <w:rsid w:val="00486503"/>
    <w:rsid w:val="0049171B"/>
    <w:rsid w:val="00492482"/>
    <w:rsid w:val="004929B4"/>
    <w:rsid w:val="00493A08"/>
    <w:rsid w:val="00495D97"/>
    <w:rsid w:val="004A22F9"/>
    <w:rsid w:val="004A3A43"/>
    <w:rsid w:val="004A3E43"/>
    <w:rsid w:val="004A4139"/>
    <w:rsid w:val="004A7780"/>
    <w:rsid w:val="004B25D7"/>
    <w:rsid w:val="004B59A5"/>
    <w:rsid w:val="004B669F"/>
    <w:rsid w:val="004C29CD"/>
    <w:rsid w:val="004C616E"/>
    <w:rsid w:val="004D0CB0"/>
    <w:rsid w:val="004D1F9D"/>
    <w:rsid w:val="004D2E89"/>
    <w:rsid w:val="004D58E9"/>
    <w:rsid w:val="004D58F1"/>
    <w:rsid w:val="004E1056"/>
    <w:rsid w:val="004E2693"/>
    <w:rsid w:val="004E580B"/>
    <w:rsid w:val="004F3B17"/>
    <w:rsid w:val="004F55F7"/>
    <w:rsid w:val="004F6069"/>
    <w:rsid w:val="004F6592"/>
    <w:rsid w:val="004FCF22"/>
    <w:rsid w:val="00500A60"/>
    <w:rsid w:val="00500C4F"/>
    <w:rsid w:val="005017C9"/>
    <w:rsid w:val="00503A50"/>
    <w:rsid w:val="00503BD1"/>
    <w:rsid w:val="00504052"/>
    <w:rsid w:val="00504A89"/>
    <w:rsid w:val="005133EB"/>
    <w:rsid w:val="00517406"/>
    <w:rsid w:val="00521436"/>
    <w:rsid w:val="005238B1"/>
    <w:rsid w:val="00524CA3"/>
    <w:rsid w:val="00525131"/>
    <w:rsid w:val="00525220"/>
    <w:rsid w:val="00525E36"/>
    <w:rsid w:val="005279E9"/>
    <w:rsid w:val="00530AB2"/>
    <w:rsid w:val="005336EF"/>
    <w:rsid w:val="00533981"/>
    <w:rsid w:val="00534890"/>
    <w:rsid w:val="00537F68"/>
    <w:rsid w:val="005416ED"/>
    <w:rsid w:val="0054351D"/>
    <w:rsid w:val="00545435"/>
    <w:rsid w:val="00546640"/>
    <w:rsid w:val="00546B84"/>
    <w:rsid w:val="00551ABF"/>
    <w:rsid w:val="00553F32"/>
    <w:rsid w:val="00554930"/>
    <w:rsid w:val="00557263"/>
    <w:rsid w:val="00562A2F"/>
    <w:rsid w:val="005649EA"/>
    <w:rsid w:val="005705F0"/>
    <w:rsid w:val="00575706"/>
    <w:rsid w:val="00576360"/>
    <w:rsid w:val="00576C8E"/>
    <w:rsid w:val="00576EF7"/>
    <w:rsid w:val="0057789D"/>
    <w:rsid w:val="005814F6"/>
    <w:rsid w:val="005901DC"/>
    <w:rsid w:val="00591B1C"/>
    <w:rsid w:val="0059386A"/>
    <w:rsid w:val="00597616"/>
    <w:rsid w:val="00597E59"/>
    <w:rsid w:val="00597F67"/>
    <w:rsid w:val="005A19B0"/>
    <w:rsid w:val="005A2522"/>
    <w:rsid w:val="005A374C"/>
    <w:rsid w:val="005A50A4"/>
    <w:rsid w:val="005B24DB"/>
    <w:rsid w:val="005B5D92"/>
    <w:rsid w:val="005C1A18"/>
    <w:rsid w:val="005D0124"/>
    <w:rsid w:val="005D09FB"/>
    <w:rsid w:val="005D737E"/>
    <w:rsid w:val="005D77E7"/>
    <w:rsid w:val="005D7B52"/>
    <w:rsid w:val="005E3A1F"/>
    <w:rsid w:val="005E43A6"/>
    <w:rsid w:val="005E6691"/>
    <w:rsid w:val="005F4083"/>
    <w:rsid w:val="005F5AC4"/>
    <w:rsid w:val="005F6A67"/>
    <w:rsid w:val="005F749A"/>
    <w:rsid w:val="00603E9B"/>
    <w:rsid w:val="00604F12"/>
    <w:rsid w:val="00607EFA"/>
    <w:rsid w:val="00614ECD"/>
    <w:rsid w:val="00617EC6"/>
    <w:rsid w:val="0062080A"/>
    <w:rsid w:val="00623771"/>
    <w:rsid w:val="006263C4"/>
    <w:rsid w:val="00627B57"/>
    <w:rsid w:val="00637633"/>
    <w:rsid w:val="00637F18"/>
    <w:rsid w:val="00640E76"/>
    <w:rsid w:val="0064125B"/>
    <w:rsid w:val="006442AE"/>
    <w:rsid w:val="006442D9"/>
    <w:rsid w:val="00647ECC"/>
    <w:rsid w:val="006530E7"/>
    <w:rsid w:val="0065367C"/>
    <w:rsid w:val="0065443E"/>
    <w:rsid w:val="00654922"/>
    <w:rsid w:val="00656BB0"/>
    <w:rsid w:val="00660394"/>
    <w:rsid w:val="006616C2"/>
    <w:rsid w:val="00663452"/>
    <w:rsid w:val="00665C83"/>
    <w:rsid w:val="00665CCC"/>
    <w:rsid w:val="00670213"/>
    <w:rsid w:val="00673CEF"/>
    <w:rsid w:val="006768E3"/>
    <w:rsid w:val="0067693E"/>
    <w:rsid w:val="0068125D"/>
    <w:rsid w:val="00683546"/>
    <w:rsid w:val="006866DB"/>
    <w:rsid w:val="00687639"/>
    <w:rsid w:val="00687CFF"/>
    <w:rsid w:val="0069007F"/>
    <w:rsid w:val="00697B87"/>
    <w:rsid w:val="006A1762"/>
    <w:rsid w:val="006A2C43"/>
    <w:rsid w:val="006B085B"/>
    <w:rsid w:val="006B205F"/>
    <w:rsid w:val="006B32F5"/>
    <w:rsid w:val="006B6058"/>
    <w:rsid w:val="006B7EDC"/>
    <w:rsid w:val="006C1767"/>
    <w:rsid w:val="006C20AD"/>
    <w:rsid w:val="006C44A5"/>
    <w:rsid w:val="006C4575"/>
    <w:rsid w:val="006C4F7B"/>
    <w:rsid w:val="006C61D7"/>
    <w:rsid w:val="006C66B1"/>
    <w:rsid w:val="006C68F3"/>
    <w:rsid w:val="006D017A"/>
    <w:rsid w:val="006D0B91"/>
    <w:rsid w:val="006D139A"/>
    <w:rsid w:val="006D1545"/>
    <w:rsid w:val="006D2429"/>
    <w:rsid w:val="006E0E3F"/>
    <w:rsid w:val="006E18AC"/>
    <w:rsid w:val="006E2187"/>
    <w:rsid w:val="006E6E66"/>
    <w:rsid w:val="006F09EA"/>
    <w:rsid w:val="006F0B41"/>
    <w:rsid w:val="006F1C3F"/>
    <w:rsid w:val="006F34D7"/>
    <w:rsid w:val="006F512D"/>
    <w:rsid w:val="006F6AB0"/>
    <w:rsid w:val="006F70FD"/>
    <w:rsid w:val="006F756A"/>
    <w:rsid w:val="00702104"/>
    <w:rsid w:val="007029C4"/>
    <w:rsid w:val="007029F0"/>
    <w:rsid w:val="00702DB2"/>
    <w:rsid w:val="00705B34"/>
    <w:rsid w:val="00706430"/>
    <w:rsid w:val="007064DB"/>
    <w:rsid w:val="007157EF"/>
    <w:rsid w:val="00716A31"/>
    <w:rsid w:val="00717E2A"/>
    <w:rsid w:val="00720848"/>
    <w:rsid w:val="007212C4"/>
    <w:rsid w:val="007225E9"/>
    <w:rsid w:val="00724C8C"/>
    <w:rsid w:val="00731913"/>
    <w:rsid w:val="007321A4"/>
    <w:rsid w:val="007324F4"/>
    <w:rsid w:val="00732A0A"/>
    <w:rsid w:val="00733DDF"/>
    <w:rsid w:val="007342E1"/>
    <w:rsid w:val="0073458F"/>
    <w:rsid w:val="00735EE7"/>
    <w:rsid w:val="0073A7A8"/>
    <w:rsid w:val="007405B2"/>
    <w:rsid w:val="00741796"/>
    <w:rsid w:val="007433DA"/>
    <w:rsid w:val="00750219"/>
    <w:rsid w:val="007512AC"/>
    <w:rsid w:val="007579A1"/>
    <w:rsid w:val="00760513"/>
    <w:rsid w:val="007607A5"/>
    <w:rsid w:val="00770CA4"/>
    <w:rsid w:val="007732CC"/>
    <w:rsid w:val="007739C2"/>
    <w:rsid w:val="00776096"/>
    <w:rsid w:val="00776B8E"/>
    <w:rsid w:val="007816C0"/>
    <w:rsid w:val="00783148"/>
    <w:rsid w:val="00786511"/>
    <w:rsid w:val="007865B1"/>
    <w:rsid w:val="007873F2"/>
    <w:rsid w:val="0079043E"/>
    <w:rsid w:val="007906AC"/>
    <w:rsid w:val="00790F81"/>
    <w:rsid w:val="00791006"/>
    <w:rsid w:val="007977AD"/>
    <w:rsid w:val="00797F53"/>
    <w:rsid w:val="00797F95"/>
    <w:rsid w:val="007A0508"/>
    <w:rsid w:val="007A057C"/>
    <w:rsid w:val="007A2A2F"/>
    <w:rsid w:val="007A2A52"/>
    <w:rsid w:val="007A3EE7"/>
    <w:rsid w:val="007A54C8"/>
    <w:rsid w:val="007A56A4"/>
    <w:rsid w:val="007A682A"/>
    <w:rsid w:val="007A6EE0"/>
    <w:rsid w:val="007A6F0B"/>
    <w:rsid w:val="007B1ABE"/>
    <w:rsid w:val="007B3BB2"/>
    <w:rsid w:val="007B7A0F"/>
    <w:rsid w:val="007B7CF6"/>
    <w:rsid w:val="007C24BA"/>
    <w:rsid w:val="007C2C5B"/>
    <w:rsid w:val="007C3C50"/>
    <w:rsid w:val="007C656E"/>
    <w:rsid w:val="007D104C"/>
    <w:rsid w:val="007D39B2"/>
    <w:rsid w:val="007D51C8"/>
    <w:rsid w:val="007D6314"/>
    <w:rsid w:val="007E021D"/>
    <w:rsid w:val="007E1464"/>
    <w:rsid w:val="007E15D0"/>
    <w:rsid w:val="007E1F08"/>
    <w:rsid w:val="007E3613"/>
    <w:rsid w:val="007E50A8"/>
    <w:rsid w:val="007E616B"/>
    <w:rsid w:val="007F019B"/>
    <w:rsid w:val="007F2A8E"/>
    <w:rsid w:val="007F2D93"/>
    <w:rsid w:val="007F56C1"/>
    <w:rsid w:val="007F6824"/>
    <w:rsid w:val="007F699E"/>
    <w:rsid w:val="007F7A95"/>
    <w:rsid w:val="008035E3"/>
    <w:rsid w:val="00803D1B"/>
    <w:rsid w:val="0080481F"/>
    <w:rsid w:val="00807709"/>
    <w:rsid w:val="008113E0"/>
    <w:rsid w:val="00811F3A"/>
    <w:rsid w:val="00815F01"/>
    <w:rsid w:val="00821590"/>
    <w:rsid w:val="00826880"/>
    <w:rsid w:val="00827124"/>
    <w:rsid w:val="00834450"/>
    <w:rsid w:val="00835DAA"/>
    <w:rsid w:val="008361AA"/>
    <w:rsid w:val="008376BC"/>
    <w:rsid w:val="0084004C"/>
    <w:rsid w:val="00841A5A"/>
    <w:rsid w:val="008446E2"/>
    <w:rsid w:val="0084495C"/>
    <w:rsid w:val="00846616"/>
    <w:rsid w:val="0084731E"/>
    <w:rsid w:val="00853F0A"/>
    <w:rsid w:val="008557AD"/>
    <w:rsid w:val="00860C38"/>
    <w:rsid w:val="008634BB"/>
    <w:rsid w:val="008637EC"/>
    <w:rsid w:val="008652E4"/>
    <w:rsid w:val="00870B99"/>
    <w:rsid w:val="00872371"/>
    <w:rsid w:val="00874850"/>
    <w:rsid w:val="008749F0"/>
    <w:rsid w:val="00875EC2"/>
    <w:rsid w:val="008762C3"/>
    <w:rsid w:val="0087683A"/>
    <w:rsid w:val="008777B9"/>
    <w:rsid w:val="00877BF5"/>
    <w:rsid w:val="008815A0"/>
    <w:rsid w:val="00881A3C"/>
    <w:rsid w:val="008848E8"/>
    <w:rsid w:val="00886040"/>
    <w:rsid w:val="00886CE0"/>
    <w:rsid w:val="00887E3A"/>
    <w:rsid w:val="0089365F"/>
    <w:rsid w:val="00897DF4"/>
    <w:rsid w:val="008A29B8"/>
    <w:rsid w:val="008A53D6"/>
    <w:rsid w:val="008A7137"/>
    <w:rsid w:val="008B1363"/>
    <w:rsid w:val="008B1929"/>
    <w:rsid w:val="008B35BC"/>
    <w:rsid w:val="008B4492"/>
    <w:rsid w:val="008B6C61"/>
    <w:rsid w:val="008C2E02"/>
    <w:rsid w:val="008C484D"/>
    <w:rsid w:val="008C66BA"/>
    <w:rsid w:val="008D0428"/>
    <w:rsid w:val="008D12D5"/>
    <w:rsid w:val="008D641D"/>
    <w:rsid w:val="008D6AA9"/>
    <w:rsid w:val="008D784A"/>
    <w:rsid w:val="008E0911"/>
    <w:rsid w:val="008E1E35"/>
    <w:rsid w:val="008E6723"/>
    <w:rsid w:val="008E75DD"/>
    <w:rsid w:val="008F2C7D"/>
    <w:rsid w:val="008F4022"/>
    <w:rsid w:val="008F6948"/>
    <w:rsid w:val="008F6EBE"/>
    <w:rsid w:val="008F7B7B"/>
    <w:rsid w:val="00905285"/>
    <w:rsid w:val="009061AF"/>
    <w:rsid w:val="009063F0"/>
    <w:rsid w:val="009076FF"/>
    <w:rsid w:val="009111CF"/>
    <w:rsid w:val="00913501"/>
    <w:rsid w:val="00916CB5"/>
    <w:rsid w:val="009174F0"/>
    <w:rsid w:val="0092207B"/>
    <w:rsid w:val="009220D6"/>
    <w:rsid w:val="0092408B"/>
    <w:rsid w:val="00926A31"/>
    <w:rsid w:val="00930D14"/>
    <w:rsid w:val="00931AAB"/>
    <w:rsid w:val="00933087"/>
    <w:rsid w:val="00935194"/>
    <w:rsid w:val="0093789A"/>
    <w:rsid w:val="0094028A"/>
    <w:rsid w:val="00941B93"/>
    <w:rsid w:val="00941C8A"/>
    <w:rsid w:val="00942F77"/>
    <w:rsid w:val="00943FA0"/>
    <w:rsid w:val="0094418F"/>
    <w:rsid w:val="00945660"/>
    <w:rsid w:val="00951A67"/>
    <w:rsid w:val="0095303F"/>
    <w:rsid w:val="00955A6B"/>
    <w:rsid w:val="00956077"/>
    <w:rsid w:val="0095644B"/>
    <w:rsid w:val="0095730E"/>
    <w:rsid w:val="009573FC"/>
    <w:rsid w:val="00960922"/>
    <w:rsid w:val="00960D89"/>
    <w:rsid w:val="00964156"/>
    <w:rsid w:val="00965CE8"/>
    <w:rsid w:val="00966131"/>
    <w:rsid w:val="00971A20"/>
    <w:rsid w:val="00971C3A"/>
    <w:rsid w:val="00975F13"/>
    <w:rsid w:val="00983760"/>
    <w:rsid w:val="009853F0"/>
    <w:rsid w:val="00987C8B"/>
    <w:rsid w:val="00987D29"/>
    <w:rsid w:val="00990FBA"/>
    <w:rsid w:val="00992DBA"/>
    <w:rsid w:val="00993B24"/>
    <w:rsid w:val="0099400B"/>
    <w:rsid w:val="00996BC4"/>
    <w:rsid w:val="00996CFD"/>
    <w:rsid w:val="009A09BC"/>
    <w:rsid w:val="009B0FB6"/>
    <w:rsid w:val="009B1B4C"/>
    <w:rsid w:val="009B534E"/>
    <w:rsid w:val="009C0960"/>
    <w:rsid w:val="009C1C74"/>
    <w:rsid w:val="009C22E3"/>
    <w:rsid w:val="009C30DF"/>
    <w:rsid w:val="009C41C5"/>
    <w:rsid w:val="009C5C2E"/>
    <w:rsid w:val="009D0D6D"/>
    <w:rsid w:val="009D1139"/>
    <w:rsid w:val="009D5291"/>
    <w:rsid w:val="009E0013"/>
    <w:rsid w:val="009E2CCA"/>
    <w:rsid w:val="009E3B2F"/>
    <w:rsid w:val="009E43F3"/>
    <w:rsid w:val="009F38D6"/>
    <w:rsid w:val="009F567E"/>
    <w:rsid w:val="009F5B70"/>
    <w:rsid w:val="009F6DBE"/>
    <w:rsid w:val="009F74A1"/>
    <w:rsid w:val="009F79EC"/>
    <w:rsid w:val="00A02E6A"/>
    <w:rsid w:val="00A11875"/>
    <w:rsid w:val="00A12B57"/>
    <w:rsid w:val="00A141BF"/>
    <w:rsid w:val="00A14E16"/>
    <w:rsid w:val="00A17DED"/>
    <w:rsid w:val="00A20BC2"/>
    <w:rsid w:val="00A21776"/>
    <w:rsid w:val="00A34169"/>
    <w:rsid w:val="00A34DDA"/>
    <w:rsid w:val="00A350D7"/>
    <w:rsid w:val="00A4167F"/>
    <w:rsid w:val="00A41F91"/>
    <w:rsid w:val="00A43E60"/>
    <w:rsid w:val="00A53DF0"/>
    <w:rsid w:val="00A6105F"/>
    <w:rsid w:val="00A6192E"/>
    <w:rsid w:val="00A64CC7"/>
    <w:rsid w:val="00A676E2"/>
    <w:rsid w:val="00A71930"/>
    <w:rsid w:val="00A71A9D"/>
    <w:rsid w:val="00A72DBD"/>
    <w:rsid w:val="00A732A5"/>
    <w:rsid w:val="00A760D1"/>
    <w:rsid w:val="00A8257C"/>
    <w:rsid w:val="00A8390E"/>
    <w:rsid w:val="00A85440"/>
    <w:rsid w:val="00A858D3"/>
    <w:rsid w:val="00A85D62"/>
    <w:rsid w:val="00A86281"/>
    <w:rsid w:val="00A91D1A"/>
    <w:rsid w:val="00A94EE8"/>
    <w:rsid w:val="00A97203"/>
    <w:rsid w:val="00A97AE2"/>
    <w:rsid w:val="00AA130A"/>
    <w:rsid w:val="00AA1760"/>
    <w:rsid w:val="00AA2C52"/>
    <w:rsid w:val="00AA2E69"/>
    <w:rsid w:val="00AA3693"/>
    <w:rsid w:val="00AA54E7"/>
    <w:rsid w:val="00AA634B"/>
    <w:rsid w:val="00AA7386"/>
    <w:rsid w:val="00AA7C56"/>
    <w:rsid w:val="00AB157B"/>
    <w:rsid w:val="00AB2BA8"/>
    <w:rsid w:val="00AB35CA"/>
    <w:rsid w:val="00AB4514"/>
    <w:rsid w:val="00AB7945"/>
    <w:rsid w:val="00AC4A57"/>
    <w:rsid w:val="00AC5346"/>
    <w:rsid w:val="00AC6954"/>
    <w:rsid w:val="00AC6A1E"/>
    <w:rsid w:val="00AC7C3F"/>
    <w:rsid w:val="00AC7FE4"/>
    <w:rsid w:val="00AD1934"/>
    <w:rsid w:val="00AD1ED9"/>
    <w:rsid w:val="00AD229D"/>
    <w:rsid w:val="00AD3CD8"/>
    <w:rsid w:val="00AD452C"/>
    <w:rsid w:val="00AD4897"/>
    <w:rsid w:val="00AD60AC"/>
    <w:rsid w:val="00AD6A02"/>
    <w:rsid w:val="00AE0A5F"/>
    <w:rsid w:val="00AE1FFB"/>
    <w:rsid w:val="00AE27B5"/>
    <w:rsid w:val="00AE3F43"/>
    <w:rsid w:val="00AE4E78"/>
    <w:rsid w:val="00AE527E"/>
    <w:rsid w:val="00AE631E"/>
    <w:rsid w:val="00AF52A2"/>
    <w:rsid w:val="00AF58C3"/>
    <w:rsid w:val="00AF78F6"/>
    <w:rsid w:val="00B0055F"/>
    <w:rsid w:val="00B02B28"/>
    <w:rsid w:val="00B03065"/>
    <w:rsid w:val="00B05108"/>
    <w:rsid w:val="00B07B29"/>
    <w:rsid w:val="00B111EC"/>
    <w:rsid w:val="00B22768"/>
    <w:rsid w:val="00B22A8B"/>
    <w:rsid w:val="00B33668"/>
    <w:rsid w:val="00B3606A"/>
    <w:rsid w:val="00B362BA"/>
    <w:rsid w:val="00B3E2D8"/>
    <w:rsid w:val="00B43157"/>
    <w:rsid w:val="00B4356B"/>
    <w:rsid w:val="00B45E8E"/>
    <w:rsid w:val="00B4774D"/>
    <w:rsid w:val="00B47968"/>
    <w:rsid w:val="00B5277B"/>
    <w:rsid w:val="00B54071"/>
    <w:rsid w:val="00B56F43"/>
    <w:rsid w:val="00B57B50"/>
    <w:rsid w:val="00B67D09"/>
    <w:rsid w:val="00B70058"/>
    <w:rsid w:val="00B71F3F"/>
    <w:rsid w:val="00B73574"/>
    <w:rsid w:val="00B82529"/>
    <w:rsid w:val="00B8555E"/>
    <w:rsid w:val="00B874F8"/>
    <w:rsid w:val="00B87BB5"/>
    <w:rsid w:val="00B90FE3"/>
    <w:rsid w:val="00B9128C"/>
    <w:rsid w:val="00B93961"/>
    <w:rsid w:val="00B942CC"/>
    <w:rsid w:val="00B95ABF"/>
    <w:rsid w:val="00B97DBB"/>
    <w:rsid w:val="00BA0477"/>
    <w:rsid w:val="00BA0507"/>
    <w:rsid w:val="00BA0AA9"/>
    <w:rsid w:val="00BA3E69"/>
    <w:rsid w:val="00BB26CE"/>
    <w:rsid w:val="00BB2CC9"/>
    <w:rsid w:val="00BC2B81"/>
    <w:rsid w:val="00BC475D"/>
    <w:rsid w:val="00BC4CF3"/>
    <w:rsid w:val="00BD2D01"/>
    <w:rsid w:val="00BD63CC"/>
    <w:rsid w:val="00BD73CA"/>
    <w:rsid w:val="00BD766F"/>
    <w:rsid w:val="00BE1648"/>
    <w:rsid w:val="00BE18AE"/>
    <w:rsid w:val="00BE19C4"/>
    <w:rsid w:val="00BE1D6B"/>
    <w:rsid w:val="00BE5F19"/>
    <w:rsid w:val="00BE7255"/>
    <w:rsid w:val="00BF017B"/>
    <w:rsid w:val="00BF0556"/>
    <w:rsid w:val="00BF33C9"/>
    <w:rsid w:val="00BF3ED7"/>
    <w:rsid w:val="00BF6883"/>
    <w:rsid w:val="00BF7DFE"/>
    <w:rsid w:val="00C00435"/>
    <w:rsid w:val="00C0353A"/>
    <w:rsid w:val="00C11357"/>
    <w:rsid w:val="00C11945"/>
    <w:rsid w:val="00C13741"/>
    <w:rsid w:val="00C157EB"/>
    <w:rsid w:val="00C204D1"/>
    <w:rsid w:val="00C25157"/>
    <w:rsid w:val="00C252AD"/>
    <w:rsid w:val="00C26053"/>
    <w:rsid w:val="00C27DD2"/>
    <w:rsid w:val="00C27F04"/>
    <w:rsid w:val="00C34B53"/>
    <w:rsid w:val="00C36AA1"/>
    <w:rsid w:val="00C378B3"/>
    <w:rsid w:val="00C378EC"/>
    <w:rsid w:val="00C4284D"/>
    <w:rsid w:val="00C45B27"/>
    <w:rsid w:val="00C46266"/>
    <w:rsid w:val="00C47C03"/>
    <w:rsid w:val="00C5142A"/>
    <w:rsid w:val="00C51EC9"/>
    <w:rsid w:val="00C53DC6"/>
    <w:rsid w:val="00C53DD5"/>
    <w:rsid w:val="00C54D38"/>
    <w:rsid w:val="00C56D30"/>
    <w:rsid w:val="00C57C08"/>
    <w:rsid w:val="00C61B5F"/>
    <w:rsid w:val="00C65685"/>
    <w:rsid w:val="00C72881"/>
    <w:rsid w:val="00C754FD"/>
    <w:rsid w:val="00C75842"/>
    <w:rsid w:val="00C77C38"/>
    <w:rsid w:val="00C806E2"/>
    <w:rsid w:val="00C824D0"/>
    <w:rsid w:val="00C82A6B"/>
    <w:rsid w:val="00C83007"/>
    <w:rsid w:val="00C8589B"/>
    <w:rsid w:val="00C87675"/>
    <w:rsid w:val="00C9069E"/>
    <w:rsid w:val="00C91B1B"/>
    <w:rsid w:val="00C9261D"/>
    <w:rsid w:val="00C926E4"/>
    <w:rsid w:val="00C94284"/>
    <w:rsid w:val="00C95065"/>
    <w:rsid w:val="00C95134"/>
    <w:rsid w:val="00CA0682"/>
    <w:rsid w:val="00CA16EF"/>
    <w:rsid w:val="00CA2377"/>
    <w:rsid w:val="00CA3A02"/>
    <w:rsid w:val="00CA3B50"/>
    <w:rsid w:val="00CA430C"/>
    <w:rsid w:val="00CA4B39"/>
    <w:rsid w:val="00CA4EF1"/>
    <w:rsid w:val="00CA56B9"/>
    <w:rsid w:val="00CA7B91"/>
    <w:rsid w:val="00CA7FDB"/>
    <w:rsid w:val="00CB1B86"/>
    <w:rsid w:val="00CB21B6"/>
    <w:rsid w:val="00CB335C"/>
    <w:rsid w:val="00CB5581"/>
    <w:rsid w:val="00CB5FA7"/>
    <w:rsid w:val="00CB79B0"/>
    <w:rsid w:val="00CC1D55"/>
    <w:rsid w:val="00CC2F1F"/>
    <w:rsid w:val="00CC60E6"/>
    <w:rsid w:val="00CD3FF0"/>
    <w:rsid w:val="00CD558A"/>
    <w:rsid w:val="00CE2214"/>
    <w:rsid w:val="00CE38B2"/>
    <w:rsid w:val="00CE4819"/>
    <w:rsid w:val="00CE6C77"/>
    <w:rsid w:val="00CE7597"/>
    <w:rsid w:val="00CF0DB3"/>
    <w:rsid w:val="00CF1A1F"/>
    <w:rsid w:val="00CF2752"/>
    <w:rsid w:val="00CF2BD9"/>
    <w:rsid w:val="00CF5B33"/>
    <w:rsid w:val="00D0042F"/>
    <w:rsid w:val="00D034E9"/>
    <w:rsid w:val="00D03DCD"/>
    <w:rsid w:val="00D058B1"/>
    <w:rsid w:val="00D07C11"/>
    <w:rsid w:val="00D104A6"/>
    <w:rsid w:val="00D1269E"/>
    <w:rsid w:val="00D15728"/>
    <w:rsid w:val="00D1721E"/>
    <w:rsid w:val="00D24C95"/>
    <w:rsid w:val="00D2518F"/>
    <w:rsid w:val="00D27EBC"/>
    <w:rsid w:val="00D30DB1"/>
    <w:rsid w:val="00D3330A"/>
    <w:rsid w:val="00D336CC"/>
    <w:rsid w:val="00D44469"/>
    <w:rsid w:val="00D4447A"/>
    <w:rsid w:val="00D45893"/>
    <w:rsid w:val="00D50216"/>
    <w:rsid w:val="00D56001"/>
    <w:rsid w:val="00D62D5F"/>
    <w:rsid w:val="00D6420E"/>
    <w:rsid w:val="00D6433F"/>
    <w:rsid w:val="00D64A64"/>
    <w:rsid w:val="00D65B9F"/>
    <w:rsid w:val="00D758F4"/>
    <w:rsid w:val="00D76E58"/>
    <w:rsid w:val="00D807F3"/>
    <w:rsid w:val="00D8175F"/>
    <w:rsid w:val="00D852B4"/>
    <w:rsid w:val="00D86966"/>
    <w:rsid w:val="00D8E832"/>
    <w:rsid w:val="00D90D92"/>
    <w:rsid w:val="00D922C5"/>
    <w:rsid w:val="00D95484"/>
    <w:rsid w:val="00D979CB"/>
    <w:rsid w:val="00D97BD5"/>
    <w:rsid w:val="00DA6214"/>
    <w:rsid w:val="00DA6BA3"/>
    <w:rsid w:val="00DA7BC6"/>
    <w:rsid w:val="00DA7DAC"/>
    <w:rsid w:val="00DB0949"/>
    <w:rsid w:val="00DB0FD7"/>
    <w:rsid w:val="00DB4128"/>
    <w:rsid w:val="00DB6AA7"/>
    <w:rsid w:val="00DC1E4C"/>
    <w:rsid w:val="00DC4FDF"/>
    <w:rsid w:val="00DC79E7"/>
    <w:rsid w:val="00DD0922"/>
    <w:rsid w:val="00DD101B"/>
    <w:rsid w:val="00DD3125"/>
    <w:rsid w:val="00DD315D"/>
    <w:rsid w:val="00DE2D5C"/>
    <w:rsid w:val="00DE43AB"/>
    <w:rsid w:val="00DE68A1"/>
    <w:rsid w:val="00DF1AAE"/>
    <w:rsid w:val="00DF2E90"/>
    <w:rsid w:val="00DF4694"/>
    <w:rsid w:val="00DF59E9"/>
    <w:rsid w:val="00DF75EA"/>
    <w:rsid w:val="00E02D11"/>
    <w:rsid w:val="00E0340B"/>
    <w:rsid w:val="00E05524"/>
    <w:rsid w:val="00E06040"/>
    <w:rsid w:val="00E13D48"/>
    <w:rsid w:val="00E14022"/>
    <w:rsid w:val="00E14A85"/>
    <w:rsid w:val="00E14B99"/>
    <w:rsid w:val="00E2103E"/>
    <w:rsid w:val="00E21F97"/>
    <w:rsid w:val="00E25CC3"/>
    <w:rsid w:val="00E27A1A"/>
    <w:rsid w:val="00E306BB"/>
    <w:rsid w:val="00E31501"/>
    <w:rsid w:val="00E32FE2"/>
    <w:rsid w:val="00E33581"/>
    <w:rsid w:val="00E36D17"/>
    <w:rsid w:val="00E36F3B"/>
    <w:rsid w:val="00E37618"/>
    <w:rsid w:val="00E427F4"/>
    <w:rsid w:val="00E544CC"/>
    <w:rsid w:val="00E56A35"/>
    <w:rsid w:val="00E573C9"/>
    <w:rsid w:val="00E616B1"/>
    <w:rsid w:val="00E6209E"/>
    <w:rsid w:val="00E621DD"/>
    <w:rsid w:val="00E6479E"/>
    <w:rsid w:val="00E67A42"/>
    <w:rsid w:val="00E730C4"/>
    <w:rsid w:val="00E77077"/>
    <w:rsid w:val="00E8069B"/>
    <w:rsid w:val="00E811D7"/>
    <w:rsid w:val="00E8170E"/>
    <w:rsid w:val="00E81A5E"/>
    <w:rsid w:val="00E84D46"/>
    <w:rsid w:val="00E85ADF"/>
    <w:rsid w:val="00E85E03"/>
    <w:rsid w:val="00E86E3C"/>
    <w:rsid w:val="00E9078E"/>
    <w:rsid w:val="00E932C9"/>
    <w:rsid w:val="00E94D75"/>
    <w:rsid w:val="00EA0268"/>
    <w:rsid w:val="00EA0411"/>
    <w:rsid w:val="00EA0808"/>
    <w:rsid w:val="00EA21E1"/>
    <w:rsid w:val="00EA3509"/>
    <w:rsid w:val="00EA42D8"/>
    <w:rsid w:val="00EA5DB5"/>
    <w:rsid w:val="00EA5E8A"/>
    <w:rsid w:val="00EB1F8E"/>
    <w:rsid w:val="00EB385F"/>
    <w:rsid w:val="00EB41AE"/>
    <w:rsid w:val="00EB4821"/>
    <w:rsid w:val="00EB555D"/>
    <w:rsid w:val="00EB7A5C"/>
    <w:rsid w:val="00EC2EA9"/>
    <w:rsid w:val="00EC71FD"/>
    <w:rsid w:val="00ED11C7"/>
    <w:rsid w:val="00ED44BE"/>
    <w:rsid w:val="00ED4882"/>
    <w:rsid w:val="00ED605E"/>
    <w:rsid w:val="00ED7800"/>
    <w:rsid w:val="00EE5278"/>
    <w:rsid w:val="00EE6137"/>
    <w:rsid w:val="00EE6A88"/>
    <w:rsid w:val="00EF0EF7"/>
    <w:rsid w:val="00EF418A"/>
    <w:rsid w:val="00EF42F2"/>
    <w:rsid w:val="00EF6F0F"/>
    <w:rsid w:val="00EF724B"/>
    <w:rsid w:val="00EF7E8B"/>
    <w:rsid w:val="00F011CB"/>
    <w:rsid w:val="00F02F8D"/>
    <w:rsid w:val="00F0370F"/>
    <w:rsid w:val="00F0407E"/>
    <w:rsid w:val="00F04B96"/>
    <w:rsid w:val="00F07442"/>
    <w:rsid w:val="00F11841"/>
    <w:rsid w:val="00F154C7"/>
    <w:rsid w:val="00F16866"/>
    <w:rsid w:val="00F176B0"/>
    <w:rsid w:val="00F20BEB"/>
    <w:rsid w:val="00F21AB2"/>
    <w:rsid w:val="00F21C4D"/>
    <w:rsid w:val="00F21EB5"/>
    <w:rsid w:val="00F2466D"/>
    <w:rsid w:val="00F33D73"/>
    <w:rsid w:val="00F37E68"/>
    <w:rsid w:val="00F41B3C"/>
    <w:rsid w:val="00F43CC7"/>
    <w:rsid w:val="00F51EA1"/>
    <w:rsid w:val="00F55D1E"/>
    <w:rsid w:val="00F57C28"/>
    <w:rsid w:val="00F6116D"/>
    <w:rsid w:val="00F659C4"/>
    <w:rsid w:val="00F677A4"/>
    <w:rsid w:val="00F733E7"/>
    <w:rsid w:val="00F854FB"/>
    <w:rsid w:val="00F87D2C"/>
    <w:rsid w:val="00F92FB5"/>
    <w:rsid w:val="00F94213"/>
    <w:rsid w:val="00F97EF7"/>
    <w:rsid w:val="00FA164A"/>
    <w:rsid w:val="00FA2DA1"/>
    <w:rsid w:val="00FA3866"/>
    <w:rsid w:val="00FA3FC4"/>
    <w:rsid w:val="00FA4380"/>
    <w:rsid w:val="00FA453F"/>
    <w:rsid w:val="00FA55A0"/>
    <w:rsid w:val="00FB2F08"/>
    <w:rsid w:val="00FB5686"/>
    <w:rsid w:val="00FB5F4F"/>
    <w:rsid w:val="00FB6380"/>
    <w:rsid w:val="00FC1125"/>
    <w:rsid w:val="00FC29F1"/>
    <w:rsid w:val="00FC65EA"/>
    <w:rsid w:val="00FC6CEB"/>
    <w:rsid w:val="00FC7698"/>
    <w:rsid w:val="00FD402E"/>
    <w:rsid w:val="00FD7522"/>
    <w:rsid w:val="00FE0C67"/>
    <w:rsid w:val="00FE0D62"/>
    <w:rsid w:val="00FE4C01"/>
    <w:rsid w:val="00FF3526"/>
    <w:rsid w:val="00FF6435"/>
    <w:rsid w:val="015BBC7C"/>
    <w:rsid w:val="015E834E"/>
    <w:rsid w:val="015EBFFD"/>
    <w:rsid w:val="01C40FDC"/>
    <w:rsid w:val="01F5789A"/>
    <w:rsid w:val="022568FC"/>
    <w:rsid w:val="02AA8A5A"/>
    <w:rsid w:val="02D9C21D"/>
    <w:rsid w:val="030E7A46"/>
    <w:rsid w:val="03198519"/>
    <w:rsid w:val="032CCFB7"/>
    <w:rsid w:val="033CF935"/>
    <w:rsid w:val="0341AFC4"/>
    <w:rsid w:val="0350C3B9"/>
    <w:rsid w:val="038A0FC3"/>
    <w:rsid w:val="039503F2"/>
    <w:rsid w:val="03EB839A"/>
    <w:rsid w:val="0406768E"/>
    <w:rsid w:val="042D960E"/>
    <w:rsid w:val="04385B0C"/>
    <w:rsid w:val="04401058"/>
    <w:rsid w:val="04771F37"/>
    <w:rsid w:val="04A25D2F"/>
    <w:rsid w:val="04AA17E4"/>
    <w:rsid w:val="04C0FBD7"/>
    <w:rsid w:val="04EDDFE3"/>
    <w:rsid w:val="0506CB4A"/>
    <w:rsid w:val="051B74DD"/>
    <w:rsid w:val="052767ED"/>
    <w:rsid w:val="0562A056"/>
    <w:rsid w:val="058753FB"/>
    <w:rsid w:val="05DD8F8B"/>
    <w:rsid w:val="05E11D32"/>
    <w:rsid w:val="05E2855A"/>
    <w:rsid w:val="05F5CB02"/>
    <w:rsid w:val="060B6EE9"/>
    <w:rsid w:val="0613DC92"/>
    <w:rsid w:val="06608566"/>
    <w:rsid w:val="067A464F"/>
    <w:rsid w:val="068D1A2E"/>
    <w:rsid w:val="068D2B17"/>
    <w:rsid w:val="069C0C01"/>
    <w:rsid w:val="06A11239"/>
    <w:rsid w:val="06A1A6FC"/>
    <w:rsid w:val="06C8528B"/>
    <w:rsid w:val="06D8ACC8"/>
    <w:rsid w:val="06DDABDD"/>
    <w:rsid w:val="06F2EF33"/>
    <w:rsid w:val="06F2F00D"/>
    <w:rsid w:val="0739B031"/>
    <w:rsid w:val="07D0B838"/>
    <w:rsid w:val="07D9CC72"/>
    <w:rsid w:val="07E2A26C"/>
    <w:rsid w:val="07E81B43"/>
    <w:rsid w:val="07EA353A"/>
    <w:rsid w:val="07EB742C"/>
    <w:rsid w:val="0810E61A"/>
    <w:rsid w:val="081214CE"/>
    <w:rsid w:val="08418CF1"/>
    <w:rsid w:val="084BAE00"/>
    <w:rsid w:val="085135BB"/>
    <w:rsid w:val="086F8BCA"/>
    <w:rsid w:val="089D69A1"/>
    <w:rsid w:val="08A3F784"/>
    <w:rsid w:val="08A85741"/>
    <w:rsid w:val="08C7222B"/>
    <w:rsid w:val="08D875AA"/>
    <w:rsid w:val="08FCD045"/>
    <w:rsid w:val="09569EA1"/>
    <w:rsid w:val="09639557"/>
    <w:rsid w:val="09879585"/>
    <w:rsid w:val="0987DF5C"/>
    <w:rsid w:val="09BF8505"/>
    <w:rsid w:val="09CDD7FD"/>
    <w:rsid w:val="09E7AD2A"/>
    <w:rsid w:val="0A13CFCA"/>
    <w:rsid w:val="0A1631B6"/>
    <w:rsid w:val="0A1AE9DE"/>
    <w:rsid w:val="0A3B6D2A"/>
    <w:rsid w:val="0A3E4BF4"/>
    <w:rsid w:val="0A54DE6B"/>
    <w:rsid w:val="0A5DF9CD"/>
    <w:rsid w:val="0AC22B32"/>
    <w:rsid w:val="0ACC0929"/>
    <w:rsid w:val="0AEAC892"/>
    <w:rsid w:val="0B083486"/>
    <w:rsid w:val="0B09FB58"/>
    <w:rsid w:val="0B24D704"/>
    <w:rsid w:val="0B29A6C5"/>
    <w:rsid w:val="0B2BCEE8"/>
    <w:rsid w:val="0B54B04F"/>
    <w:rsid w:val="0B6A32FF"/>
    <w:rsid w:val="0B8A6BBC"/>
    <w:rsid w:val="0BAA426B"/>
    <w:rsid w:val="0BB6DA65"/>
    <w:rsid w:val="0BC66056"/>
    <w:rsid w:val="0BFFCC7B"/>
    <w:rsid w:val="0C06E79F"/>
    <w:rsid w:val="0C14005E"/>
    <w:rsid w:val="0C1F876A"/>
    <w:rsid w:val="0C1FF2A0"/>
    <w:rsid w:val="0C68F66D"/>
    <w:rsid w:val="0C7AB06D"/>
    <w:rsid w:val="0CBC4B40"/>
    <w:rsid w:val="0CDAC8AF"/>
    <w:rsid w:val="0CF9B2B2"/>
    <w:rsid w:val="0D10F89A"/>
    <w:rsid w:val="0D4244BB"/>
    <w:rsid w:val="0D4CED61"/>
    <w:rsid w:val="0DEBF65C"/>
    <w:rsid w:val="0DEFD721"/>
    <w:rsid w:val="0E16C58D"/>
    <w:rsid w:val="0E18A184"/>
    <w:rsid w:val="0E296A37"/>
    <w:rsid w:val="0E50CFEC"/>
    <w:rsid w:val="0EBFF4E5"/>
    <w:rsid w:val="0EC32673"/>
    <w:rsid w:val="0EC9EC7E"/>
    <w:rsid w:val="0ECAD870"/>
    <w:rsid w:val="0EDEC216"/>
    <w:rsid w:val="0EE35FF4"/>
    <w:rsid w:val="0EF1F22A"/>
    <w:rsid w:val="0F673CFD"/>
    <w:rsid w:val="0F6E0887"/>
    <w:rsid w:val="0F838662"/>
    <w:rsid w:val="0F866810"/>
    <w:rsid w:val="0F89DC4A"/>
    <w:rsid w:val="0FE5DF10"/>
    <w:rsid w:val="10182E67"/>
    <w:rsid w:val="107CA557"/>
    <w:rsid w:val="10A06986"/>
    <w:rsid w:val="10A40BE9"/>
    <w:rsid w:val="10B71567"/>
    <w:rsid w:val="10C57963"/>
    <w:rsid w:val="10D721D0"/>
    <w:rsid w:val="10DDF559"/>
    <w:rsid w:val="110217AF"/>
    <w:rsid w:val="110BDFBF"/>
    <w:rsid w:val="1111D4A2"/>
    <w:rsid w:val="11509C1A"/>
    <w:rsid w:val="115FFE01"/>
    <w:rsid w:val="119DD1D2"/>
    <w:rsid w:val="11DA6073"/>
    <w:rsid w:val="11DB7CE4"/>
    <w:rsid w:val="1211D78C"/>
    <w:rsid w:val="122848F1"/>
    <w:rsid w:val="122B7B6D"/>
    <w:rsid w:val="122F17BD"/>
    <w:rsid w:val="122F4794"/>
    <w:rsid w:val="1260A15A"/>
    <w:rsid w:val="126CE16F"/>
    <w:rsid w:val="1298AD16"/>
    <w:rsid w:val="12DC5106"/>
    <w:rsid w:val="12E9F1F1"/>
    <w:rsid w:val="12EBC6BD"/>
    <w:rsid w:val="1306BD55"/>
    <w:rsid w:val="133FFB27"/>
    <w:rsid w:val="134D9430"/>
    <w:rsid w:val="137BAF00"/>
    <w:rsid w:val="139A4D43"/>
    <w:rsid w:val="13A1F5D8"/>
    <w:rsid w:val="13FEAAF3"/>
    <w:rsid w:val="14158057"/>
    <w:rsid w:val="141B2F65"/>
    <w:rsid w:val="142913D1"/>
    <w:rsid w:val="144F1D70"/>
    <w:rsid w:val="145F0EFF"/>
    <w:rsid w:val="148B1A3E"/>
    <w:rsid w:val="14940EF0"/>
    <w:rsid w:val="14B88659"/>
    <w:rsid w:val="14D43CAF"/>
    <w:rsid w:val="14E0C29A"/>
    <w:rsid w:val="14E63775"/>
    <w:rsid w:val="1513F8D1"/>
    <w:rsid w:val="151D460C"/>
    <w:rsid w:val="15259EA9"/>
    <w:rsid w:val="15C5B967"/>
    <w:rsid w:val="15E6FA2F"/>
    <w:rsid w:val="15EAEDD1"/>
    <w:rsid w:val="15FC5F01"/>
    <w:rsid w:val="160373B6"/>
    <w:rsid w:val="166D8DB8"/>
    <w:rsid w:val="16A18BE3"/>
    <w:rsid w:val="16ADB4E6"/>
    <w:rsid w:val="16B0BE16"/>
    <w:rsid w:val="16C47A3A"/>
    <w:rsid w:val="172C0FC7"/>
    <w:rsid w:val="17821EF8"/>
    <w:rsid w:val="17B12E6B"/>
    <w:rsid w:val="180232C5"/>
    <w:rsid w:val="182A6C5E"/>
    <w:rsid w:val="18A18153"/>
    <w:rsid w:val="18BE9335"/>
    <w:rsid w:val="18EC1E01"/>
    <w:rsid w:val="19014A55"/>
    <w:rsid w:val="1928078C"/>
    <w:rsid w:val="1942A06D"/>
    <w:rsid w:val="1953D61A"/>
    <w:rsid w:val="19593375"/>
    <w:rsid w:val="1963968B"/>
    <w:rsid w:val="19657853"/>
    <w:rsid w:val="198716E9"/>
    <w:rsid w:val="19A975D8"/>
    <w:rsid w:val="19B0A81E"/>
    <w:rsid w:val="19BE4848"/>
    <w:rsid w:val="19C4DFA4"/>
    <w:rsid w:val="19E6AA4C"/>
    <w:rsid w:val="19EF6110"/>
    <w:rsid w:val="1A3DCA89"/>
    <w:rsid w:val="1A7C2ACA"/>
    <w:rsid w:val="1A7D5D36"/>
    <w:rsid w:val="1A879F68"/>
    <w:rsid w:val="1AD1444B"/>
    <w:rsid w:val="1AF88064"/>
    <w:rsid w:val="1B0D566F"/>
    <w:rsid w:val="1B133D79"/>
    <w:rsid w:val="1B28F463"/>
    <w:rsid w:val="1B535F39"/>
    <w:rsid w:val="1B5A10A4"/>
    <w:rsid w:val="1B72DEC1"/>
    <w:rsid w:val="1B910C04"/>
    <w:rsid w:val="1BE2CF08"/>
    <w:rsid w:val="1C014093"/>
    <w:rsid w:val="1C584D99"/>
    <w:rsid w:val="1C645D0B"/>
    <w:rsid w:val="1C6FD8FA"/>
    <w:rsid w:val="1CB571F9"/>
    <w:rsid w:val="1CB71EB6"/>
    <w:rsid w:val="1CC553C1"/>
    <w:rsid w:val="1CD307EA"/>
    <w:rsid w:val="1CD5A3E8"/>
    <w:rsid w:val="1CD9A2C4"/>
    <w:rsid w:val="1D236BD7"/>
    <w:rsid w:val="1D770F3A"/>
    <w:rsid w:val="1D93FE06"/>
    <w:rsid w:val="1D99D769"/>
    <w:rsid w:val="1DA5E97B"/>
    <w:rsid w:val="1DCE14ED"/>
    <w:rsid w:val="1DEEF040"/>
    <w:rsid w:val="1E63F5EA"/>
    <w:rsid w:val="1EBE163A"/>
    <w:rsid w:val="1EEEACEB"/>
    <w:rsid w:val="1EF989AB"/>
    <w:rsid w:val="1F2F4F5C"/>
    <w:rsid w:val="1F3EBC67"/>
    <w:rsid w:val="1F4EB09E"/>
    <w:rsid w:val="1F7DDC9C"/>
    <w:rsid w:val="1FEDAD4D"/>
    <w:rsid w:val="1FFD13F6"/>
    <w:rsid w:val="2002EFA7"/>
    <w:rsid w:val="20114D52"/>
    <w:rsid w:val="202F4B3D"/>
    <w:rsid w:val="20462373"/>
    <w:rsid w:val="205EC5AA"/>
    <w:rsid w:val="207A8C11"/>
    <w:rsid w:val="2080988F"/>
    <w:rsid w:val="2098A3C7"/>
    <w:rsid w:val="20C461E0"/>
    <w:rsid w:val="20C5F27B"/>
    <w:rsid w:val="20CB9EC8"/>
    <w:rsid w:val="20D65E84"/>
    <w:rsid w:val="20EA39C9"/>
    <w:rsid w:val="21123CC6"/>
    <w:rsid w:val="21219FB9"/>
    <w:rsid w:val="213B2DD6"/>
    <w:rsid w:val="214C5503"/>
    <w:rsid w:val="214E9B3F"/>
    <w:rsid w:val="216DD7A2"/>
    <w:rsid w:val="2192EC0B"/>
    <w:rsid w:val="219A9545"/>
    <w:rsid w:val="21A8466E"/>
    <w:rsid w:val="21A9150B"/>
    <w:rsid w:val="21B34E1D"/>
    <w:rsid w:val="21C058FD"/>
    <w:rsid w:val="21CD482F"/>
    <w:rsid w:val="21D82B1C"/>
    <w:rsid w:val="22207857"/>
    <w:rsid w:val="223AD2F3"/>
    <w:rsid w:val="2245D288"/>
    <w:rsid w:val="2252EC98"/>
    <w:rsid w:val="22962811"/>
    <w:rsid w:val="22EA6BA0"/>
    <w:rsid w:val="22FF1246"/>
    <w:rsid w:val="2326603A"/>
    <w:rsid w:val="2362B715"/>
    <w:rsid w:val="2378803F"/>
    <w:rsid w:val="23CC95DD"/>
    <w:rsid w:val="23EBBD49"/>
    <w:rsid w:val="24076962"/>
    <w:rsid w:val="247898F8"/>
    <w:rsid w:val="24BC0A22"/>
    <w:rsid w:val="24C46A2F"/>
    <w:rsid w:val="251FD999"/>
    <w:rsid w:val="25369FF6"/>
    <w:rsid w:val="2538CC48"/>
    <w:rsid w:val="256165D1"/>
    <w:rsid w:val="25867973"/>
    <w:rsid w:val="25F3D2AC"/>
    <w:rsid w:val="25F594EA"/>
    <w:rsid w:val="260A4246"/>
    <w:rsid w:val="26146C09"/>
    <w:rsid w:val="26177757"/>
    <w:rsid w:val="265E00FC"/>
    <w:rsid w:val="2661AE39"/>
    <w:rsid w:val="2672312B"/>
    <w:rsid w:val="269A793F"/>
    <w:rsid w:val="26D803E0"/>
    <w:rsid w:val="26EAE5ED"/>
    <w:rsid w:val="273AE75F"/>
    <w:rsid w:val="2740E3C7"/>
    <w:rsid w:val="2746EDA5"/>
    <w:rsid w:val="2783CDB0"/>
    <w:rsid w:val="279A208C"/>
    <w:rsid w:val="27BC9430"/>
    <w:rsid w:val="27C3C835"/>
    <w:rsid w:val="27CB65AA"/>
    <w:rsid w:val="27F4A607"/>
    <w:rsid w:val="2815C382"/>
    <w:rsid w:val="28289A61"/>
    <w:rsid w:val="28746979"/>
    <w:rsid w:val="2880AB5B"/>
    <w:rsid w:val="288D9ED6"/>
    <w:rsid w:val="28A1CF65"/>
    <w:rsid w:val="28B7DD50"/>
    <w:rsid w:val="28E0FBE3"/>
    <w:rsid w:val="28ED0D61"/>
    <w:rsid w:val="28F9AB07"/>
    <w:rsid w:val="290B32D5"/>
    <w:rsid w:val="291DC979"/>
    <w:rsid w:val="29235A57"/>
    <w:rsid w:val="292F513F"/>
    <w:rsid w:val="29449A03"/>
    <w:rsid w:val="295C01D2"/>
    <w:rsid w:val="2967360B"/>
    <w:rsid w:val="2968522B"/>
    <w:rsid w:val="29A6A96D"/>
    <w:rsid w:val="29B193E3"/>
    <w:rsid w:val="29CEACB4"/>
    <w:rsid w:val="29CEFC91"/>
    <w:rsid w:val="29F4E833"/>
    <w:rsid w:val="2A00410A"/>
    <w:rsid w:val="2A1C8130"/>
    <w:rsid w:val="2A758397"/>
    <w:rsid w:val="2A8C8F77"/>
    <w:rsid w:val="2AC4B2EA"/>
    <w:rsid w:val="2AEA79F6"/>
    <w:rsid w:val="2AF610D3"/>
    <w:rsid w:val="2B0AABC2"/>
    <w:rsid w:val="2B0EF266"/>
    <w:rsid w:val="2B16FB7D"/>
    <w:rsid w:val="2B6FB899"/>
    <w:rsid w:val="2BAB9665"/>
    <w:rsid w:val="2BE7C946"/>
    <w:rsid w:val="2C071487"/>
    <w:rsid w:val="2C8A8A4E"/>
    <w:rsid w:val="2C9938E4"/>
    <w:rsid w:val="2C9ED6CD"/>
    <w:rsid w:val="2CA7A421"/>
    <w:rsid w:val="2CE44F4C"/>
    <w:rsid w:val="2D13FFD7"/>
    <w:rsid w:val="2D3BA112"/>
    <w:rsid w:val="2D4EDCF7"/>
    <w:rsid w:val="2D915049"/>
    <w:rsid w:val="2D9DF0AB"/>
    <w:rsid w:val="2E3A4FA7"/>
    <w:rsid w:val="2E3AA72E"/>
    <w:rsid w:val="2E6B6C39"/>
    <w:rsid w:val="2E6DD493"/>
    <w:rsid w:val="2E7DEDD7"/>
    <w:rsid w:val="2E9296C4"/>
    <w:rsid w:val="2E9D12AA"/>
    <w:rsid w:val="2ED0745F"/>
    <w:rsid w:val="2EF51A0E"/>
    <w:rsid w:val="2F16B914"/>
    <w:rsid w:val="2F1C2E2C"/>
    <w:rsid w:val="2F6232A9"/>
    <w:rsid w:val="2F97E5C9"/>
    <w:rsid w:val="2FD185D9"/>
    <w:rsid w:val="2FE68649"/>
    <w:rsid w:val="2FFC93B9"/>
    <w:rsid w:val="2FFFEB14"/>
    <w:rsid w:val="302B7AEC"/>
    <w:rsid w:val="30704F6B"/>
    <w:rsid w:val="308FD480"/>
    <w:rsid w:val="30B0EC15"/>
    <w:rsid w:val="30B897A8"/>
    <w:rsid w:val="30F2E367"/>
    <w:rsid w:val="311FA1C7"/>
    <w:rsid w:val="317306CA"/>
    <w:rsid w:val="31BEB3A3"/>
    <w:rsid w:val="31D98A6D"/>
    <w:rsid w:val="31DDADD0"/>
    <w:rsid w:val="31E98583"/>
    <w:rsid w:val="31F1C5FD"/>
    <w:rsid w:val="31FF1DD6"/>
    <w:rsid w:val="32011BF7"/>
    <w:rsid w:val="3201AF8C"/>
    <w:rsid w:val="322BA4E1"/>
    <w:rsid w:val="324BFC8C"/>
    <w:rsid w:val="32BE37C1"/>
    <w:rsid w:val="32D93749"/>
    <w:rsid w:val="32EA05C1"/>
    <w:rsid w:val="330E1851"/>
    <w:rsid w:val="3311E5BE"/>
    <w:rsid w:val="333B37B5"/>
    <w:rsid w:val="334FC279"/>
    <w:rsid w:val="343EBDF5"/>
    <w:rsid w:val="344EA247"/>
    <w:rsid w:val="34ACF92B"/>
    <w:rsid w:val="34ADF22C"/>
    <w:rsid w:val="34B278CE"/>
    <w:rsid w:val="34B9F76C"/>
    <w:rsid w:val="34F3FDEA"/>
    <w:rsid w:val="35155CCC"/>
    <w:rsid w:val="3522877A"/>
    <w:rsid w:val="354C0BE0"/>
    <w:rsid w:val="35565D3B"/>
    <w:rsid w:val="355E0346"/>
    <w:rsid w:val="356D9408"/>
    <w:rsid w:val="356E0A3A"/>
    <w:rsid w:val="358D01C9"/>
    <w:rsid w:val="35C3A190"/>
    <w:rsid w:val="35DD2B20"/>
    <w:rsid w:val="367DB754"/>
    <w:rsid w:val="3691F070"/>
    <w:rsid w:val="36C50AFC"/>
    <w:rsid w:val="36C5B4EE"/>
    <w:rsid w:val="36E71582"/>
    <w:rsid w:val="36EFD2A0"/>
    <w:rsid w:val="37092F32"/>
    <w:rsid w:val="3717FFD6"/>
    <w:rsid w:val="3778A26F"/>
    <w:rsid w:val="378FE4B9"/>
    <w:rsid w:val="37AE4261"/>
    <w:rsid w:val="37D00665"/>
    <w:rsid w:val="37DEE870"/>
    <w:rsid w:val="3806E621"/>
    <w:rsid w:val="3809727C"/>
    <w:rsid w:val="383B898D"/>
    <w:rsid w:val="38564893"/>
    <w:rsid w:val="386D1169"/>
    <w:rsid w:val="38EF40EB"/>
    <w:rsid w:val="390A9C86"/>
    <w:rsid w:val="392912A4"/>
    <w:rsid w:val="39647C88"/>
    <w:rsid w:val="396FF521"/>
    <w:rsid w:val="3987384B"/>
    <w:rsid w:val="39C0743C"/>
    <w:rsid w:val="39ED9CD7"/>
    <w:rsid w:val="39EDF073"/>
    <w:rsid w:val="39FBA59B"/>
    <w:rsid w:val="39FEF9F4"/>
    <w:rsid w:val="3A35E4E5"/>
    <w:rsid w:val="3A3CA45C"/>
    <w:rsid w:val="3A4A98C7"/>
    <w:rsid w:val="3A52F54C"/>
    <w:rsid w:val="3A684CAF"/>
    <w:rsid w:val="3A7246B9"/>
    <w:rsid w:val="3AAE6172"/>
    <w:rsid w:val="3AB3A0EA"/>
    <w:rsid w:val="3AD9B032"/>
    <w:rsid w:val="3ADE70FC"/>
    <w:rsid w:val="3B006518"/>
    <w:rsid w:val="3B1A052C"/>
    <w:rsid w:val="3B30446D"/>
    <w:rsid w:val="3B5C88EE"/>
    <w:rsid w:val="3B66D082"/>
    <w:rsid w:val="3B82CE77"/>
    <w:rsid w:val="3BA41D38"/>
    <w:rsid w:val="3BA4D4F8"/>
    <w:rsid w:val="3BB1F052"/>
    <w:rsid w:val="3BEF3D71"/>
    <w:rsid w:val="3BF0555E"/>
    <w:rsid w:val="3BF5496B"/>
    <w:rsid w:val="3BF7972B"/>
    <w:rsid w:val="3C125FEC"/>
    <w:rsid w:val="3C1D3851"/>
    <w:rsid w:val="3C5AF830"/>
    <w:rsid w:val="3C77135F"/>
    <w:rsid w:val="3CC9267F"/>
    <w:rsid w:val="3CE15EA5"/>
    <w:rsid w:val="3CF5BC30"/>
    <w:rsid w:val="3D0E044B"/>
    <w:rsid w:val="3D10B348"/>
    <w:rsid w:val="3D2A42F6"/>
    <w:rsid w:val="3D45F041"/>
    <w:rsid w:val="3D4F5880"/>
    <w:rsid w:val="3D97649E"/>
    <w:rsid w:val="3DB1D55D"/>
    <w:rsid w:val="3DF1F0E8"/>
    <w:rsid w:val="3E37CD05"/>
    <w:rsid w:val="3E382526"/>
    <w:rsid w:val="3E5340DB"/>
    <w:rsid w:val="3EB685D9"/>
    <w:rsid w:val="3EE3898A"/>
    <w:rsid w:val="3EF9CB67"/>
    <w:rsid w:val="3EFBCC99"/>
    <w:rsid w:val="3F1A4CB0"/>
    <w:rsid w:val="3F1DDCA7"/>
    <w:rsid w:val="3F3B7448"/>
    <w:rsid w:val="3F801A1B"/>
    <w:rsid w:val="3FA82A9C"/>
    <w:rsid w:val="3FB22E20"/>
    <w:rsid w:val="4001C243"/>
    <w:rsid w:val="4040BD36"/>
    <w:rsid w:val="406B6B67"/>
    <w:rsid w:val="409BF43B"/>
    <w:rsid w:val="40B9AD08"/>
    <w:rsid w:val="40F58FEA"/>
    <w:rsid w:val="410C6322"/>
    <w:rsid w:val="411FD775"/>
    <w:rsid w:val="412383B4"/>
    <w:rsid w:val="416FD525"/>
    <w:rsid w:val="41BAF455"/>
    <w:rsid w:val="41CECD15"/>
    <w:rsid w:val="41E95666"/>
    <w:rsid w:val="4259FC2D"/>
    <w:rsid w:val="4273150A"/>
    <w:rsid w:val="427D2801"/>
    <w:rsid w:val="429B187C"/>
    <w:rsid w:val="42AE6BED"/>
    <w:rsid w:val="42C986FE"/>
    <w:rsid w:val="430079FF"/>
    <w:rsid w:val="4300AAE3"/>
    <w:rsid w:val="432163EE"/>
    <w:rsid w:val="4342C640"/>
    <w:rsid w:val="43586CC2"/>
    <w:rsid w:val="4386C192"/>
    <w:rsid w:val="43AD6E51"/>
    <w:rsid w:val="43AF6C23"/>
    <w:rsid w:val="43E18FBB"/>
    <w:rsid w:val="43F3A278"/>
    <w:rsid w:val="43F8D583"/>
    <w:rsid w:val="440A2696"/>
    <w:rsid w:val="440EE56B"/>
    <w:rsid w:val="442D1933"/>
    <w:rsid w:val="443629A6"/>
    <w:rsid w:val="443CD429"/>
    <w:rsid w:val="443E5010"/>
    <w:rsid w:val="4441CA03"/>
    <w:rsid w:val="4449762E"/>
    <w:rsid w:val="446FF704"/>
    <w:rsid w:val="4484FE15"/>
    <w:rsid w:val="44BA2544"/>
    <w:rsid w:val="44C6FEDB"/>
    <w:rsid w:val="44C90957"/>
    <w:rsid w:val="44D9E39D"/>
    <w:rsid w:val="44E90CCC"/>
    <w:rsid w:val="451A92E7"/>
    <w:rsid w:val="4546C6B3"/>
    <w:rsid w:val="454C1B64"/>
    <w:rsid w:val="45676C3E"/>
    <w:rsid w:val="458716E8"/>
    <w:rsid w:val="458B1A99"/>
    <w:rsid w:val="458BCFE1"/>
    <w:rsid w:val="45921826"/>
    <w:rsid w:val="45AAB5CC"/>
    <w:rsid w:val="45B2645A"/>
    <w:rsid w:val="45C95EA2"/>
    <w:rsid w:val="45E39F30"/>
    <w:rsid w:val="461C261C"/>
    <w:rsid w:val="462E98A8"/>
    <w:rsid w:val="4647FC68"/>
    <w:rsid w:val="4695A7E3"/>
    <w:rsid w:val="46971113"/>
    <w:rsid w:val="46B51FE0"/>
    <w:rsid w:val="475E29DD"/>
    <w:rsid w:val="4766323B"/>
    <w:rsid w:val="477CE9F1"/>
    <w:rsid w:val="477E3D02"/>
    <w:rsid w:val="4788BAF4"/>
    <w:rsid w:val="47BAA9CA"/>
    <w:rsid w:val="47BB8717"/>
    <w:rsid w:val="47BFDD53"/>
    <w:rsid w:val="47EB24A9"/>
    <w:rsid w:val="47F60702"/>
    <w:rsid w:val="47FAAFF7"/>
    <w:rsid w:val="480CE020"/>
    <w:rsid w:val="4818E7CE"/>
    <w:rsid w:val="4820ACCB"/>
    <w:rsid w:val="482120C3"/>
    <w:rsid w:val="4870BDD9"/>
    <w:rsid w:val="48E6D112"/>
    <w:rsid w:val="48EEAC10"/>
    <w:rsid w:val="492457CE"/>
    <w:rsid w:val="4932DB22"/>
    <w:rsid w:val="4987FA52"/>
    <w:rsid w:val="49927D7C"/>
    <w:rsid w:val="49A6C8CE"/>
    <w:rsid w:val="49B6E5CE"/>
    <w:rsid w:val="4A047BE6"/>
    <w:rsid w:val="4A0B368B"/>
    <w:rsid w:val="4A1FCE56"/>
    <w:rsid w:val="4A2AA5A2"/>
    <w:rsid w:val="4A4C8758"/>
    <w:rsid w:val="4A773D9D"/>
    <w:rsid w:val="4A9E0215"/>
    <w:rsid w:val="4B128AEE"/>
    <w:rsid w:val="4B6466BC"/>
    <w:rsid w:val="4B8E427E"/>
    <w:rsid w:val="4BA5E0FD"/>
    <w:rsid w:val="4BDA8B1E"/>
    <w:rsid w:val="4BF36DD3"/>
    <w:rsid w:val="4BF600BA"/>
    <w:rsid w:val="4C30921F"/>
    <w:rsid w:val="4C335C1B"/>
    <w:rsid w:val="4C5C5048"/>
    <w:rsid w:val="4C65BBD8"/>
    <w:rsid w:val="4C6B0027"/>
    <w:rsid w:val="4C74FFB5"/>
    <w:rsid w:val="4C76CB66"/>
    <w:rsid w:val="4C807CA2"/>
    <w:rsid w:val="4C80CA20"/>
    <w:rsid w:val="4C900EB6"/>
    <w:rsid w:val="4C951441"/>
    <w:rsid w:val="4CA513A1"/>
    <w:rsid w:val="4CCBE89B"/>
    <w:rsid w:val="4CEE2064"/>
    <w:rsid w:val="4D089985"/>
    <w:rsid w:val="4D28CF72"/>
    <w:rsid w:val="4D73CA49"/>
    <w:rsid w:val="4D7E4AB9"/>
    <w:rsid w:val="4DA9264B"/>
    <w:rsid w:val="4DB81938"/>
    <w:rsid w:val="4DF40C38"/>
    <w:rsid w:val="4DFFBEA0"/>
    <w:rsid w:val="4E0C4759"/>
    <w:rsid w:val="4E36606C"/>
    <w:rsid w:val="4E5CD7F1"/>
    <w:rsid w:val="4E700047"/>
    <w:rsid w:val="4E74FC22"/>
    <w:rsid w:val="4E853D1F"/>
    <w:rsid w:val="4E906247"/>
    <w:rsid w:val="4EB4B29B"/>
    <w:rsid w:val="4ED091AB"/>
    <w:rsid w:val="4F9EC73C"/>
    <w:rsid w:val="4FBC8D57"/>
    <w:rsid w:val="4FCB0591"/>
    <w:rsid w:val="4FE602E9"/>
    <w:rsid w:val="4FE93069"/>
    <w:rsid w:val="501A014F"/>
    <w:rsid w:val="50271994"/>
    <w:rsid w:val="5029D471"/>
    <w:rsid w:val="502D2521"/>
    <w:rsid w:val="5077C3E1"/>
    <w:rsid w:val="50A8F88E"/>
    <w:rsid w:val="50A9754B"/>
    <w:rsid w:val="50B26C9B"/>
    <w:rsid w:val="50B778BB"/>
    <w:rsid w:val="50E5105E"/>
    <w:rsid w:val="50E5473F"/>
    <w:rsid w:val="50F7616F"/>
    <w:rsid w:val="50FF998D"/>
    <w:rsid w:val="51006D32"/>
    <w:rsid w:val="5116D8CE"/>
    <w:rsid w:val="5143E81B"/>
    <w:rsid w:val="516AE838"/>
    <w:rsid w:val="5175513C"/>
    <w:rsid w:val="51B5D1D1"/>
    <w:rsid w:val="5209C779"/>
    <w:rsid w:val="52209431"/>
    <w:rsid w:val="52396B95"/>
    <w:rsid w:val="525A807D"/>
    <w:rsid w:val="526C52D0"/>
    <w:rsid w:val="527A8BEA"/>
    <w:rsid w:val="528117A0"/>
    <w:rsid w:val="52BEA41A"/>
    <w:rsid w:val="52CECA6D"/>
    <w:rsid w:val="532CCA7D"/>
    <w:rsid w:val="5385D084"/>
    <w:rsid w:val="5388E2D0"/>
    <w:rsid w:val="53D53BF6"/>
    <w:rsid w:val="53DCA089"/>
    <w:rsid w:val="541110E2"/>
    <w:rsid w:val="54465B86"/>
    <w:rsid w:val="54633142"/>
    <w:rsid w:val="5465CB0C"/>
    <w:rsid w:val="547FDCF1"/>
    <w:rsid w:val="5486CE87"/>
    <w:rsid w:val="54934641"/>
    <w:rsid w:val="54972F0F"/>
    <w:rsid w:val="54C6F9C6"/>
    <w:rsid w:val="54F1476F"/>
    <w:rsid w:val="54FFA3CB"/>
    <w:rsid w:val="550A3A24"/>
    <w:rsid w:val="551100A0"/>
    <w:rsid w:val="552D598C"/>
    <w:rsid w:val="557AD6B9"/>
    <w:rsid w:val="55C48012"/>
    <w:rsid w:val="55FF9854"/>
    <w:rsid w:val="564FE2B1"/>
    <w:rsid w:val="5660F023"/>
    <w:rsid w:val="5693D675"/>
    <w:rsid w:val="569F7847"/>
    <w:rsid w:val="56B09B1D"/>
    <w:rsid w:val="56BEA3CF"/>
    <w:rsid w:val="56CF0F00"/>
    <w:rsid w:val="56D5F99F"/>
    <w:rsid w:val="570A94A4"/>
    <w:rsid w:val="573B6750"/>
    <w:rsid w:val="575D2CC7"/>
    <w:rsid w:val="57780124"/>
    <w:rsid w:val="577B7889"/>
    <w:rsid w:val="57911634"/>
    <w:rsid w:val="57D66221"/>
    <w:rsid w:val="58215F18"/>
    <w:rsid w:val="5833B766"/>
    <w:rsid w:val="586640A6"/>
    <w:rsid w:val="5896E1BA"/>
    <w:rsid w:val="58E62DE0"/>
    <w:rsid w:val="594FB47B"/>
    <w:rsid w:val="59A0A4E3"/>
    <w:rsid w:val="59E1400F"/>
    <w:rsid w:val="5A420C37"/>
    <w:rsid w:val="5A6865A0"/>
    <w:rsid w:val="5A739C21"/>
    <w:rsid w:val="5AA16CDB"/>
    <w:rsid w:val="5AB51CCD"/>
    <w:rsid w:val="5ABAA19C"/>
    <w:rsid w:val="5B2D607F"/>
    <w:rsid w:val="5B81B093"/>
    <w:rsid w:val="5BA2BDED"/>
    <w:rsid w:val="5BB480E4"/>
    <w:rsid w:val="5BB50F7E"/>
    <w:rsid w:val="5BB8A144"/>
    <w:rsid w:val="5BD8505F"/>
    <w:rsid w:val="5C0162C3"/>
    <w:rsid w:val="5C0D50F8"/>
    <w:rsid w:val="5C42612C"/>
    <w:rsid w:val="5C5659D8"/>
    <w:rsid w:val="5C601164"/>
    <w:rsid w:val="5C7F2854"/>
    <w:rsid w:val="5CAC19CA"/>
    <w:rsid w:val="5CBB8F67"/>
    <w:rsid w:val="5CCCB4C5"/>
    <w:rsid w:val="5D35C235"/>
    <w:rsid w:val="5D3FB884"/>
    <w:rsid w:val="5D4CA07C"/>
    <w:rsid w:val="5D62D367"/>
    <w:rsid w:val="5D6D5F95"/>
    <w:rsid w:val="5D772E1B"/>
    <w:rsid w:val="5D856E4C"/>
    <w:rsid w:val="5DAD4F84"/>
    <w:rsid w:val="5DBE4AA1"/>
    <w:rsid w:val="5DD68D67"/>
    <w:rsid w:val="5E0ADE6F"/>
    <w:rsid w:val="5E0E46F3"/>
    <w:rsid w:val="5E156440"/>
    <w:rsid w:val="5E33634F"/>
    <w:rsid w:val="5E381500"/>
    <w:rsid w:val="5E9F6A3E"/>
    <w:rsid w:val="5EBC7DD4"/>
    <w:rsid w:val="5ED3A7D6"/>
    <w:rsid w:val="5F554A24"/>
    <w:rsid w:val="5F8CD807"/>
    <w:rsid w:val="5F97C60D"/>
    <w:rsid w:val="5FA48C98"/>
    <w:rsid w:val="5FAED1AF"/>
    <w:rsid w:val="5FDA3876"/>
    <w:rsid w:val="5FE4ED32"/>
    <w:rsid w:val="5FF4C789"/>
    <w:rsid w:val="5FFD71E0"/>
    <w:rsid w:val="60007FAF"/>
    <w:rsid w:val="60547F5F"/>
    <w:rsid w:val="60CC4D96"/>
    <w:rsid w:val="60E01183"/>
    <w:rsid w:val="60E6833F"/>
    <w:rsid w:val="60EE4A9D"/>
    <w:rsid w:val="61132C35"/>
    <w:rsid w:val="6118BBB8"/>
    <w:rsid w:val="611FC474"/>
    <w:rsid w:val="6170176E"/>
    <w:rsid w:val="61948184"/>
    <w:rsid w:val="61A5E53F"/>
    <w:rsid w:val="61E70148"/>
    <w:rsid w:val="61FF7924"/>
    <w:rsid w:val="620CC742"/>
    <w:rsid w:val="626CDE9B"/>
    <w:rsid w:val="62C646D5"/>
    <w:rsid w:val="62D2B160"/>
    <w:rsid w:val="62E446B5"/>
    <w:rsid w:val="62F33C17"/>
    <w:rsid w:val="62F632A7"/>
    <w:rsid w:val="6300136A"/>
    <w:rsid w:val="630485F4"/>
    <w:rsid w:val="630A64C7"/>
    <w:rsid w:val="63536DB7"/>
    <w:rsid w:val="63684928"/>
    <w:rsid w:val="6391F9E7"/>
    <w:rsid w:val="6392CC3F"/>
    <w:rsid w:val="63ABB403"/>
    <w:rsid w:val="63B64795"/>
    <w:rsid w:val="63D0A11C"/>
    <w:rsid w:val="6426169B"/>
    <w:rsid w:val="643D5356"/>
    <w:rsid w:val="644A95AA"/>
    <w:rsid w:val="6474B293"/>
    <w:rsid w:val="64871682"/>
    <w:rsid w:val="64BB9E80"/>
    <w:rsid w:val="64D19ADF"/>
    <w:rsid w:val="64F8EEFF"/>
    <w:rsid w:val="657C1B02"/>
    <w:rsid w:val="659422F2"/>
    <w:rsid w:val="65990D40"/>
    <w:rsid w:val="65C3DA9D"/>
    <w:rsid w:val="65C9D7B5"/>
    <w:rsid w:val="662DE01A"/>
    <w:rsid w:val="663CE6DF"/>
    <w:rsid w:val="66ADD112"/>
    <w:rsid w:val="66D0AEDF"/>
    <w:rsid w:val="673A6D48"/>
    <w:rsid w:val="675B59E0"/>
    <w:rsid w:val="6765A816"/>
    <w:rsid w:val="67A6B4C2"/>
    <w:rsid w:val="67C3F965"/>
    <w:rsid w:val="6856F635"/>
    <w:rsid w:val="686EBAA8"/>
    <w:rsid w:val="6876520B"/>
    <w:rsid w:val="687F824A"/>
    <w:rsid w:val="68A05CD8"/>
    <w:rsid w:val="68C5DF73"/>
    <w:rsid w:val="68D0E114"/>
    <w:rsid w:val="68F8A05F"/>
    <w:rsid w:val="690FE242"/>
    <w:rsid w:val="693A1541"/>
    <w:rsid w:val="6949553E"/>
    <w:rsid w:val="69501F60"/>
    <w:rsid w:val="6984BF45"/>
    <w:rsid w:val="699AA9E7"/>
    <w:rsid w:val="69D554BE"/>
    <w:rsid w:val="6A0E7C34"/>
    <w:rsid w:val="6A18FD75"/>
    <w:rsid w:val="6A633700"/>
    <w:rsid w:val="6A81491D"/>
    <w:rsid w:val="6A8FB88D"/>
    <w:rsid w:val="6AC57B09"/>
    <w:rsid w:val="6AC76244"/>
    <w:rsid w:val="6B16A828"/>
    <w:rsid w:val="6B246847"/>
    <w:rsid w:val="6B57F7AF"/>
    <w:rsid w:val="6B5F5299"/>
    <w:rsid w:val="6B7F4776"/>
    <w:rsid w:val="6B883FD2"/>
    <w:rsid w:val="6B961042"/>
    <w:rsid w:val="6BA65B6A"/>
    <w:rsid w:val="6BB0B06D"/>
    <w:rsid w:val="6BB40D2C"/>
    <w:rsid w:val="6BC81FFC"/>
    <w:rsid w:val="6C36152A"/>
    <w:rsid w:val="6C47A3ED"/>
    <w:rsid w:val="6C5B4E8C"/>
    <w:rsid w:val="6C6C94F1"/>
    <w:rsid w:val="6CB45CEF"/>
    <w:rsid w:val="6CCAD367"/>
    <w:rsid w:val="6CFFB0FD"/>
    <w:rsid w:val="6D18B846"/>
    <w:rsid w:val="6D48A53B"/>
    <w:rsid w:val="6D4A8AA9"/>
    <w:rsid w:val="6D4F87C4"/>
    <w:rsid w:val="6D5FE950"/>
    <w:rsid w:val="6D927C48"/>
    <w:rsid w:val="6DB4A55B"/>
    <w:rsid w:val="6DBD5E53"/>
    <w:rsid w:val="6DBD77BA"/>
    <w:rsid w:val="6DC68B89"/>
    <w:rsid w:val="6DE272A8"/>
    <w:rsid w:val="6DFF3CF7"/>
    <w:rsid w:val="6E2A9E63"/>
    <w:rsid w:val="6E8DD763"/>
    <w:rsid w:val="6EC3C348"/>
    <w:rsid w:val="6EE6AD30"/>
    <w:rsid w:val="6EE7658A"/>
    <w:rsid w:val="6EEC4154"/>
    <w:rsid w:val="6F15DD7F"/>
    <w:rsid w:val="6F64839B"/>
    <w:rsid w:val="6F86C552"/>
    <w:rsid w:val="6FB253A9"/>
    <w:rsid w:val="6FCC28C0"/>
    <w:rsid w:val="7029A7C4"/>
    <w:rsid w:val="702CC128"/>
    <w:rsid w:val="708B7447"/>
    <w:rsid w:val="70976391"/>
    <w:rsid w:val="70A147A5"/>
    <w:rsid w:val="70B18D47"/>
    <w:rsid w:val="70D6A852"/>
    <w:rsid w:val="70E0D400"/>
    <w:rsid w:val="71210A13"/>
    <w:rsid w:val="71527EFB"/>
    <w:rsid w:val="71A2A9A5"/>
    <w:rsid w:val="71C37462"/>
    <w:rsid w:val="71FC45CD"/>
    <w:rsid w:val="720A9B9E"/>
    <w:rsid w:val="7228D712"/>
    <w:rsid w:val="725A2DE4"/>
    <w:rsid w:val="725CA0D8"/>
    <w:rsid w:val="726800E3"/>
    <w:rsid w:val="728D784A"/>
    <w:rsid w:val="72B83B48"/>
    <w:rsid w:val="72C7F257"/>
    <w:rsid w:val="72DC0850"/>
    <w:rsid w:val="72F33AC5"/>
    <w:rsid w:val="72F920CF"/>
    <w:rsid w:val="7310072E"/>
    <w:rsid w:val="7328135F"/>
    <w:rsid w:val="7348E23B"/>
    <w:rsid w:val="734EBB1A"/>
    <w:rsid w:val="739C0D21"/>
    <w:rsid w:val="73B544BD"/>
    <w:rsid w:val="73B65C27"/>
    <w:rsid w:val="73B92F45"/>
    <w:rsid w:val="73CE85D3"/>
    <w:rsid w:val="73DD8564"/>
    <w:rsid w:val="73E42E22"/>
    <w:rsid w:val="73FFA0BF"/>
    <w:rsid w:val="740043EA"/>
    <w:rsid w:val="742A4F7C"/>
    <w:rsid w:val="742D8C3E"/>
    <w:rsid w:val="745F8EAE"/>
    <w:rsid w:val="746980C8"/>
    <w:rsid w:val="74BA5BD6"/>
    <w:rsid w:val="74DDED66"/>
    <w:rsid w:val="75100AC2"/>
    <w:rsid w:val="75349DD0"/>
    <w:rsid w:val="753DB60D"/>
    <w:rsid w:val="7540F1E7"/>
    <w:rsid w:val="754CA3DA"/>
    <w:rsid w:val="75501787"/>
    <w:rsid w:val="75605133"/>
    <w:rsid w:val="756F26D7"/>
    <w:rsid w:val="757A811F"/>
    <w:rsid w:val="7589141D"/>
    <w:rsid w:val="7591FAC3"/>
    <w:rsid w:val="75BE4EAB"/>
    <w:rsid w:val="75C94A9A"/>
    <w:rsid w:val="75CCE667"/>
    <w:rsid w:val="75D11F81"/>
    <w:rsid w:val="75DE8F98"/>
    <w:rsid w:val="75E93C8E"/>
    <w:rsid w:val="760DE344"/>
    <w:rsid w:val="7635F958"/>
    <w:rsid w:val="769D50DB"/>
    <w:rsid w:val="76C56318"/>
    <w:rsid w:val="76D38A43"/>
    <w:rsid w:val="76F0D007"/>
    <w:rsid w:val="76FB562C"/>
    <w:rsid w:val="7705130B"/>
    <w:rsid w:val="772A27E9"/>
    <w:rsid w:val="775ACF5A"/>
    <w:rsid w:val="77750207"/>
    <w:rsid w:val="777681E3"/>
    <w:rsid w:val="777EB231"/>
    <w:rsid w:val="77885F70"/>
    <w:rsid w:val="7790A84A"/>
    <w:rsid w:val="7792667C"/>
    <w:rsid w:val="77C131A1"/>
    <w:rsid w:val="77C71BCA"/>
    <w:rsid w:val="77D741B5"/>
    <w:rsid w:val="77D8A46C"/>
    <w:rsid w:val="781188BC"/>
    <w:rsid w:val="781BE84A"/>
    <w:rsid w:val="78242315"/>
    <w:rsid w:val="782E595A"/>
    <w:rsid w:val="78453DDD"/>
    <w:rsid w:val="788CA068"/>
    <w:rsid w:val="789A46D7"/>
    <w:rsid w:val="78ACCF31"/>
    <w:rsid w:val="78C1AD23"/>
    <w:rsid w:val="79013E1E"/>
    <w:rsid w:val="79624919"/>
    <w:rsid w:val="796C9E73"/>
    <w:rsid w:val="79A1D391"/>
    <w:rsid w:val="79D969FC"/>
    <w:rsid w:val="79D9EB9D"/>
    <w:rsid w:val="79DBA361"/>
    <w:rsid w:val="79E61D60"/>
    <w:rsid w:val="7A081D97"/>
    <w:rsid w:val="7A2D0DA7"/>
    <w:rsid w:val="7A3D3A75"/>
    <w:rsid w:val="7A728400"/>
    <w:rsid w:val="7A81D88C"/>
    <w:rsid w:val="7A90123C"/>
    <w:rsid w:val="7AB3AA05"/>
    <w:rsid w:val="7B1EC6C9"/>
    <w:rsid w:val="7B22E58D"/>
    <w:rsid w:val="7B3541A0"/>
    <w:rsid w:val="7B4AA461"/>
    <w:rsid w:val="7B6856FC"/>
    <w:rsid w:val="7B832364"/>
    <w:rsid w:val="7B88A650"/>
    <w:rsid w:val="7B8EB712"/>
    <w:rsid w:val="7BB1974E"/>
    <w:rsid w:val="7BD3BA5C"/>
    <w:rsid w:val="7BD6F8F3"/>
    <w:rsid w:val="7BE99152"/>
    <w:rsid w:val="7C25FA3A"/>
    <w:rsid w:val="7C5FD08B"/>
    <w:rsid w:val="7C676E24"/>
    <w:rsid w:val="7CAC0413"/>
    <w:rsid w:val="7CC008D3"/>
    <w:rsid w:val="7DADF2B6"/>
    <w:rsid w:val="7DCA3875"/>
    <w:rsid w:val="7DD1C4A7"/>
    <w:rsid w:val="7DF417BE"/>
    <w:rsid w:val="7DF41C7A"/>
    <w:rsid w:val="7E3D498F"/>
    <w:rsid w:val="7EA461FB"/>
    <w:rsid w:val="7EA51E3F"/>
    <w:rsid w:val="7ED089B1"/>
    <w:rsid w:val="7ED92BCE"/>
    <w:rsid w:val="7EE5A267"/>
    <w:rsid w:val="7EFFF721"/>
    <w:rsid w:val="7F049859"/>
    <w:rsid w:val="7F154FEF"/>
    <w:rsid w:val="7F2342E3"/>
    <w:rsid w:val="7F6A0D48"/>
    <w:rsid w:val="7F7C0B34"/>
    <w:rsid w:val="7F8EF0BC"/>
    <w:rsid w:val="7F97BE20"/>
    <w:rsid w:val="7FC305BC"/>
    <w:rsid w:val="7FCEBA8C"/>
    <w:rsid w:val="7FD0626D"/>
  </w:rsids>
  <m:mathPr>
    <m:mathFont m:val="Cambria Math"/>
    <m:brkBin m:val="before"/>
    <m:brkBinSub m:val="--"/>
    <m:smallFrac m:val="0"/>
    <m:dispDef/>
    <m:lMargin m:val="0"/>
    <m:rMargin m:val="0"/>
    <m:defJc m:val="centerGroup"/>
    <m:wrapIndent m:val="1440"/>
    <m:intLim m:val="subSup"/>
    <m:naryLim m:val="undOvr"/>
  </m:mathPr>
  <w:themeFontLang w:val="es-C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39C07"/>
  <w15:chartTrackingRefBased/>
  <w15:docId w15:val="{A1762963-EFEE-40E2-835C-24068CEB2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Cuerpo en alfa"/>
        <w:color w:val="EDA8CA"/>
        <w:lang w:val="es-C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283E"/>
    <w:rPr>
      <w:rFonts w:eastAsiaTheme="minorEastAsia" w:cstheme="minorBidi"/>
      <w:color w:val="auto"/>
      <w:sz w:val="22"/>
      <w:szCs w:val="22"/>
      <w:lang w:eastAsia="es-ES"/>
    </w:rPr>
  </w:style>
  <w:style w:type="paragraph" w:styleId="Ttulo1">
    <w:name w:val="heading 1"/>
    <w:basedOn w:val="Normal"/>
    <w:next w:val="Normal"/>
    <w:link w:val="Ttulo1Car"/>
    <w:uiPriority w:val="9"/>
    <w:qFormat/>
    <w:rsid w:val="4259FC2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4259FC2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4259FC2D"/>
    <w:pPr>
      <w:keepNext/>
      <w:keepLines/>
      <w:spacing w:before="40"/>
      <w:outlineLvl w:val="2"/>
    </w:pPr>
    <w:rPr>
      <w:rFonts w:asciiTheme="majorHAnsi" w:eastAsiaTheme="majorEastAsia" w:hAnsiTheme="majorHAnsi" w:cstheme="majorBidi"/>
      <w:color w:val="1F3763"/>
      <w:sz w:val="24"/>
      <w:szCs w:val="24"/>
    </w:rPr>
  </w:style>
  <w:style w:type="paragraph" w:styleId="Ttulo4">
    <w:name w:val="heading 4"/>
    <w:basedOn w:val="Normal"/>
    <w:next w:val="Normal"/>
    <w:link w:val="Ttulo4Car"/>
    <w:uiPriority w:val="9"/>
    <w:unhideWhenUsed/>
    <w:qFormat/>
    <w:rsid w:val="4259FC2D"/>
    <w:pPr>
      <w:keepNext/>
      <w:keepLines/>
      <w:spacing w:before="4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unhideWhenUsed/>
    <w:qFormat/>
    <w:rsid w:val="4259FC2D"/>
    <w:pPr>
      <w:keepNext/>
      <w:keepLines/>
      <w:spacing w:before="4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unhideWhenUsed/>
    <w:qFormat/>
    <w:rsid w:val="4259FC2D"/>
    <w:pPr>
      <w:keepNext/>
      <w:keepLines/>
      <w:spacing w:before="40"/>
      <w:outlineLvl w:val="5"/>
    </w:pPr>
    <w:rPr>
      <w:rFonts w:asciiTheme="majorHAnsi" w:eastAsiaTheme="majorEastAsia" w:hAnsiTheme="majorHAnsi" w:cstheme="majorBidi"/>
      <w:color w:val="1F3763"/>
    </w:rPr>
  </w:style>
  <w:style w:type="paragraph" w:styleId="Ttulo7">
    <w:name w:val="heading 7"/>
    <w:basedOn w:val="Normal"/>
    <w:next w:val="Normal"/>
    <w:link w:val="Ttulo7Car"/>
    <w:uiPriority w:val="9"/>
    <w:unhideWhenUsed/>
    <w:qFormat/>
    <w:rsid w:val="4259FC2D"/>
    <w:pPr>
      <w:keepNext/>
      <w:keepLines/>
      <w:spacing w:before="40"/>
      <w:outlineLvl w:val="6"/>
    </w:pPr>
    <w:rPr>
      <w:rFonts w:asciiTheme="majorHAnsi" w:eastAsiaTheme="majorEastAsia" w:hAnsiTheme="majorHAnsi" w:cstheme="majorBidi"/>
      <w:i/>
      <w:iCs/>
      <w:color w:val="1F3763"/>
    </w:rPr>
  </w:style>
  <w:style w:type="paragraph" w:styleId="Ttulo8">
    <w:name w:val="heading 8"/>
    <w:basedOn w:val="Normal"/>
    <w:next w:val="Normal"/>
    <w:link w:val="Ttulo8Car"/>
    <w:uiPriority w:val="9"/>
    <w:unhideWhenUsed/>
    <w:qFormat/>
    <w:rsid w:val="4259FC2D"/>
    <w:pPr>
      <w:keepNext/>
      <w:keepLines/>
      <w:spacing w:before="40"/>
      <w:outlineLvl w:val="7"/>
    </w:pPr>
    <w:rPr>
      <w:rFonts w:asciiTheme="majorHAnsi" w:eastAsiaTheme="majorEastAsia" w:hAnsiTheme="majorHAnsi" w:cstheme="majorBidi"/>
      <w:color w:val="272727"/>
      <w:sz w:val="21"/>
      <w:szCs w:val="21"/>
    </w:rPr>
  </w:style>
  <w:style w:type="paragraph" w:styleId="Ttulo9">
    <w:name w:val="heading 9"/>
    <w:basedOn w:val="Normal"/>
    <w:next w:val="Normal"/>
    <w:link w:val="Ttulo9Car"/>
    <w:uiPriority w:val="9"/>
    <w:unhideWhenUsed/>
    <w:qFormat/>
    <w:rsid w:val="4259FC2D"/>
    <w:pPr>
      <w:keepNext/>
      <w:keepLines/>
      <w:spacing w:before="40"/>
      <w:outlineLvl w:val="8"/>
    </w:pPr>
    <w:rPr>
      <w:rFonts w:asciiTheme="majorHAnsi" w:eastAsiaTheme="majorEastAsia" w:hAnsiTheme="majorHAnsi" w:cstheme="majorBidi"/>
      <w:i/>
      <w:iCs/>
      <w:color w:val="272727"/>
      <w:sz w:val="21"/>
      <w:szCs w:val="21"/>
    </w:rPr>
  </w:style>
  <w:style w:type="character" w:default="1" w:styleId="Fuentedeprrafopredeter">
    <w:name w:val="Default Paragraph Font"/>
    <w:uiPriority w:val="1"/>
    <w:semiHidden/>
    <w:unhideWhenUsed/>
    <w:rsid w:val="003A283E"/>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rsid w:val="003A283E"/>
  </w:style>
  <w:style w:type="paragraph" w:styleId="Encabezado">
    <w:name w:val="header"/>
    <w:basedOn w:val="Normal"/>
    <w:link w:val="EncabezadoCar"/>
    <w:uiPriority w:val="99"/>
    <w:unhideWhenUsed/>
    <w:rsid w:val="4259FC2D"/>
    <w:pPr>
      <w:tabs>
        <w:tab w:val="center" w:pos="4419"/>
        <w:tab w:val="right" w:pos="8838"/>
      </w:tabs>
    </w:pPr>
  </w:style>
  <w:style w:type="character" w:customStyle="1" w:styleId="EncabezadoCar">
    <w:name w:val="Encabezado Car"/>
    <w:basedOn w:val="Fuentedeprrafopredeter"/>
    <w:link w:val="Encabezado"/>
    <w:uiPriority w:val="99"/>
    <w:rsid w:val="4259FC2D"/>
    <w:rPr>
      <w:noProof w:val="0"/>
      <w:lang w:val="es-CL"/>
    </w:rPr>
  </w:style>
  <w:style w:type="character" w:styleId="Nmerodepgina">
    <w:name w:val="page number"/>
    <w:basedOn w:val="Fuentedeprrafopredeter"/>
    <w:uiPriority w:val="99"/>
    <w:semiHidden/>
    <w:unhideWhenUsed/>
    <w:rsid w:val="00647ECC"/>
  </w:style>
  <w:style w:type="paragraph" w:styleId="Textocomentario">
    <w:name w:val="annotation text"/>
    <w:basedOn w:val="Normal"/>
    <w:link w:val="TextocomentarioCar"/>
    <w:uiPriority w:val="99"/>
    <w:unhideWhenUsed/>
    <w:rsid w:val="4259FC2D"/>
  </w:style>
  <w:style w:type="character" w:customStyle="1" w:styleId="TextocomentarioCar">
    <w:name w:val="Texto comentario Car"/>
    <w:basedOn w:val="Fuentedeprrafopredeter"/>
    <w:link w:val="Textocomentario"/>
    <w:uiPriority w:val="99"/>
    <w:rsid w:val="4259FC2D"/>
    <w:rPr>
      <w:noProof w:val="0"/>
      <w:lang w:val="es-CL"/>
    </w:rPr>
  </w:style>
  <w:style w:type="character" w:styleId="Refdecomentario">
    <w:name w:val="annotation reference"/>
    <w:basedOn w:val="Fuentedeprrafopredeter"/>
    <w:uiPriority w:val="99"/>
    <w:semiHidden/>
    <w:unhideWhenUsed/>
    <w:rsid w:val="00156C88"/>
    <w:rPr>
      <w:color w:val="000000" w:themeColor="text1"/>
      <w:sz w:val="16"/>
      <w:szCs w:val="16"/>
    </w:rPr>
  </w:style>
  <w:style w:type="paragraph" w:styleId="Revisin">
    <w:name w:val="Revision"/>
    <w:hidden/>
    <w:uiPriority w:val="99"/>
    <w:semiHidden/>
    <w:rsid w:val="00FB5F4F"/>
    <w:rPr>
      <w:color w:val="000000" w:themeColor="text1"/>
    </w:rPr>
  </w:style>
  <w:style w:type="table" w:styleId="Tablaconcuadrcula">
    <w:name w:val="Table Grid"/>
    <w:basedOn w:val="Tablanormal"/>
    <w:uiPriority w:val="39"/>
    <w:rsid w:val="00457D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4259FC2D"/>
    <w:rPr>
      <w:b/>
      <w:bCs/>
    </w:rPr>
  </w:style>
  <w:style w:type="character" w:customStyle="1" w:styleId="AsuntodelcomentarioCar">
    <w:name w:val="Asunto del comentario Car"/>
    <w:basedOn w:val="TextocomentarioCar"/>
    <w:link w:val="Asuntodelcomentario"/>
    <w:uiPriority w:val="99"/>
    <w:semiHidden/>
    <w:rsid w:val="4259FC2D"/>
    <w:rPr>
      <w:b/>
      <w:bCs/>
      <w:noProof w:val="0"/>
      <w:color w:val="000000" w:themeColor="text1"/>
      <w:lang w:val="es-CL"/>
    </w:rPr>
  </w:style>
  <w:style w:type="paragraph" w:styleId="Piedepgina">
    <w:name w:val="footer"/>
    <w:basedOn w:val="Normal"/>
    <w:link w:val="PiedepginaCar"/>
    <w:uiPriority w:val="99"/>
    <w:unhideWhenUsed/>
    <w:rsid w:val="4259FC2D"/>
    <w:pPr>
      <w:tabs>
        <w:tab w:val="center" w:pos="4419"/>
        <w:tab w:val="right" w:pos="8838"/>
      </w:tabs>
    </w:pPr>
  </w:style>
  <w:style w:type="character" w:customStyle="1" w:styleId="PiedepginaCar">
    <w:name w:val="Pie de página Car"/>
    <w:basedOn w:val="Fuentedeprrafopredeter"/>
    <w:link w:val="Piedepgina"/>
    <w:uiPriority w:val="99"/>
    <w:rsid w:val="4259FC2D"/>
    <w:rPr>
      <w:noProof w:val="0"/>
      <w:color w:val="000000" w:themeColor="text1"/>
      <w:lang w:val="es-CL"/>
    </w:rPr>
  </w:style>
  <w:style w:type="paragraph" w:styleId="Textodeglobo">
    <w:name w:val="Balloon Text"/>
    <w:basedOn w:val="Normal"/>
    <w:link w:val="TextodegloboCar"/>
    <w:uiPriority w:val="99"/>
    <w:semiHidden/>
    <w:unhideWhenUsed/>
    <w:rsid w:val="4259FC2D"/>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4259FC2D"/>
    <w:rPr>
      <w:rFonts w:ascii="Segoe UI" w:eastAsiaTheme="minorEastAsia" w:hAnsi="Segoe UI" w:cs="Segoe UI"/>
      <w:noProof w:val="0"/>
      <w:color w:val="auto"/>
      <w:sz w:val="18"/>
      <w:szCs w:val="18"/>
      <w:lang w:val="es-CL"/>
    </w:rPr>
  </w:style>
  <w:style w:type="character" w:styleId="Hipervnculo">
    <w:name w:val="Hyperlink"/>
    <w:basedOn w:val="Fuentedeprrafopredeter"/>
    <w:uiPriority w:val="99"/>
    <w:unhideWhenUsed/>
    <w:rsid w:val="00716A31"/>
    <w:rPr>
      <w:color w:val="0563C1" w:themeColor="hyperlink"/>
      <w:u w:val="single"/>
    </w:rPr>
  </w:style>
  <w:style w:type="character" w:styleId="Mencinsinresolver">
    <w:name w:val="Unresolved Mention"/>
    <w:basedOn w:val="Fuentedeprrafopredeter"/>
    <w:uiPriority w:val="99"/>
    <w:semiHidden/>
    <w:unhideWhenUsed/>
    <w:rsid w:val="00716A31"/>
    <w:rPr>
      <w:color w:val="605E5C"/>
      <w:shd w:val="clear" w:color="auto" w:fill="E1DFDD"/>
    </w:rPr>
  </w:style>
  <w:style w:type="character" w:styleId="Hipervnculovisitado">
    <w:name w:val="FollowedHyperlink"/>
    <w:basedOn w:val="Fuentedeprrafopredeter"/>
    <w:uiPriority w:val="99"/>
    <w:semiHidden/>
    <w:unhideWhenUsed/>
    <w:rsid w:val="00B73574"/>
    <w:rPr>
      <w:color w:val="954F72" w:themeColor="followedHyperlink"/>
      <w:u w:val="single"/>
    </w:rPr>
  </w:style>
  <w:style w:type="paragraph" w:styleId="Ttulo">
    <w:name w:val="Title"/>
    <w:basedOn w:val="Normal"/>
    <w:next w:val="Normal"/>
    <w:link w:val="TtuloCar"/>
    <w:uiPriority w:val="10"/>
    <w:qFormat/>
    <w:rsid w:val="4259FC2D"/>
    <w:pPr>
      <w:contextualSpacing/>
    </w:pPr>
    <w:rPr>
      <w:rFonts w:asciiTheme="majorHAnsi" w:eastAsiaTheme="majorEastAsia" w:hAnsiTheme="majorHAnsi" w:cstheme="majorBidi"/>
      <w:sz w:val="56"/>
      <w:szCs w:val="56"/>
    </w:rPr>
  </w:style>
  <w:style w:type="paragraph" w:styleId="Subttulo">
    <w:name w:val="Subtitle"/>
    <w:basedOn w:val="Normal"/>
    <w:next w:val="Normal"/>
    <w:link w:val="SubttuloCar"/>
    <w:uiPriority w:val="11"/>
    <w:qFormat/>
    <w:rsid w:val="4259FC2D"/>
    <w:rPr>
      <w:color w:val="5A5A5A"/>
    </w:rPr>
  </w:style>
  <w:style w:type="paragraph" w:styleId="Cita">
    <w:name w:val="Quote"/>
    <w:basedOn w:val="Normal"/>
    <w:next w:val="Normal"/>
    <w:link w:val="CitaCar"/>
    <w:uiPriority w:val="29"/>
    <w:qFormat/>
    <w:rsid w:val="4259FC2D"/>
    <w:pPr>
      <w:spacing w:before="200"/>
      <w:ind w:left="864" w:right="864"/>
      <w:jc w:val="center"/>
    </w:pPr>
    <w:rPr>
      <w:i/>
      <w:iCs/>
      <w:color w:val="404040" w:themeColor="text1" w:themeTint="BF"/>
    </w:rPr>
  </w:style>
  <w:style w:type="paragraph" w:styleId="Citadestacada">
    <w:name w:val="Intense Quote"/>
    <w:basedOn w:val="Normal"/>
    <w:next w:val="Normal"/>
    <w:link w:val="CitadestacadaCar"/>
    <w:uiPriority w:val="30"/>
    <w:qFormat/>
    <w:rsid w:val="4259FC2D"/>
    <w:pPr>
      <w:spacing w:before="360" w:after="360"/>
      <w:ind w:left="864" w:right="864"/>
      <w:jc w:val="center"/>
    </w:pPr>
    <w:rPr>
      <w:i/>
      <w:iCs/>
      <w:color w:val="4472C4" w:themeColor="accent1"/>
    </w:rPr>
  </w:style>
  <w:style w:type="paragraph" w:styleId="Prrafodelista">
    <w:name w:val="List Paragraph"/>
    <w:basedOn w:val="Normal"/>
    <w:uiPriority w:val="34"/>
    <w:qFormat/>
    <w:rsid w:val="4259FC2D"/>
    <w:pPr>
      <w:ind w:left="720"/>
      <w:contextualSpacing/>
    </w:pPr>
  </w:style>
  <w:style w:type="character" w:customStyle="1" w:styleId="Ttulo1Car">
    <w:name w:val="Título 1 Car"/>
    <w:basedOn w:val="Fuentedeprrafopredeter"/>
    <w:link w:val="Ttulo1"/>
    <w:uiPriority w:val="9"/>
    <w:rsid w:val="4259FC2D"/>
    <w:rPr>
      <w:rFonts w:asciiTheme="majorHAnsi" w:eastAsiaTheme="majorEastAsia" w:hAnsiTheme="majorHAnsi" w:cstheme="majorBidi"/>
      <w:noProof w:val="0"/>
      <w:color w:val="2F5496" w:themeColor="accent1" w:themeShade="BF"/>
      <w:sz w:val="32"/>
      <w:szCs w:val="32"/>
      <w:lang w:val="es-CL"/>
    </w:rPr>
  </w:style>
  <w:style w:type="character" w:customStyle="1" w:styleId="Ttulo2Car">
    <w:name w:val="Título 2 Car"/>
    <w:basedOn w:val="Fuentedeprrafopredeter"/>
    <w:link w:val="Ttulo2"/>
    <w:uiPriority w:val="9"/>
    <w:rsid w:val="4259FC2D"/>
    <w:rPr>
      <w:rFonts w:asciiTheme="majorHAnsi" w:eastAsiaTheme="majorEastAsia" w:hAnsiTheme="majorHAnsi" w:cstheme="majorBidi"/>
      <w:noProof w:val="0"/>
      <w:color w:val="2F5496" w:themeColor="accent1" w:themeShade="BF"/>
      <w:sz w:val="26"/>
      <w:szCs w:val="26"/>
      <w:lang w:val="es-CL"/>
    </w:rPr>
  </w:style>
  <w:style w:type="character" w:customStyle="1" w:styleId="Ttulo3Car">
    <w:name w:val="Título 3 Car"/>
    <w:basedOn w:val="Fuentedeprrafopredeter"/>
    <w:link w:val="Ttulo3"/>
    <w:uiPriority w:val="9"/>
    <w:rsid w:val="4259FC2D"/>
    <w:rPr>
      <w:rFonts w:asciiTheme="majorHAnsi" w:eastAsiaTheme="majorEastAsia" w:hAnsiTheme="majorHAnsi" w:cstheme="majorBidi"/>
      <w:noProof w:val="0"/>
      <w:color w:val="1F3763"/>
      <w:sz w:val="24"/>
      <w:szCs w:val="24"/>
      <w:lang w:val="es-CL"/>
    </w:rPr>
  </w:style>
  <w:style w:type="character" w:customStyle="1" w:styleId="Ttulo4Car">
    <w:name w:val="Título 4 Car"/>
    <w:basedOn w:val="Fuentedeprrafopredeter"/>
    <w:link w:val="Ttulo4"/>
    <w:uiPriority w:val="9"/>
    <w:rsid w:val="4259FC2D"/>
    <w:rPr>
      <w:rFonts w:asciiTheme="majorHAnsi" w:eastAsiaTheme="majorEastAsia" w:hAnsiTheme="majorHAnsi" w:cstheme="majorBidi"/>
      <w:i/>
      <w:iCs/>
      <w:noProof w:val="0"/>
      <w:color w:val="2F5496" w:themeColor="accent1" w:themeShade="BF"/>
      <w:lang w:val="es-CL"/>
    </w:rPr>
  </w:style>
  <w:style w:type="character" w:customStyle="1" w:styleId="Ttulo5Car">
    <w:name w:val="Título 5 Car"/>
    <w:basedOn w:val="Fuentedeprrafopredeter"/>
    <w:link w:val="Ttulo5"/>
    <w:uiPriority w:val="9"/>
    <w:rsid w:val="4259FC2D"/>
    <w:rPr>
      <w:rFonts w:asciiTheme="majorHAnsi" w:eastAsiaTheme="majorEastAsia" w:hAnsiTheme="majorHAnsi" w:cstheme="majorBidi"/>
      <w:noProof w:val="0"/>
      <w:color w:val="2F5496" w:themeColor="accent1" w:themeShade="BF"/>
      <w:lang w:val="es-CL"/>
    </w:rPr>
  </w:style>
  <w:style w:type="character" w:customStyle="1" w:styleId="Ttulo6Car">
    <w:name w:val="Título 6 Car"/>
    <w:basedOn w:val="Fuentedeprrafopredeter"/>
    <w:link w:val="Ttulo6"/>
    <w:uiPriority w:val="9"/>
    <w:rsid w:val="4259FC2D"/>
    <w:rPr>
      <w:rFonts w:asciiTheme="majorHAnsi" w:eastAsiaTheme="majorEastAsia" w:hAnsiTheme="majorHAnsi" w:cstheme="majorBidi"/>
      <w:noProof w:val="0"/>
      <w:color w:val="1F3763"/>
      <w:lang w:val="es-CL"/>
    </w:rPr>
  </w:style>
  <w:style w:type="character" w:customStyle="1" w:styleId="Ttulo7Car">
    <w:name w:val="Título 7 Car"/>
    <w:basedOn w:val="Fuentedeprrafopredeter"/>
    <w:link w:val="Ttulo7"/>
    <w:uiPriority w:val="9"/>
    <w:rsid w:val="4259FC2D"/>
    <w:rPr>
      <w:rFonts w:asciiTheme="majorHAnsi" w:eastAsiaTheme="majorEastAsia" w:hAnsiTheme="majorHAnsi" w:cstheme="majorBidi"/>
      <w:i/>
      <w:iCs/>
      <w:noProof w:val="0"/>
      <w:color w:val="1F3763"/>
      <w:lang w:val="es-CL"/>
    </w:rPr>
  </w:style>
  <w:style w:type="character" w:customStyle="1" w:styleId="Ttulo8Car">
    <w:name w:val="Título 8 Car"/>
    <w:basedOn w:val="Fuentedeprrafopredeter"/>
    <w:link w:val="Ttulo8"/>
    <w:uiPriority w:val="9"/>
    <w:rsid w:val="4259FC2D"/>
    <w:rPr>
      <w:rFonts w:asciiTheme="majorHAnsi" w:eastAsiaTheme="majorEastAsia" w:hAnsiTheme="majorHAnsi" w:cstheme="majorBidi"/>
      <w:noProof w:val="0"/>
      <w:color w:val="272727"/>
      <w:sz w:val="21"/>
      <w:szCs w:val="21"/>
      <w:lang w:val="es-CL"/>
    </w:rPr>
  </w:style>
  <w:style w:type="character" w:customStyle="1" w:styleId="Ttulo9Car">
    <w:name w:val="Título 9 Car"/>
    <w:basedOn w:val="Fuentedeprrafopredeter"/>
    <w:link w:val="Ttulo9"/>
    <w:uiPriority w:val="9"/>
    <w:rsid w:val="4259FC2D"/>
    <w:rPr>
      <w:rFonts w:asciiTheme="majorHAnsi" w:eastAsiaTheme="majorEastAsia" w:hAnsiTheme="majorHAnsi" w:cstheme="majorBidi"/>
      <w:i/>
      <w:iCs/>
      <w:noProof w:val="0"/>
      <w:color w:val="272727"/>
      <w:sz w:val="21"/>
      <w:szCs w:val="21"/>
      <w:lang w:val="es-CL"/>
    </w:rPr>
  </w:style>
  <w:style w:type="character" w:customStyle="1" w:styleId="TtuloCar">
    <w:name w:val="Título Car"/>
    <w:basedOn w:val="Fuentedeprrafopredeter"/>
    <w:link w:val="Ttulo"/>
    <w:uiPriority w:val="10"/>
    <w:rsid w:val="4259FC2D"/>
    <w:rPr>
      <w:rFonts w:asciiTheme="majorHAnsi" w:eastAsiaTheme="majorEastAsia" w:hAnsiTheme="majorHAnsi" w:cstheme="majorBidi"/>
      <w:noProof w:val="0"/>
      <w:sz w:val="56"/>
      <w:szCs w:val="56"/>
      <w:lang w:val="es-CL"/>
    </w:rPr>
  </w:style>
  <w:style w:type="character" w:customStyle="1" w:styleId="SubttuloCar">
    <w:name w:val="Subtítulo Car"/>
    <w:basedOn w:val="Fuentedeprrafopredeter"/>
    <w:link w:val="Subttulo"/>
    <w:uiPriority w:val="11"/>
    <w:rsid w:val="4259FC2D"/>
    <w:rPr>
      <w:rFonts w:asciiTheme="minorHAnsi" w:eastAsiaTheme="minorEastAsia" w:hAnsiTheme="minorHAnsi" w:cs="Times New Roman (Cuerpo en alfa"/>
      <w:noProof w:val="0"/>
      <w:color w:val="5A5A5A"/>
      <w:lang w:val="es-CL"/>
    </w:rPr>
  </w:style>
  <w:style w:type="character" w:customStyle="1" w:styleId="CitaCar">
    <w:name w:val="Cita Car"/>
    <w:basedOn w:val="Fuentedeprrafopredeter"/>
    <w:link w:val="Cita"/>
    <w:uiPriority w:val="29"/>
    <w:rsid w:val="4259FC2D"/>
    <w:rPr>
      <w:i/>
      <w:iCs/>
      <w:noProof w:val="0"/>
      <w:color w:val="404040" w:themeColor="text1" w:themeTint="BF"/>
      <w:lang w:val="es-CL"/>
    </w:rPr>
  </w:style>
  <w:style w:type="character" w:customStyle="1" w:styleId="CitadestacadaCar">
    <w:name w:val="Cita destacada Car"/>
    <w:basedOn w:val="Fuentedeprrafopredeter"/>
    <w:link w:val="Citadestacada"/>
    <w:uiPriority w:val="30"/>
    <w:rsid w:val="4259FC2D"/>
    <w:rPr>
      <w:i/>
      <w:iCs/>
      <w:noProof w:val="0"/>
      <w:color w:val="4472C4" w:themeColor="accent1"/>
      <w:lang w:val="es-CL"/>
    </w:rPr>
  </w:style>
  <w:style w:type="paragraph" w:styleId="TDC1">
    <w:name w:val="toc 1"/>
    <w:basedOn w:val="Normal"/>
    <w:next w:val="Normal"/>
    <w:uiPriority w:val="39"/>
    <w:unhideWhenUsed/>
    <w:rsid w:val="4259FC2D"/>
    <w:pPr>
      <w:spacing w:after="100"/>
    </w:pPr>
  </w:style>
  <w:style w:type="paragraph" w:styleId="TDC2">
    <w:name w:val="toc 2"/>
    <w:basedOn w:val="Normal"/>
    <w:next w:val="Normal"/>
    <w:uiPriority w:val="39"/>
    <w:unhideWhenUsed/>
    <w:rsid w:val="4259FC2D"/>
    <w:pPr>
      <w:spacing w:after="100"/>
      <w:ind w:left="220"/>
    </w:pPr>
  </w:style>
  <w:style w:type="paragraph" w:styleId="TDC3">
    <w:name w:val="toc 3"/>
    <w:basedOn w:val="Normal"/>
    <w:next w:val="Normal"/>
    <w:uiPriority w:val="39"/>
    <w:unhideWhenUsed/>
    <w:rsid w:val="4259FC2D"/>
    <w:pPr>
      <w:spacing w:after="100"/>
      <w:ind w:left="440"/>
    </w:pPr>
  </w:style>
  <w:style w:type="paragraph" w:styleId="TDC4">
    <w:name w:val="toc 4"/>
    <w:basedOn w:val="Normal"/>
    <w:next w:val="Normal"/>
    <w:uiPriority w:val="39"/>
    <w:unhideWhenUsed/>
    <w:rsid w:val="4259FC2D"/>
    <w:pPr>
      <w:spacing w:after="100"/>
      <w:ind w:left="660"/>
    </w:pPr>
  </w:style>
  <w:style w:type="paragraph" w:styleId="TDC5">
    <w:name w:val="toc 5"/>
    <w:basedOn w:val="Normal"/>
    <w:next w:val="Normal"/>
    <w:uiPriority w:val="39"/>
    <w:unhideWhenUsed/>
    <w:rsid w:val="4259FC2D"/>
    <w:pPr>
      <w:spacing w:after="100"/>
      <w:ind w:left="880"/>
    </w:pPr>
  </w:style>
  <w:style w:type="paragraph" w:styleId="TDC6">
    <w:name w:val="toc 6"/>
    <w:basedOn w:val="Normal"/>
    <w:next w:val="Normal"/>
    <w:uiPriority w:val="39"/>
    <w:unhideWhenUsed/>
    <w:rsid w:val="4259FC2D"/>
    <w:pPr>
      <w:spacing w:after="100"/>
      <w:ind w:left="1100"/>
    </w:pPr>
  </w:style>
  <w:style w:type="paragraph" w:styleId="TDC7">
    <w:name w:val="toc 7"/>
    <w:basedOn w:val="Normal"/>
    <w:next w:val="Normal"/>
    <w:uiPriority w:val="39"/>
    <w:unhideWhenUsed/>
    <w:rsid w:val="4259FC2D"/>
    <w:pPr>
      <w:spacing w:after="100"/>
      <w:ind w:left="1320"/>
    </w:pPr>
  </w:style>
  <w:style w:type="paragraph" w:styleId="TDC8">
    <w:name w:val="toc 8"/>
    <w:basedOn w:val="Normal"/>
    <w:next w:val="Normal"/>
    <w:uiPriority w:val="39"/>
    <w:unhideWhenUsed/>
    <w:rsid w:val="4259FC2D"/>
    <w:pPr>
      <w:spacing w:after="100"/>
      <w:ind w:left="1540"/>
    </w:pPr>
  </w:style>
  <w:style w:type="paragraph" w:styleId="TDC9">
    <w:name w:val="toc 9"/>
    <w:basedOn w:val="Normal"/>
    <w:next w:val="Normal"/>
    <w:uiPriority w:val="39"/>
    <w:unhideWhenUsed/>
    <w:rsid w:val="4259FC2D"/>
    <w:pPr>
      <w:spacing w:after="100"/>
      <w:ind w:left="1760"/>
    </w:pPr>
  </w:style>
  <w:style w:type="paragraph" w:styleId="Textonotaalfinal">
    <w:name w:val="endnote text"/>
    <w:basedOn w:val="Normal"/>
    <w:link w:val="TextonotaalfinalCar"/>
    <w:uiPriority w:val="99"/>
    <w:semiHidden/>
    <w:unhideWhenUsed/>
    <w:rsid w:val="4259FC2D"/>
  </w:style>
  <w:style w:type="character" w:customStyle="1" w:styleId="TextonotaalfinalCar">
    <w:name w:val="Texto nota al final Car"/>
    <w:basedOn w:val="Fuentedeprrafopredeter"/>
    <w:link w:val="Textonotaalfinal"/>
    <w:uiPriority w:val="99"/>
    <w:semiHidden/>
    <w:rsid w:val="4259FC2D"/>
    <w:rPr>
      <w:noProof w:val="0"/>
      <w:sz w:val="20"/>
      <w:szCs w:val="20"/>
      <w:lang w:val="es-CL"/>
    </w:rPr>
  </w:style>
  <w:style w:type="paragraph" w:styleId="Textonotapie">
    <w:name w:val="footnote text"/>
    <w:basedOn w:val="Normal"/>
    <w:link w:val="TextonotapieCar"/>
    <w:uiPriority w:val="99"/>
    <w:semiHidden/>
    <w:unhideWhenUsed/>
    <w:rsid w:val="4259FC2D"/>
  </w:style>
  <w:style w:type="character" w:customStyle="1" w:styleId="TextonotapieCar">
    <w:name w:val="Texto nota pie Car"/>
    <w:basedOn w:val="Fuentedeprrafopredeter"/>
    <w:link w:val="Textonotapie"/>
    <w:uiPriority w:val="99"/>
    <w:semiHidden/>
    <w:rsid w:val="4259FC2D"/>
    <w:rPr>
      <w:noProof w:val="0"/>
      <w:sz w:val="20"/>
      <w:szCs w:val="20"/>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514409">
      <w:bodyDiv w:val="1"/>
      <w:marLeft w:val="0"/>
      <w:marRight w:val="0"/>
      <w:marTop w:val="0"/>
      <w:marBottom w:val="0"/>
      <w:divBdr>
        <w:top w:val="none" w:sz="0" w:space="0" w:color="auto"/>
        <w:left w:val="none" w:sz="0" w:space="0" w:color="auto"/>
        <w:bottom w:val="none" w:sz="0" w:space="0" w:color="auto"/>
        <w:right w:val="none" w:sz="0" w:space="0" w:color="auto"/>
      </w:divBdr>
    </w:div>
    <w:div w:id="568077345">
      <w:bodyDiv w:val="1"/>
      <w:marLeft w:val="0"/>
      <w:marRight w:val="0"/>
      <w:marTop w:val="0"/>
      <w:marBottom w:val="0"/>
      <w:divBdr>
        <w:top w:val="none" w:sz="0" w:space="0" w:color="auto"/>
        <w:left w:val="none" w:sz="0" w:space="0" w:color="auto"/>
        <w:bottom w:val="none" w:sz="0" w:space="0" w:color="auto"/>
        <w:right w:val="none" w:sz="0" w:space="0" w:color="auto"/>
      </w:divBdr>
    </w:div>
    <w:div w:id="660238310">
      <w:bodyDiv w:val="1"/>
      <w:marLeft w:val="0"/>
      <w:marRight w:val="0"/>
      <w:marTop w:val="0"/>
      <w:marBottom w:val="0"/>
      <w:divBdr>
        <w:top w:val="none" w:sz="0" w:space="0" w:color="auto"/>
        <w:left w:val="none" w:sz="0" w:space="0" w:color="auto"/>
        <w:bottom w:val="none" w:sz="0" w:space="0" w:color="auto"/>
        <w:right w:val="none" w:sz="0" w:space="0" w:color="auto"/>
      </w:divBdr>
    </w:div>
    <w:div w:id="757752396">
      <w:bodyDiv w:val="1"/>
      <w:marLeft w:val="0"/>
      <w:marRight w:val="0"/>
      <w:marTop w:val="0"/>
      <w:marBottom w:val="0"/>
      <w:divBdr>
        <w:top w:val="none" w:sz="0" w:space="0" w:color="auto"/>
        <w:left w:val="none" w:sz="0" w:space="0" w:color="auto"/>
        <w:bottom w:val="none" w:sz="0" w:space="0" w:color="auto"/>
        <w:right w:val="none" w:sz="0" w:space="0" w:color="auto"/>
      </w:divBdr>
      <w:divsChild>
        <w:div w:id="1472089712">
          <w:marLeft w:val="0"/>
          <w:marRight w:val="0"/>
          <w:marTop w:val="0"/>
          <w:marBottom w:val="0"/>
          <w:divBdr>
            <w:top w:val="single" w:sz="2" w:space="0" w:color="auto"/>
            <w:left w:val="single" w:sz="2" w:space="0" w:color="auto"/>
            <w:bottom w:val="single" w:sz="6" w:space="0" w:color="auto"/>
            <w:right w:val="single" w:sz="2" w:space="0" w:color="auto"/>
          </w:divBdr>
          <w:divsChild>
            <w:div w:id="1785071722">
              <w:marLeft w:val="0"/>
              <w:marRight w:val="0"/>
              <w:marTop w:val="100"/>
              <w:marBottom w:val="100"/>
              <w:divBdr>
                <w:top w:val="single" w:sz="2" w:space="0" w:color="D9D9E3"/>
                <w:left w:val="single" w:sz="2" w:space="0" w:color="D9D9E3"/>
                <w:bottom w:val="single" w:sz="2" w:space="0" w:color="D9D9E3"/>
                <w:right w:val="single" w:sz="2" w:space="0" w:color="D9D9E3"/>
              </w:divBdr>
              <w:divsChild>
                <w:div w:id="44377003">
                  <w:marLeft w:val="0"/>
                  <w:marRight w:val="0"/>
                  <w:marTop w:val="0"/>
                  <w:marBottom w:val="0"/>
                  <w:divBdr>
                    <w:top w:val="single" w:sz="2" w:space="0" w:color="D9D9E3"/>
                    <w:left w:val="single" w:sz="2" w:space="0" w:color="D9D9E3"/>
                    <w:bottom w:val="single" w:sz="2" w:space="0" w:color="D9D9E3"/>
                    <w:right w:val="single" w:sz="2" w:space="0" w:color="D9D9E3"/>
                  </w:divBdr>
                  <w:divsChild>
                    <w:div w:id="1851676181">
                      <w:marLeft w:val="0"/>
                      <w:marRight w:val="0"/>
                      <w:marTop w:val="0"/>
                      <w:marBottom w:val="0"/>
                      <w:divBdr>
                        <w:top w:val="single" w:sz="2" w:space="0" w:color="D9D9E3"/>
                        <w:left w:val="single" w:sz="2" w:space="0" w:color="D9D9E3"/>
                        <w:bottom w:val="single" w:sz="2" w:space="0" w:color="D9D9E3"/>
                        <w:right w:val="single" w:sz="2" w:space="0" w:color="D9D9E3"/>
                      </w:divBdr>
                      <w:divsChild>
                        <w:div w:id="547450800">
                          <w:marLeft w:val="0"/>
                          <w:marRight w:val="0"/>
                          <w:marTop w:val="0"/>
                          <w:marBottom w:val="0"/>
                          <w:divBdr>
                            <w:top w:val="single" w:sz="2" w:space="0" w:color="D9D9E3"/>
                            <w:left w:val="single" w:sz="2" w:space="0" w:color="D9D9E3"/>
                            <w:bottom w:val="single" w:sz="2" w:space="0" w:color="D9D9E3"/>
                            <w:right w:val="single" w:sz="2" w:space="0" w:color="D9D9E3"/>
                          </w:divBdr>
                          <w:divsChild>
                            <w:div w:id="10421731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62341703">
      <w:bodyDiv w:val="1"/>
      <w:marLeft w:val="0"/>
      <w:marRight w:val="0"/>
      <w:marTop w:val="0"/>
      <w:marBottom w:val="0"/>
      <w:divBdr>
        <w:top w:val="none" w:sz="0" w:space="0" w:color="auto"/>
        <w:left w:val="none" w:sz="0" w:space="0" w:color="auto"/>
        <w:bottom w:val="none" w:sz="0" w:space="0" w:color="auto"/>
        <w:right w:val="none" w:sz="0" w:space="0" w:color="auto"/>
      </w:divBdr>
    </w:div>
    <w:div w:id="1031421025">
      <w:bodyDiv w:val="1"/>
      <w:marLeft w:val="0"/>
      <w:marRight w:val="0"/>
      <w:marTop w:val="0"/>
      <w:marBottom w:val="0"/>
      <w:divBdr>
        <w:top w:val="none" w:sz="0" w:space="0" w:color="auto"/>
        <w:left w:val="none" w:sz="0" w:space="0" w:color="auto"/>
        <w:bottom w:val="none" w:sz="0" w:space="0" w:color="auto"/>
        <w:right w:val="none" w:sz="0" w:space="0" w:color="auto"/>
      </w:divBdr>
    </w:div>
    <w:div w:id="1509558029">
      <w:bodyDiv w:val="1"/>
      <w:marLeft w:val="0"/>
      <w:marRight w:val="0"/>
      <w:marTop w:val="0"/>
      <w:marBottom w:val="0"/>
      <w:divBdr>
        <w:top w:val="none" w:sz="0" w:space="0" w:color="auto"/>
        <w:left w:val="none" w:sz="0" w:space="0" w:color="auto"/>
        <w:bottom w:val="none" w:sz="0" w:space="0" w:color="auto"/>
        <w:right w:val="none" w:sz="0" w:space="0" w:color="auto"/>
      </w:divBdr>
    </w:div>
    <w:div w:id="1682585036">
      <w:bodyDiv w:val="1"/>
      <w:marLeft w:val="0"/>
      <w:marRight w:val="0"/>
      <w:marTop w:val="0"/>
      <w:marBottom w:val="0"/>
      <w:divBdr>
        <w:top w:val="none" w:sz="0" w:space="0" w:color="auto"/>
        <w:left w:val="none" w:sz="0" w:space="0" w:color="auto"/>
        <w:bottom w:val="none" w:sz="0" w:space="0" w:color="auto"/>
        <w:right w:val="none" w:sz="0" w:space="0" w:color="auto"/>
      </w:divBdr>
      <w:divsChild>
        <w:div w:id="1547526914">
          <w:marLeft w:val="0"/>
          <w:marRight w:val="0"/>
          <w:marTop w:val="0"/>
          <w:marBottom w:val="0"/>
          <w:divBdr>
            <w:top w:val="single" w:sz="2" w:space="0" w:color="auto"/>
            <w:left w:val="single" w:sz="2" w:space="0" w:color="auto"/>
            <w:bottom w:val="single" w:sz="6" w:space="0" w:color="auto"/>
            <w:right w:val="single" w:sz="2" w:space="0" w:color="auto"/>
          </w:divBdr>
          <w:divsChild>
            <w:div w:id="1228690030">
              <w:marLeft w:val="0"/>
              <w:marRight w:val="0"/>
              <w:marTop w:val="100"/>
              <w:marBottom w:val="100"/>
              <w:divBdr>
                <w:top w:val="single" w:sz="2" w:space="0" w:color="D9D9E3"/>
                <w:left w:val="single" w:sz="2" w:space="0" w:color="D9D9E3"/>
                <w:bottom w:val="single" w:sz="2" w:space="0" w:color="D9D9E3"/>
                <w:right w:val="single" w:sz="2" w:space="0" w:color="D9D9E3"/>
              </w:divBdr>
              <w:divsChild>
                <w:div w:id="810102459">
                  <w:marLeft w:val="0"/>
                  <w:marRight w:val="0"/>
                  <w:marTop w:val="0"/>
                  <w:marBottom w:val="0"/>
                  <w:divBdr>
                    <w:top w:val="single" w:sz="2" w:space="0" w:color="D9D9E3"/>
                    <w:left w:val="single" w:sz="2" w:space="0" w:color="D9D9E3"/>
                    <w:bottom w:val="single" w:sz="2" w:space="0" w:color="D9D9E3"/>
                    <w:right w:val="single" w:sz="2" w:space="0" w:color="D9D9E3"/>
                  </w:divBdr>
                  <w:divsChild>
                    <w:div w:id="305402112">
                      <w:marLeft w:val="0"/>
                      <w:marRight w:val="0"/>
                      <w:marTop w:val="0"/>
                      <w:marBottom w:val="0"/>
                      <w:divBdr>
                        <w:top w:val="single" w:sz="2" w:space="0" w:color="D9D9E3"/>
                        <w:left w:val="single" w:sz="2" w:space="0" w:color="D9D9E3"/>
                        <w:bottom w:val="single" w:sz="2" w:space="0" w:color="D9D9E3"/>
                        <w:right w:val="single" w:sz="2" w:space="0" w:color="D9D9E3"/>
                      </w:divBdr>
                      <w:divsChild>
                        <w:div w:id="759330468">
                          <w:marLeft w:val="0"/>
                          <w:marRight w:val="0"/>
                          <w:marTop w:val="0"/>
                          <w:marBottom w:val="0"/>
                          <w:divBdr>
                            <w:top w:val="single" w:sz="2" w:space="0" w:color="D9D9E3"/>
                            <w:left w:val="single" w:sz="2" w:space="0" w:color="D9D9E3"/>
                            <w:bottom w:val="single" w:sz="2" w:space="0" w:color="D9D9E3"/>
                            <w:right w:val="single" w:sz="2" w:space="0" w:color="D9D9E3"/>
                          </w:divBdr>
                          <w:divsChild>
                            <w:div w:id="19032482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98507515">
      <w:bodyDiv w:val="1"/>
      <w:marLeft w:val="0"/>
      <w:marRight w:val="0"/>
      <w:marTop w:val="0"/>
      <w:marBottom w:val="0"/>
      <w:divBdr>
        <w:top w:val="none" w:sz="0" w:space="0" w:color="auto"/>
        <w:left w:val="none" w:sz="0" w:space="0" w:color="auto"/>
        <w:bottom w:val="none" w:sz="0" w:space="0" w:color="auto"/>
        <w:right w:val="none" w:sz="0" w:space="0" w:color="auto"/>
      </w:divBdr>
    </w:div>
    <w:div w:id="1707674698">
      <w:bodyDiv w:val="1"/>
      <w:marLeft w:val="0"/>
      <w:marRight w:val="0"/>
      <w:marTop w:val="0"/>
      <w:marBottom w:val="0"/>
      <w:divBdr>
        <w:top w:val="none" w:sz="0" w:space="0" w:color="auto"/>
        <w:left w:val="none" w:sz="0" w:space="0" w:color="auto"/>
        <w:bottom w:val="none" w:sz="0" w:space="0" w:color="auto"/>
        <w:right w:val="none" w:sz="0" w:space="0" w:color="auto"/>
      </w:divBdr>
    </w:div>
    <w:div w:id="2039507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2.png"/><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microsoft.com/office/2016/09/relationships/commentsIds" Target="commentsIds.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CA63354C94E2B439EE32B72D0A4A108" ma:contentTypeVersion="12" ma:contentTypeDescription="Create a new document." ma:contentTypeScope="" ma:versionID="daf3b1df996f1af250d30003b5bdfa29">
  <xsd:schema xmlns:xsd="http://www.w3.org/2001/XMLSchema" xmlns:xs="http://www.w3.org/2001/XMLSchema" xmlns:p="http://schemas.microsoft.com/office/2006/metadata/properties" xmlns:ns3="10b06235-5c5b-4cc3-977d-7885bc7e4356" xmlns:ns4="44434bd6-3ceb-49c8-9856-3025bdac0045" targetNamespace="http://schemas.microsoft.com/office/2006/metadata/properties" ma:root="true" ma:fieldsID="217fd58f5d2b50773d65b21d07a07fb9" ns3:_="" ns4:_="">
    <xsd:import namespace="10b06235-5c5b-4cc3-977d-7885bc7e4356"/>
    <xsd:import namespace="44434bd6-3ceb-49c8-9856-3025bdac004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LengthInSecond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b06235-5c5b-4cc3-977d-7885bc7e43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434bd6-3ceb-49c8-9856-3025bdac0045"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930761E-9221-4290-B59E-062700920891}">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AFEA4C33-05A4-4BF7-B8DE-8CF8BB9E6172}">
  <ds:schemaRefs>
    <ds:schemaRef ds:uri="http://schemas.microsoft.com/office/2006/metadata/properties"/>
    <ds:schemaRef ds:uri="http://www.w3.org/2000/xmlns/"/>
  </ds:schemaRefs>
</ds:datastoreItem>
</file>

<file path=customXml/itemProps3.xml><?xml version="1.0" encoding="utf-8"?>
<ds:datastoreItem xmlns:ds="http://schemas.openxmlformats.org/officeDocument/2006/customXml" ds:itemID="{35E46D4D-9245-4386-9670-C6392AF6ED89}">
  <ds:schemaRefs>
    <ds:schemaRef ds:uri="http://schemas.microsoft.com/sharepoint/v3/contenttype/forms"/>
  </ds:schemaRefs>
</ds:datastoreItem>
</file>

<file path=customXml/itemProps4.xml><?xml version="1.0" encoding="utf-8"?>
<ds:datastoreItem xmlns:ds="http://schemas.openxmlformats.org/officeDocument/2006/customXml" ds:itemID="{BAF7A58C-0839-49EB-AA52-BFD823233EA5}">
  <ds:schemaRefs>
    <ds:schemaRef ds:uri="http://schemas.microsoft.com/office/2006/metadata/contentType"/>
    <ds:schemaRef ds:uri="http://schemas.microsoft.com/office/2006/metadata/properties/metaAttributes"/>
    <ds:schemaRef ds:uri="http://www.w3.org/2000/xmlns/"/>
    <ds:schemaRef ds:uri="http://www.w3.org/2001/XMLSchema"/>
    <ds:schemaRef ds:uri="10b06235-5c5b-4cc3-977d-7885bc7e4356"/>
    <ds:schemaRef ds:uri="44434bd6-3ceb-49c8-9856-3025bdac0045"/>
  </ds:schemaRefs>
</ds:datastoreItem>
</file>

<file path=docProps/app.xml><?xml version="1.0" encoding="utf-8"?>
<Properties xmlns="http://schemas.openxmlformats.org/officeDocument/2006/extended-properties" xmlns:vt="http://schemas.openxmlformats.org/officeDocument/2006/docPropsVTypes">
  <Template>Normal</Template>
  <TotalTime>6512</TotalTime>
  <Pages>20</Pages>
  <Words>54686</Words>
  <Characters>300774</Characters>
  <Application>Microsoft Office Word</Application>
  <DocSecurity>0</DocSecurity>
  <Lines>2506</Lines>
  <Paragraphs>709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millaray.cantillanom@gmail.com</dc:creator>
  <cp:keywords/>
  <dc:description/>
  <cp:lastModifiedBy>millaray.cantillanom@gmail.com</cp:lastModifiedBy>
  <cp:revision>6</cp:revision>
  <dcterms:created xsi:type="dcterms:W3CDTF">2023-07-04T15:22:00Z</dcterms:created>
  <dcterms:modified xsi:type="dcterms:W3CDTF">2023-07-09T08:59:00Z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430245c6-e9b7-3c67-9cdf-68b300335c36</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y fmtid="{D5CDD505-2E9C-101B-9397-08002B2CF9AE}" pid="25" name="GrammarlyDocumentId">
    <vt:lpwstr>33dd4f8aaecc9739d181c785e7538734b34b5469facad61892fc76307c588ed3</vt:lpwstr>
  </property>
  <property fmtid="{D5CDD505-2E9C-101B-9397-08002B2CF9AE}" pid="26" name="ContentTypeId">
    <vt:lpwstr>0x0101006CA63354C94E2B439EE32B72D0A4A108</vt:lpwstr>
  </property>
  <property fmtid="{D5CDD505-2E9C-101B-9397-08002B2CF9AE}" pid="27" name="MSIP_Label_06c24981-b6df-48f8-949b-0896357b9b03_Enabled">
    <vt:lpwstr>true</vt:lpwstr>
  </property>
  <property fmtid="{D5CDD505-2E9C-101B-9397-08002B2CF9AE}" pid="28" name="MSIP_Label_06c24981-b6df-48f8-949b-0896357b9b03_SetDate">
    <vt:lpwstr>2023-05-28T19:33:06Z</vt:lpwstr>
  </property>
  <property fmtid="{D5CDD505-2E9C-101B-9397-08002B2CF9AE}" pid="29" name="MSIP_Label_06c24981-b6df-48f8-949b-0896357b9b03_Method">
    <vt:lpwstr>Standard</vt:lpwstr>
  </property>
  <property fmtid="{D5CDD505-2E9C-101B-9397-08002B2CF9AE}" pid="30" name="MSIP_Label_06c24981-b6df-48f8-949b-0896357b9b03_Name">
    <vt:lpwstr>Official</vt:lpwstr>
  </property>
  <property fmtid="{D5CDD505-2E9C-101B-9397-08002B2CF9AE}" pid="31" name="MSIP_Label_06c24981-b6df-48f8-949b-0896357b9b03_SiteId">
    <vt:lpwstr>dd615949-5bd0-4da0-ac52-28ef8d336373</vt:lpwstr>
  </property>
  <property fmtid="{D5CDD505-2E9C-101B-9397-08002B2CF9AE}" pid="32" name="MSIP_Label_06c24981-b6df-48f8-949b-0896357b9b03_ActionId">
    <vt:lpwstr>24223ffb-ee6a-466a-9a87-4bc8961b6223</vt:lpwstr>
  </property>
  <property fmtid="{D5CDD505-2E9C-101B-9397-08002B2CF9AE}" pid="33" name="MSIP_Label_06c24981-b6df-48f8-949b-0896357b9b03_ContentBits">
    <vt:lpwstr>0</vt:lpwstr>
  </property>
</Properties>
</file>